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B1F33"/>
          <w:sz w:val="56"/>
        </w:rPr>
        <w:t>RESEARCH &amp; DEVELOPMENT PLAN</w:t>
      </w:r>
    </w:p>
    <w:p>
      <w:pPr>
        <w:jc w:val="center"/>
      </w:pPr>
      <w:r>
        <w:rPr>
          <w:b/>
          <w:color w:val="1769AA"/>
          <w:sz w:val="26"/>
        </w:rPr>
        <w:t>Field Environment • AR Feasibility • Voice • Offline • MongoDB</w:t>
      </w:r>
    </w:p>
    <w:p>
      <w:pPr>
        <w:jc w:val="center"/>
      </w:pPr>
      <w:r>
        <w:rPr>
          <w:color w:val="6B7280"/>
          <w:sz w:val="18"/>
        </w:rPr>
        <w:t>PROJECT BASELINE v2.0  |  September 2026  |  R&amp;D — UPDATED</w:t>
      </w:r>
    </w:p>
    <w:p>
      <w:pPr>
        <w:jc w:val="center"/>
      </w:pPr>
      <w:r>
        <w:rPr>
          <w:color w:val="6B7280"/>
          <w:sz w:val="16"/>
        </w:rPr>
        <w:t>Reference concept: https://www.youtube.com/watch?v=nL7Elpg_EkE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8"/>
            <w:tcBorders>
              <w:top w:val="single" w:sz="8" w:color="AFC7D8"/>
              <w:left w:val="single" w:sz="8" w:color="AFC7D8"/>
              <w:bottom w:val="single" w:sz="8" w:color="AFC7D8"/>
              <w:right w:val="single" w:sz="8" w:color="AFC7D8"/>
              <w:insideH w:val="single" w:sz="8" w:color="AFC7D8"/>
              <w:insideV w:val="single" w:sz="8" w:color="AFC7D8"/>
            </w:tcBorders>
          </w:tcPr>
          <w:p>
            <w:r/>
            <w:r>
              <w:rPr>
                <w:b/>
                <w:color w:val="0B1F33"/>
                <w:sz w:val="22"/>
              </w:rPr>
              <w:t>RESEARCH FOCUS</w:t>
              <w:br/>
            </w:r>
            <w:r>
              <w:rPr>
                <w:sz w:val="18"/>
              </w:rPr>
              <w:t>The R&amp;D program validates the reference-video AR interaction model in real industrial conditions without assuming that indoor/underground environments behave like a clean demonstration room.</w:t>
            </w:r>
          </w:p>
        </w:tc>
      </w:tr>
    </w:tbl>
    <w:p/>
    <w:p>
      <w:pPr>
        <w:pStyle w:val="Heading1"/>
      </w:pPr>
      <w:r>
        <w:t>1. Field Environment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439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Key constraints to test</w:t>
            </w:r>
          </w:p>
        </w:tc>
        <w:tc>
          <w:tcPr>
            <w:tcW w:type="dxa" w:w="432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AR implication</w:t>
            </w:r>
          </w:p>
        </w:tc>
      </w:tr>
      <w:tr>
        <w:tc>
          <w:tcPr>
            <w:tcW w:type="dxa" w:w="194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Underground coal</w:t>
            </w:r>
          </w:p>
        </w:tc>
        <w:tc>
          <w:tcPr>
            <w:tcW w:type="dxa" w:w="43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Low/variable light, dust, repeated textures, narrow spaces, safety restrictions on electronic equipment</w:t>
            </w:r>
          </w:p>
        </w:tc>
        <w:tc>
          <w:tcPr>
            <w:tcW w:type="dxa" w:w="43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Tracking and device suitability must be field-tested; avoid reliance on GPS.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Open-cast mine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High contrast, sunlight, dust, large scale, vibration/noise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Exposure/thermal and tracking tests; scenario anchors should be local, not GPS-dependent.</w:t>
            </w:r>
          </w:p>
        </w:tc>
      </w:tr>
      <w:tr>
        <w:tc>
          <w:tcPr>
            <w:tcW w:type="dxa" w:w="194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Steel plant</w:t>
            </w:r>
          </w:p>
        </w:tc>
        <w:tc>
          <w:tcPr>
            <w:tcW w:type="dxa" w:w="43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Metallic structures, reflective surfaces, heat, steam, industrial noise</w:t>
            </w:r>
          </w:p>
        </w:tc>
        <w:tc>
          <w:tcPr>
            <w:tcW w:type="dxa" w:w="43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Investigate reflective/low-feature surfaces and visual occlusion; device protection requirements.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Mica processing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Dust, indoor lighting, repetitive machinery and workstations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Test plane/raycast reliability and user attention in visually repetitive areas.</w:t>
            </w:r>
          </w:p>
        </w:tc>
      </w:tr>
    </w:tbl>
    <w:p/>
    <w:p>
      <w:pPr>
        <w:pStyle w:val="Heading1"/>
      </w:pPr>
      <w:r>
        <w:t>2. AR Feasibility Hypotheses</w:t>
      </w:r>
    </w:p>
    <w:p>
      <w:pPr>
        <w:pStyle w:val="ListBullet"/>
        <w:spacing w:after="60"/>
      </w:pPr>
      <w:r>
        <w:t>H1: The reference-video-style interaction can be reproduced with Unity + AR Foundation on a controlled set of ARCore-supported Android devices. ARCore-certified devices are explicitly tested for camera, sensors and CPU capabilities. See the official ARCore supported-device documentation in the references.</w:t>
      </w:r>
    </w:p>
    <w:p>
      <w:pPr>
        <w:pStyle w:val="ListBullet"/>
        <w:spacing w:after="60"/>
      </w:pPr>
      <w:r>
        <w:t>H2: Plane hit-testing/raycasting is sufficient for most surface placement tasks; depth improves arbitrary-surface placement and occlusion on compatible devices. See the official ARCore depth and Unity hit-test documentation in the references.</w:t>
      </w:r>
    </w:p>
    <w:p>
      <w:pPr>
        <w:pStyle w:val="ListBullet"/>
        <w:spacing w:after="60"/>
      </w:pPr>
      <w:r>
        <w:t>H3: Scenario correctness should not depend on GPS in underground/indoor operations.</w:t>
      </w:r>
    </w:p>
    <w:p>
      <w:pPr>
        <w:pStyle w:val="ListBullet"/>
        <w:spacing w:after="60"/>
      </w:pPr>
      <w:r>
        <w:t>H4: Adaptive visual quality is required to keep thermal load and frame rate under control on mid-range phones.</w:t>
      </w:r>
    </w:p>
    <w:p>
      <w:pPr>
        <w:pStyle w:val="ListBullet"/>
        <w:spacing w:after="60"/>
      </w:pPr>
      <w:r>
        <w:t>H5: Voice Navigation improves control discovery for low-literacy users only when language selection is explicit and speech timing does not interfere with hazard audio.</w:t>
      </w:r>
    </w:p>
    <w:p>
      <w:pPr>
        <w:pStyle w:val="Heading1"/>
      </w:pPr>
      <w:r>
        <w:t>3. Reference-Video Recreation Study</w:t>
      </w:r>
    </w:p>
    <w:p>
      <w:pPr>
        <w:spacing w:after="120"/>
      </w:pPr>
      <w:r>
        <w:t>The project owner has designated https://www.youtube.com/watch?v=nL7Elpg_EkE as the canonical development reference. Because the linked video is not machine-fetchable in the current research environment, the R&amp;D plan treats the owner’s direction as authoritative and makes exact visual matching a validation task: record the reference behavior, extract its interaction sequence, and reproduce it in Unity before adding safety-specific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Aspect to extract</w:t>
            </w:r>
          </w:p>
        </w:tc>
        <w:tc>
          <w:tcPr>
            <w:tcW w:type="dxa" w:w="835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R&amp;D test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Camera behavior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Document FOV, camera movement, UI placement and hand/device posture.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Object placement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Measure apparent scale, anchor point, orientation and persistence.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Interaction model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List every user action and corresponding object response.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Physics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Capture collision, gravity, constraints, force and timing behavior relevant to the reference.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Visual effects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Identify particle, lighting, shadow, transparency and post-process requirements.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Performance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Benchmark the reference-equivalent scene on the selected device matrix.</w:t>
            </w:r>
          </w:p>
        </w:tc>
      </w:tr>
    </w:tbl>
    <w:p/>
    <w:p>
      <w:pPr>
        <w:pStyle w:val="Heading1"/>
      </w:pPr>
      <w:r>
        <w:t>4. Device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835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Test characteristics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Low-end supported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CPU/GPU/thermal constraints, lowest stable quality profile.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Mid-range target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Primary development and pilot baseline.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Upper-mid/high-end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Reference-quality graphics profile and stress test.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AR feature variants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Depth-supported vs non-depth device behavior.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Camera conditions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Bright outdoor, low light, mixed light, reflective/metal, dusty/low-feature surfaces.</w:t>
            </w:r>
          </w:p>
        </w:tc>
      </w:tr>
    </w:tbl>
    <w:p/>
    <w:p>
      <w:pPr>
        <w:pStyle w:val="Heading1"/>
      </w:pPr>
      <w:r>
        <w:t>5. Voice Navigation Research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835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Language correctness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Label meaning and pronunciation in each selected language.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Tap-to-speech latency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Time from tap to beginning of spoken feedback.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Audio overlap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Rate of unintelligible overlap with scenario sounds.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Accessibility discovery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Can a new user identify the tapped function without reading the screen?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Toggle usability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User can disable/enable the feature without assistance.</w:t>
            </w:r>
          </w:p>
        </w:tc>
      </w:tr>
    </w:tbl>
    <w:p/>
    <w:p>
      <w:pPr>
        <w:pStyle w:val="Heading1"/>
      </w:pPr>
      <w:r>
        <w:t>6. Offline &amp; Sync R&amp;D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Disable network before login/training where cached authentication is allowed.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Run a complete scenario and assessment.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Kill/restart the app.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Confirm attempt is still present.</w:t>
      </w:r>
    </w:p>
    <w:p>
      <w:pPr>
        <w:spacing w:after="60"/>
        <w:ind w:left="259" w:hanging="259"/>
      </w:pPr>
      <w:r>
        <w:rPr>
          <w:b/>
        </w:rPr>
        <w:t xml:space="preserve">5. </w:t>
      </w:r>
      <w:r>
        <w:t>Restore network.</w:t>
      </w:r>
    </w:p>
    <w:p>
      <w:pPr>
        <w:spacing w:after="60"/>
        <w:ind w:left="259" w:hanging="259"/>
      </w:pPr>
      <w:r>
        <w:rPr>
          <w:b/>
        </w:rPr>
        <w:t xml:space="preserve">6. </w:t>
      </w:r>
      <w:r>
        <w:t>Verify one-and-only-one server attempt is created.</w:t>
      </w:r>
    </w:p>
    <w:p>
      <w:pPr>
        <w:spacing w:after="60"/>
        <w:ind w:left="259" w:hanging="259"/>
      </w:pPr>
      <w:r>
        <w:rPr>
          <w:b/>
        </w:rPr>
        <w:t xml:space="preserve">7. </w:t>
      </w:r>
      <w:r>
        <w:t>Verify certificate signing is performed server-side and blockchain anchoring occurs only after the certificate exists.</w:t>
      </w:r>
    </w:p>
    <w:p>
      <w:pPr>
        <w:pStyle w:val="Heading1"/>
      </w:pPr>
      <w:r>
        <w:t>7. Security R&amp;D</w:t>
      </w:r>
    </w:p>
    <w:p>
      <w:pPr>
        <w:pStyle w:val="ListBullet"/>
        <w:spacing w:after="60"/>
      </w:pPr>
      <w:r>
        <w:t>Attempt to change role on the client and call privileged APIs.</w:t>
      </w:r>
    </w:p>
    <w:p>
      <w:pPr>
        <w:pStyle w:val="ListBullet"/>
        <w:spacing w:after="60"/>
      </w:pPr>
      <w:r>
        <w:t>Extract APK and confirm no MongoDB credential is present.</w:t>
      </w:r>
    </w:p>
    <w:p>
      <w:pPr>
        <w:pStyle w:val="ListBullet"/>
        <w:spacing w:after="60"/>
      </w:pPr>
      <w:r>
        <w:t>Modify a certificate QR payload and confirm Ed25519 verification fails.</w:t>
      </w:r>
    </w:p>
    <w:p>
      <w:pPr>
        <w:pStyle w:val="ListBullet"/>
        <w:spacing w:after="60"/>
      </w:pPr>
      <w:r>
        <w:t>Modify certificate content after signing and confirm hash/signature mismatch.</w:t>
      </w:r>
    </w:p>
    <w:p>
      <w:pPr>
        <w:pStyle w:val="ListBullet"/>
        <w:spacing w:after="60"/>
      </w:pPr>
      <w:r>
        <w:t>Verify no PII is written to the public blockchain payload.</w:t>
      </w:r>
    </w:p>
    <w:p>
      <w:pPr>
        <w:pStyle w:val="Heading1"/>
      </w:pPr>
      <w:r>
        <w:t>8. Pilot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849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0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G1 — Reference scene</w:t>
            </w:r>
          </w:p>
        </w:tc>
        <w:tc>
          <w:tcPr>
            <w:tcW w:type="dxa" w:w="849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Reference interaction is reproducible in Unity within agreed visual/behavior tolerances.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G2 — Safety simulation</w:t>
            </w:r>
          </w:p>
        </w:tc>
        <w:tc>
          <w:tcPr>
            <w:tcW w:type="dxa" w:w="849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At least one scenario has deterministic, testable escalation and resolution outcomes.</w:t>
            </w:r>
          </w:p>
        </w:tc>
      </w:tr>
      <w:tr>
        <w:tc>
          <w:tcPr>
            <w:tcW w:type="dxa" w:w="20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G3 — Field AR</w:t>
            </w:r>
          </w:p>
        </w:tc>
        <w:tc>
          <w:tcPr>
            <w:tcW w:type="dxa" w:w="849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Selected pilot device class remains usable in each intended environment under controlled test conditions.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G4 — Voice</w:t>
            </w:r>
          </w:p>
        </w:tc>
        <w:tc>
          <w:tcPr>
            <w:tcW w:type="dxa" w:w="849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Selected-language Voice Navigation works and can be toggled off.</w:t>
            </w:r>
          </w:p>
        </w:tc>
      </w:tr>
      <w:tr>
        <w:tc>
          <w:tcPr>
            <w:tcW w:type="dxa" w:w="20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G5 — Offline</w:t>
            </w:r>
          </w:p>
        </w:tc>
        <w:tc>
          <w:tcPr>
            <w:tcW w:type="dxa" w:w="849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No-data-loss offline completion and successful later synchronization.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G6 — Credential</w:t>
            </w:r>
          </w:p>
        </w:tc>
        <w:tc>
          <w:tcPr>
            <w:tcW w:type="dxa" w:w="849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Offline signature verification and online blockchain hash confirmation both succeed.</w:t>
            </w:r>
          </w:p>
        </w:tc>
      </w:tr>
    </w:tbl>
    <w:p/>
    <w:p>
      <w:pPr>
        <w:pStyle w:val="Heading1"/>
      </w:pPr>
      <w:r>
        <w:t>9. Research Outputs</w:t>
      </w:r>
    </w:p>
    <w:p>
      <w:pPr>
        <w:pStyle w:val="ListBullet"/>
        <w:spacing w:after="60"/>
      </w:pPr>
      <w:r>
        <w:t>AR reference replication checklist</w:t>
      </w:r>
    </w:p>
    <w:p>
      <w:pPr>
        <w:pStyle w:val="ListBullet"/>
        <w:spacing w:after="60"/>
      </w:pPr>
      <w:r>
        <w:t>Device compatibility and environmental performance report</w:t>
      </w:r>
    </w:p>
    <w:p>
      <w:pPr>
        <w:pStyle w:val="ListBullet"/>
        <w:spacing w:after="60"/>
      </w:pPr>
      <w:r>
        <w:t>Voice-language QA script and recordings</w:t>
      </w:r>
    </w:p>
    <w:p>
      <w:pPr>
        <w:pStyle w:val="ListBullet"/>
        <w:spacing w:after="60"/>
      </w:pPr>
      <w:r>
        <w:t>Offline reliability and security test report</w:t>
      </w:r>
    </w:p>
    <w:p>
      <w:pPr>
        <w:pStyle w:val="ListBullet"/>
        <w:spacing w:after="60"/>
      </w:pPr>
      <w:r>
        <w:t>Pilot readiness and final module implementation guide</w:t>
      </w:r>
    </w:p>
    <w:p>
      <w:pPr>
        <w:pStyle w:val="Heading1"/>
      </w:pPr>
      <w:r>
        <w:t>10. References</w:t>
      </w:r>
    </w:p>
    <w:p>
      <w:pPr>
        <w:pStyle w:val="ListBullet"/>
        <w:spacing w:after="60"/>
      </w:pPr>
      <w:r>
        <w:t>Project-owner reference video: https://www.youtube.com/watch?v=nL7Elpg_EkE</w:t>
      </w:r>
    </w:p>
    <w:p>
      <w:pPr>
        <w:pStyle w:val="ListBullet"/>
        <w:spacing w:after="60"/>
      </w:pPr>
      <w:r>
        <w:t>ARCore supported devices: https://developers.google.com/ar/devices</w:t>
      </w:r>
    </w:p>
    <w:p>
      <w:pPr>
        <w:pStyle w:val="ListBullet"/>
        <w:spacing w:after="60"/>
      </w:pPr>
      <w:r>
        <w:t>ARCore depth: https://developers.google.com/ar/develop/depth</w:t>
      </w:r>
    </w:p>
    <w:p>
      <w:pPr>
        <w:pStyle w:val="ListBullet"/>
        <w:spacing w:after="60"/>
      </w:pPr>
      <w:r>
        <w:t>ARCore Unity hit tests: https://developers.google.com/ar/develop/unity-arf/hit-test/developer-guide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R&amp;D  •  Field conditions  •  AR feasibility  •  Human factors  • 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9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