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28"/>
          <w:szCs w:val="28"/>
        </w:rPr>
        <w:t xml:space="preserve">PEAKSPAN HEALTH PTY LTD</w:t>
      </w:r>
    </w:p>
    <w:p>
      <w:pPr>
        <w:spacing w:after="200"/>
      </w:pPr>
    </w:p>
    <w:p>
      <w:pPr>
        <w:spacing w:after="120"/>
        <w:jc w:val="center"/>
      </w:pPr>
      <w:r>
        <w:rPr>
          <w:rFonts w:ascii="Arial" w:cs="Arial" w:eastAsia="Arial" w:hAnsi="Arial"/>
          <w:b/>
          <w:bCs/>
          <w:color w:val="1B4F72"/>
          <w:sz w:val="52"/>
          <w:szCs w:val="52"/>
        </w:rPr>
        <w:t xml:space="preserve">Social Media</w:t>
      </w:r>
    </w:p>
    <w:p>
      <w:pPr>
        <w:spacing w:after="120"/>
        <w:jc w:val="center"/>
      </w:pPr>
      <w:r>
        <w:rPr>
          <w:rFonts w:ascii="Arial" w:cs="Arial" w:eastAsia="Arial" w:hAnsi="Arial"/>
          <w:b/>
          <w:bCs/>
          <w:color w:val="1B4F72"/>
          <w:sz w:val="52"/>
          <w:szCs w:val="52"/>
        </w:rPr>
        <w:t xml:space="preserve">Compliance Guidelines</w:t>
      </w:r>
    </w:p>
    <w:p>
      <w:pPr>
        <w:spacing w:after="200"/>
      </w:pPr>
    </w:p>
    <w:p>
      <w:pPr>
        <w:spacing w:after="80"/>
        <w:jc w:val="center"/>
      </w:pPr>
      <w:r>
        <w:rPr>
          <w:rFonts w:ascii="Arial" w:cs="Arial" w:eastAsia="Arial" w:hAnsi="Arial"/>
          <w:i/>
          <w:iCs/>
          <w:color w:val="666666"/>
          <w:sz w:val="24"/>
          <w:szCs w:val="24"/>
        </w:rPr>
        <w:t xml:space="preserve">Platform-Specific Rules for Facebook, Instagram, LinkedIn &amp; TikTok</w:t>
      </w:r>
    </w:p>
    <w:p>
      <w:pPr>
        <w:spacing w:after="600"/>
      </w:pPr>
    </w:p>
    <w:p>
      <w:pPr>
        <w:spacing w:after="80"/>
        <w:jc w:val="center"/>
      </w:pPr>
      <w:r>
        <w:rPr>
          <w:rFonts w:ascii="Arial" w:cs="Arial" w:eastAsia="Arial" w:hAnsi="Arial"/>
          <w:color w:val="555555"/>
          <w:sz w:val="22"/>
          <w:szCs w:val="22"/>
        </w:rPr>
        <w:t xml:space="preserve">Companion Document to Blog Content Compliance Guidelines</w:t>
      </w:r>
    </w:p>
    <w:p>
      <w:pPr>
        <w:spacing w:after="80"/>
        <w:jc w:val="center"/>
      </w:pPr>
      <w:r>
        <w:rPr>
          <w:rFonts w:ascii="Arial" w:cs="Arial" w:eastAsia="Arial" w:hAnsi="Arial"/>
          <w:color w:val="555555"/>
          <w:sz w:val="22"/>
          <w:szCs w:val="22"/>
        </w:rPr>
        <w:t xml:space="preserve">Based on Legal Review by Stephens Lawyers &amp; Consultants</w:t>
      </w:r>
    </w:p>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3"/>
              <w:left w:val="single" w:color="E74C3C" w:sz="6"/>
              <w:bottom w:val="single" w:color="E74C3C" w:sz="1"/>
              <w:right w:val="single" w:color="E74C3C" w:sz="1"/>
            </w:tcBorders>
            <w:shd w:fill="FADBD8" w:val="clear"/>
            <w:tcMar>
              <w:top w:type="dxa" w:w="100"/>
              <w:left w:type="dxa" w:w="160"/>
              <w:bottom w:type="dxa" w:w="100"/>
              <w:right w:type="dxa" w:w="160"/>
            </w:tcMar>
          </w:tcPr>
          <w:p>
            <w:pPr>
              <w:jc w:val="center"/>
            </w:pPr>
            <w:r>
              <w:rPr>
                <w:rFonts w:ascii="Arial" w:cs="Arial" w:eastAsia="Arial" w:hAnsi="Arial"/>
                <w:b/>
                <w:bCs/>
                <w:color w:val="E74C3C"/>
                <w:sz w:val="20"/>
                <w:szCs w:val="20"/>
              </w:rPr>
              <w:t xml:space="preserve">PRIVATE &amp; CONFIDENTIAL  |  LEGAL PROFESSION PRIVILEGE</w:t>
            </w:r>
          </w:p>
        </w:tc>
      </w:tr>
    </w:tbl>
    <w:p>
      <w:pPr>
        <w:spacing w:after="400"/>
      </w:pPr>
    </w:p>
    <w:p>
      <w:pPr>
        <w:jc w:val="center"/>
      </w:pPr>
      <w:r>
        <w:rPr>
          <w:rFonts w:ascii="Arial" w:cs="Arial" w:eastAsia="Arial" w:hAnsi="Arial"/>
          <w:color w:val="888888"/>
          <w:sz w:val="20"/>
          <w:szCs w:val="20"/>
        </w:rPr>
        <w:t xml:space="preserve">Prepared: February 2026</w:t>
      </w:r>
    </w:p>
    <w:p>
      <w:pPr>
        <w:sectPr>
          <w:pgSz w:w="11906" w:h="16838"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B4F72"/>
          <w:sz w:val="36"/>
          <w:szCs w:val="36"/>
        </w:rPr>
        <w:t xml:space="preserve">1. How This Document Relates to the Blog Guidelines</w:t>
      </w:r>
    </w:p>
    <w:p>
      <w:pPr>
        <w:spacing w:after="160"/>
        <w:jc w:val="left"/>
      </w:pPr>
      <w:r>
        <w:rPr>
          <w:rFonts w:ascii="Arial" w:cs="Arial" w:eastAsia="Arial" w:hAnsi="Arial"/>
          <w:sz w:val="22"/>
          <w:szCs w:val="22"/>
        </w:rPr>
        <w:t xml:space="preserve">This document is a companion to the PeakSpan Blog Content Compliance Guidelines. All of the core rules in that document apply equally to social media, including:</w:t>
      </w:r>
    </w:p>
    <w:p>
      <w:pPr>
        <w:pStyle w:val="ListParagraph"/>
        <w:numPr>
          <w:ilvl w:val="0"/>
          <w:numId w:val="2"/>
        </w:numPr>
        <w:spacing w:after="80"/>
      </w:pPr>
      <w:r>
        <w:rPr>
          <w:rFonts w:ascii="Arial" w:cs="Arial" w:eastAsia="Arial" w:hAnsi="Arial"/>
          <w:sz w:val="22"/>
          <w:szCs w:val="22"/>
        </w:rPr>
        <w:t xml:space="preserve">All banned words and phrases (including “peptide,” named Schedule 4 substances, PRP, stem cell therapies, growth factors)</w:t>
      </w:r>
    </w:p>
    <w:p>
      <w:pPr>
        <w:pStyle w:val="ListParagraph"/>
        <w:numPr>
          <w:ilvl w:val="0"/>
          <w:numId w:val="2"/>
        </w:numPr>
        <w:spacing w:after="80"/>
      </w:pPr>
      <w:r>
        <w:rPr>
          <w:rFonts w:ascii="Arial" w:cs="Arial" w:eastAsia="Arial" w:hAnsi="Arial"/>
          <w:sz w:val="22"/>
          <w:szCs w:val="22"/>
        </w:rPr>
        <w:t xml:space="preserve">All prohibited representations (cancer, STDs, HIV/AIDS, Hep C, mental illness)</w:t>
      </w:r>
    </w:p>
    <w:p>
      <w:pPr>
        <w:pStyle w:val="ListParagraph"/>
        <w:numPr>
          <w:ilvl w:val="0"/>
          <w:numId w:val="2"/>
        </w:numPr>
        <w:spacing w:after="80"/>
      </w:pPr>
      <w:r>
        <w:rPr>
          <w:rFonts w:ascii="Arial" w:cs="Arial" w:eastAsia="Arial" w:hAnsi="Arial"/>
          <w:sz w:val="22"/>
          <w:szCs w:val="22"/>
        </w:rPr>
        <w:t xml:space="preserve">All restricted representations (serious diseases requiring professional diagnosis)</w:t>
      </w:r>
    </w:p>
    <w:p>
      <w:pPr>
        <w:pStyle w:val="ListParagraph"/>
        <w:numPr>
          <w:ilvl w:val="0"/>
          <w:numId w:val="2"/>
        </w:numPr>
        <w:spacing w:after="80"/>
      </w:pPr>
      <w:r>
        <w:rPr>
          <w:rFonts w:ascii="Arial" w:cs="Arial" w:eastAsia="Arial" w:hAnsi="Arial"/>
          <w:sz w:val="22"/>
          <w:szCs w:val="22"/>
        </w:rPr>
        <w:t xml:space="preserve">All citation requirements for any scientific claims</w:t>
      </w:r>
    </w:p>
    <w:p>
      <w:pPr>
        <w:pStyle w:val="ListParagraph"/>
        <w:numPr>
          <w:ilvl w:val="0"/>
          <w:numId w:val="2"/>
        </w:numPr>
        <w:spacing w:after="80"/>
      </w:pPr>
      <w:r>
        <w:rPr>
          <w:rFonts w:ascii="Arial" w:cs="Arial" w:eastAsia="Arial" w:hAnsi="Arial"/>
          <w:sz w:val="22"/>
          <w:szCs w:val="22"/>
        </w:rPr>
        <w:t xml:space="preserve">The requirement for medical practitioner review before publication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3"/>
              <w:left w:val="single" w:color="E67E22" w:sz="6"/>
              <w:bottom w:val="single" w:color="E67E22" w:sz="1"/>
              <w:right w:val="single" w:color="E67E22" w:sz="1"/>
            </w:tcBorders>
            <w:shd w:fill="FDEBD0" w:val="clear"/>
            <w:tcMar>
              <w:top w:type="dxa" w:w="100"/>
              <w:left w:type="dxa" w:w="160"/>
              <w:bottom w:type="dxa" w:w="100"/>
              <w:right w:type="dxa" w:w="160"/>
            </w:tcMar>
          </w:tcPr>
          <w:p>
            <w:pPr>
              <w:spacing w:after="160"/>
              <w:jc w:val="left"/>
            </w:pPr>
            <w:r>
              <w:rPr>
                <w:rFonts w:ascii="Arial" w:cs="Arial" w:eastAsia="Arial" w:hAnsi="Arial"/>
                <w:b/>
                <w:bCs/>
                <w:color w:val="E67E22"/>
                <w:sz w:val="22"/>
                <w:szCs w:val="22"/>
              </w:rPr>
              <w:t xml:space="preserve">WHY SOCIAL MEDIA NEEDS ADDITIONAL RULES: </w:t>
            </w:r>
            <w:r>
              <w:rPr>
                <w:rFonts w:ascii="Arial" w:cs="Arial" w:eastAsia="Arial" w:hAnsi="Arial"/>
                <w:color w:val="E67E22"/>
                <w:sz w:val="22"/>
                <w:szCs w:val="22"/>
              </w:rPr>
              <w:t xml:space="preserve">The SLC letter confirms that the TGA assesses PeakSpan’s online presence “as a whole,” including social media channels. The Peptide Clinics case involved contraventions on the website, Facebook, AND Instagram. Social media carries additional risks due to shorter formats, visual content, user interaction, and platform-specific features like hashtags and sharing.</w:t>
            </w:r>
          </w:p>
        </w:tc>
      </w:tr>
    </w:tbl>
    <w:p>
      <w:pPr>
        <w:pStyle w:val="Heading1"/>
        <w:spacing w:before="360" w:after="120"/>
      </w:pPr>
      <w:r>
        <w:rPr>
          <w:rFonts w:ascii="Arial" w:cs="Arial" w:eastAsia="Arial" w:hAnsi="Arial"/>
          <w:b/>
          <w:bCs/>
          <w:color w:val="1B4F72"/>
          <w:sz w:val="36"/>
          <w:szCs w:val="36"/>
        </w:rPr>
        <w:t xml:space="preserve">2. Social Media-Specific Risks</w:t>
      </w:r>
    </w:p>
    <w:p>
      <w:pPr>
        <w:spacing w:after="160"/>
        <w:jc w:val="left"/>
      </w:pPr>
      <w:r>
        <w:rPr>
          <w:rFonts w:ascii="Arial" w:cs="Arial" w:eastAsia="Arial" w:hAnsi="Arial"/>
          <w:sz w:val="22"/>
          <w:szCs w:val="22"/>
        </w:rPr>
        <w:t xml:space="preserve">Social media introduces risks that don’t exist with blog content. These arise from the format, the features of each platform, and how audiences interact with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shd w:val="clear" w:fill="auto"/>
              </w:rPr>
              <w:t xml:space="preserve">Risk Area</w:t>
            </w:r>
          </w:p>
        </w:tc>
        <w:tc>
          <w:tcPr>
            <w:tcW w:type="dxa" w:w="65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shd w:val="clear" w:fill="auto"/>
              </w:rPr>
              <w:t xml:space="preserve">Why It Matters for PeakSpan</w:t>
            </w:r>
          </w:p>
        </w:tc>
      </w:tr>
      <w:tr>
        <w:tc>
          <w:tcPr>
            <w:tcW w:type="dxa" w:w="2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sz w:val="20"/>
                <w:szCs w:val="20"/>
                <w:shd w:val="clear" w:fill="auto"/>
              </w:rPr>
              <w:t xml:space="preserve">Short-form content</w:t>
            </w:r>
          </w:p>
        </w:tc>
        <w:tc>
          <w:tcPr>
            <w:tcW w:type="dxa" w:w="65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sz w:val="20"/>
                <w:szCs w:val="20"/>
                <w:shd w:val="clear" w:fill="auto"/>
              </w:rPr>
              <w:t xml:space="preserve">Brevity increases the risk of oversimplification. A claim that might be balanced in a 2,000-word blog becomes misleading when condensed into a caption. Every word carries more weight.</w:t>
            </w:r>
          </w:p>
        </w:tc>
      </w:tr>
      <w:tr>
        <w:tc>
          <w:tcPr>
            <w:tcW w:type="dxa" w:w="2500"/>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b/>
                <w:bCs/>
                <w:sz w:val="20"/>
                <w:szCs w:val="20"/>
              </w:rPr>
              <w:t xml:space="preserve">Visual content</w:t>
            </w:r>
          </w:p>
        </w:tc>
        <w:tc>
          <w:tcPr>
            <w:tcW w:type="dxa" w:w="6526"/>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sz w:val="20"/>
                <w:szCs w:val="20"/>
              </w:rPr>
              <w:t xml:space="preserve">Images, videos, and graphics are subject to the same rules as text. A picture of a syringe or vial, a before/after image, or an infographic about biological mechanisms can all constitute advertising of therapeutic goods.</w:t>
            </w:r>
          </w:p>
        </w:tc>
      </w:tr>
      <w:tr>
        <w:tc>
          <w:tcPr>
            <w:tcW w:type="dxa" w:w="2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sz w:val="20"/>
                <w:szCs w:val="20"/>
                <w:shd w:val="clear" w:fill="auto"/>
              </w:rPr>
              <w:t xml:space="preserve">Hashtags</w:t>
            </w:r>
          </w:p>
        </w:tc>
        <w:tc>
          <w:tcPr>
            <w:tcW w:type="dxa" w:w="65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sz w:val="20"/>
                <w:szCs w:val="20"/>
                <w:shd w:val="clear" w:fill="auto"/>
              </w:rPr>
              <w:t xml:space="preserve">Hashtags like #peptides, #BPC157, or #peptidetherapy would directly contravene the TGA Act. Even less obvious ones like #peptidehealing or #tissuerepairclinic could be interpreted as advertising Schedule 4 substances.</w:t>
            </w:r>
          </w:p>
        </w:tc>
      </w:tr>
      <w:tr>
        <w:tc>
          <w:tcPr>
            <w:tcW w:type="dxa" w:w="2500"/>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b/>
                <w:bCs/>
                <w:sz w:val="20"/>
                <w:szCs w:val="20"/>
              </w:rPr>
              <w:t xml:space="preserve">Comments &amp; replies</w:t>
            </w:r>
          </w:p>
        </w:tc>
        <w:tc>
          <w:tcPr>
            <w:tcW w:type="dxa" w:w="6526"/>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sz w:val="20"/>
                <w:szCs w:val="20"/>
              </w:rPr>
              <w:t xml:space="preserve">If PeakSpan responds to a user’s comment about a specific substance or treatment, that reply could be considered advertising. You are responsible for content you publish, including replies.</w:t>
            </w:r>
          </w:p>
        </w:tc>
      </w:tr>
      <w:tr>
        <w:tc>
          <w:tcPr>
            <w:tcW w:type="dxa" w:w="2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sz w:val="20"/>
                <w:szCs w:val="20"/>
                <w:shd w:val="clear" w:fill="auto"/>
              </w:rPr>
              <w:t xml:space="preserve">Sharing / reposting</w:t>
            </w:r>
          </w:p>
        </w:tc>
        <w:tc>
          <w:tcPr>
            <w:tcW w:type="dxa" w:w="65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sz w:val="20"/>
                <w:szCs w:val="20"/>
                <w:shd w:val="clear" w:fill="auto"/>
              </w:rPr>
              <w:t xml:space="preserve">Sharing or reposting third-party content about Schedule 4 substances is treated the same as creating that content yourself. The TGA holds you responsible for what you amplify.</w:t>
            </w:r>
          </w:p>
        </w:tc>
      </w:tr>
      <w:tr>
        <w:tc>
          <w:tcPr>
            <w:tcW w:type="dxa" w:w="2500"/>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b/>
                <w:bCs/>
                <w:sz w:val="20"/>
                <w:szCs w:val="20"/>
              </w:rPr>
              <w:t xml:space="preserve">User testimonials</w:t>
            </w:r>
          </w:p>
        </w:tc>
        <w:tc>
          <w:tcPr>
            <w:tcW w:type="dxa" w:w="6526"/>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sz w:val="20"/>
                <w:szCs w:val="20"/>
              </w:rPr>
              <w:t xml:space="preserve">Patient reviews, success stories, or user-generated content about treatments constitute testimonials. Endorsements and testimonials are regulated under Section 24 of the Advertising Code and must not be used for prescription-only therapeutic goods.</w:t>
            </w:r>
          </w:p>
        </w:tc>
      </w:tr>
      <w:tr>
        <w:tc>
          <w:tcPr>
            <w:tcW w:type="dxa" w:w="2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sz w:val="20"/>
                <w:szCs w:val="20"/>
                <w:shd w:val="clear" w:fill="auto"/>
              </w:rPr>
              <w:t xml:space="preserve">Before/after content</w:t>
            </w:r>
          </w:p>
        </w:tc>
        <w:tc>
          <w:tcPr>
            <w:tcW w:type="dxa" w:w="65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sz w:val="20"/>
                <w:szCs w:val="20"/>
                <w:shd w:val="clear" w:fill="auto"/>
              </w:rPr>
              <w:t xml:space="preserve">Before/after images or descriptions imply efficacy and therapeutic benefit. Under AHPRA guidelines, advertising of non-surgical cosmetic procedures must not glamorise treatments, minimise risks, or imply unrealistic outcomes.</w:t>
            </w:r>
          </w:p>
        </w:tc>
      </w:tr>
      <w:tr>
        <w:tc>
          <w:tcPr>
            <w:tcW w:type="dxa" w:w="2500"/>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b/>
                <w:bCs/>
                <w:sz w:val="20"/>
                <w:szCs w:val="20"/>
              </w:rPr>
              <w:t xml:space="preserve">Paid promotion / ads</w:t>
            </w:r>
          </w:p>
        </w:tc>
        <w:tc>
          <w:tcPr>
            <w:tcW w:type="dxa" w:w="6526"/>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sz w:val="20"/>
                <w:szCs w:val="20"/>
              </w:rPr>
              <w:t xml:space="preserve">Paid advertising amplifies the reach and increases the severity of any contravention. The same rules apply whether content is organic or boosted/promoted.</w:t>
            </w:r>
          </w:p>
        </w:tc>
      </w:tr>
    </w:tbl>
    <w:p>
      <w:r>
        <w:br w:type="page"/>
      </w:r>
    </w:p>
    <w:p>
      <w:pPr>
        <w:pStyle w:val="Heading1"/>
        <w:spacing w:before="360" w:after="120"/>
      </w:pPr>
      <w:r>
        <w:rPr>
          <w:rFonts w:ascii="Arial" w:cs="Arial" w:eastAsia="Arial" w:hAnsi="Arial"/>
          <w:b/>
          <w:bCs/>
          <w:color w:val="1B4F72"/>
          <w:sz w:val="36"/>
          <w:szCs w:val="36"/>
        </w:rPr>
        <w:t xml:space="preserve">3. Hard Rules for Social Media</w:t>
      </w:r>
    </w:p>
    <w:p>
      <w:pPr>
        <w:spacing w:after="160"/>
        <w:jc w:val="left"/>
      </w:pPr>
      <w:r>
        <w:rPr>
          <w:rFonts w:ascii="Arial" w:cs="Arial" w:eastAsia="Arial" w:hAnsi="Arial"/>
          <w:sz w:val="22"/>
          <w:szCs w:val="22"/>
        </w:rPr>
        <w:t xml:space="preserve">In addition to all the banned words and rules from the Blog Guidelines, the following rules are specific to social media:</w:t>
      </w:r>
    </w:p>
    <w:p>
      <w:pPr>
        <w:pStyle w:val="Heading2"/>
        <w:spacing w:before="240" w:after="120"/>
      </w:pPr>
      <w:r>
        <w:rPr>
          <w:rFonts w:ascii="Arial" w:cs="Arial" w:eastAsia="Arial" w:hAnsi="Arial"/>
          <w:b/>
          <w:bCs/>
          <w:color w:val="1B4F72"/>
          <w:sz w:val="28"/>
          <w:szCs w:val="28"/>
        </w:rPr>
        <w:t xml:space="preserve">3.1 Hashtags</w:t>
      </w:r>
    </w:p>
    <w:p>
      <w:pPr>
        <w:spacing w:after="160"/>
        <w:jc w:val="left"/>
      </w:pPr>
      <w:r>
        <w:rPr>
          <w:rFonts w:ascii="Arial" w:cs="Arial" w:eastAsia="Arial" w:hAnsi="Arial"/>
          <w:b/>
          <w:bCs/>
          <w:color w:val="E74C3C"/>
          <w:sz w:val="22"/>
          <w:szCs w:val="22"/>
        </w:rPr>
        <w:t xml:space="preserve">Banned hashtags </w:t>
      </w:r>
      <w:r>
        <w:rPr>
          <w:rFonts w:ascii="Arial" w:cs="Arial" w:eastAsia="Arial" w:hAnsi="Arial"/>
          <w:sz w:val="22"/>
          <w:szCs w:val="22"/>
        </w:rPr>
        <w:t xml:space="preserve">(never use these or any variation):</w:t>
      </w:r>
    </w:p>
    <w:p>
      <w:pPr>
        <w:pStyle w:val="ListParagraph"/>
        <w:numPr>
          <w:ilvl w:val="0"/>
          <w:numId w:val="3"/>
        </w:numPr>
        <w:spacing w:after="80"/>
      </w:pPr>
      <w:r>
        <w:rPr>
          <w:rFonts w:ascii="Arial" w:cs="Arial" w:eastAsia="Arial" w:hAnsi="Arial"/>
          <w:sz w:val="22"/>
          <w:szCs w:val="22"/>
        </w:rPr>
        <w:t xml:space="preserve">#peptides, #peptide, #peptidetherapy, #peptidetreatment, #peptidehealing</w:t>
      </w:r>
    </w:p>
    <w:p>
      <w:pPr>
        <w:pStyle w:val="ListParagraph"/>
        <w:numPr>
          <w:ilvl w:val="0"/>
          <w:numId w:val="3"/>
        </w:numPr>
        <w:spacing w:after="80"/>
      </w:pPr>
      <w:r>
        <w:rPr>
          <w:rFonts w:ascii="Arial" w:cs="Arial" w:eastAsia="Arial" w:hAnsi="Arial"/>
          <w:sz w:val="22"/>
          <w:szCs w:val="22"/>
        </w:rPr>
        <w:t xml:space="preserve">#BPC157 or any named Schedule 4 substance as a hashtag</w:t>
      </w:r>
    </w:p>
    <w:p>
      <w:pPr>
        <w:pStyle w:val="ListParagraph"/>
        <w:numPr>
          <w:ilvl w:val="0"/>
          <w:numId w:val="3"/>
        </w:numPr>
        <w:spacing w:after="80"/>
      </w:pPr>
      <w:r>
        <w:rPr>
          <w:rFonts w:ascii="Arial" w:cs="Arial" w:eastAsia="Arial" w:hAnsi="Arial"/>
          <w:sz w:val="22"/>
          <w:szCs w:val="22"/>
        </w:rPr>
        <w:t xml:space="preserve">#PRP, #stemcells, #stemcelltherapy, #growthfactors</w:t>
      </w:r>
    </w:p>
    <w:p>
      <w:pPr>
        <w:pStyle w:val="ListParagraph"/>
        <w:numPr>
          <w:ilvl w:val="0"/>
          <w:numId w:val="3"/>
        </w:numPr>
        <w:spacing w:after="80"/>
      </w:pPr>
      <w:r>
        <w:rPr>
          <w:rFonts w:ascii="Arial" w:cs="Arial" w:eastAsia="Arial" w:hAnsi="Arial"/>
          <w:sz w:val="22"/>
          <w:szCs w:val="22"/>
        </w:rPr>
        <w:t xml:space="preserve">#peptideclinic, #peptidedoctor, #peptidesaustralia</w:t>
      </w:r>
    </w:p>
    <w:p>
      <w:pPr>
        <w:pStyle w:val="ListParagraph"/>
        <w:numPr>
          <w:ilvl w:val="0"/>
          <w:numId w:val="3"/>
        </w:numPr>
        <w:spacing w:after="80"/>
      </w:pPr>
      <w:r>
        <w:rPr>
          <w:rFonts w:ascii="Arial" w:cs="Arial" w:eastAsia="Arial" w:hAnsi="Arial"/>
          <w:sz w:val="22"/>
          <w:szCs w:val="22"/>
        </w:rPr>
        <w:t xml:space="preserve">Any hashtag that names or implies a specific prescription treatment</w:t>
      </w:r>
    </w:p>
    <w:p>
      <w:pPr>
        <w:spacing w:after="120"/>
      </w:pPr>
    </w:p>
    <w:p>
      <w:pPr>
        <w:spacing w:after="160"/>
        <w:jc w:val="left"/>
      </w:pPr>
      <w:r>
        <w:rPr>
          <w:rFonts w:ascii="Arial" w:cs="Arial" w:eastAsia="Arial" w:hAnsi="Arial"/>
          <w:b/>
          <w:bCs/>
          <w:color w:val="27AE60"/>
          <w:sz w:val="22"/>
          <w:szCs w:val="22"/>
        </w:rPr>
        <w:t xml:space="preserve">Safe hashtags </w:t>
      </w:r>
      <w:r>
        <w:rPr>
          <w:rFonts w:ascii="Arial" w:cs="Arial" w:eastAsia="Arial" w:hAnsi="Arial"/>
          <w:sz w:val="22"/>
          <w:szCs w:val="22"/>
        </w:rPr>
        <w:t xml:space="preserve">(use these instead):</w:t>
      </w:r>
    </w:p>
    <w:p>
      <w:pPr>
        <w:pStyle w:val="ListParagraph"/>
        <w:numPr>
          <w:ilvl w:val="0"/>
          <w:numId w:val="4"/>
        </w:numPr>
        <w:spacing w:after="80"/>
      </w:pPr>
      <w:r>
        <w:rPr>
          <w:rFonts w:ascii="Arial" w:cs="Arial" w:eastAsia="Arial" w:hAnsi="Arial"/>
          <w:sz w:val="22"/>
          <w:szCs w:val="22"/>
        </w:rPr>
        <w:t xml:space="preserve">#healthoptimisation, #healthandwellness, #evidencebasedhealth</w:t>
      </w:r>
    </w:p>
    <w:p>
      <w:pPr>
        <w:pStyle w:val="ListParagraph"/>
        <w:numPr>
          <w:ilvl w:val="0"/>
          <w:numId w:val="4"/>
        </w:numPr>
        <w:spacing w:after="80"/>
      </w:pPr>
      <w:r>
        <w:rPr>
          <w:rFonts w:ascii="Arial" w:cs="Arial" w:eastAsia="Arial" w:hAnsi="Arial"/>
          <w:sz w:val="22"/>
          <w:szCs w:val="22"/>
        </w:rPr>
        <w:t xml:space="preserve">#telehealth, #telehealthaustralia, #onlinedoctor</w:t>
      </w:r>
    </w:p>
    <w:p>
      <w:pPr>
        <w:pStyle w:val="ListParagraph"/>
        <w:numPr>
          <w:ilvl w:val="0"/>
          <w:numId w:val="4"/>
        </w:numPr>
        <w:spacing w:after="80"/>
      </w:pPr>
      <w:r>
        <w:rPr>
          <w:rFonts w:ascii="Arial" w:cs="Arial" w:eastAsia="Arial" w:hAnsi="Arial"/>
          <w:sz w:val="22"/>
          <w:szCs w:val="22"/>
        </w:rPr>
        <w:t xml:space="preserve">#menshealth, #womenshealth, #healthyageing, #longevity</w:t>
      </w:r>
    </w:p>
    <w:p>
      <w:pPr>
        <w:pStyle w:val="ListParagraph"/>
        <w:numPr>
          <w:ilvl w:val="0"/>
          <w:numId w:val="4"/>
        </w:numPr>
        <w:spacing w:after="80"/>
      </w:pPr>
      <w:r>
        <w:rPr>
          <w:rFonts w:ascii="Arial" w:cs="Arial" w:eastAsia="Arial" w:hAnsi="Arial"/>
          <w:sz w:val="22"/>
          <w:szCs w:val="22"/>
        </w:rPr>
        <w:t xml:space="preserve">#tissuehealth, #recoveryjourney, #injuryprevention</w:t>
      </w:r>
    </w:p>
    <w:p>
      <w:pPr>
        <w:pStyle w:val="ListParagraph"/>
        <w:numPr>
          <w:ilvl w:val="0"/>
          <w:numId w:val="4"/>
        </w:numPr>
        <w:spacing w:after="80"/>
      </w:pPr>
      <w:r>
        <w:rPr>
          <w:rFonts w:ascii="Arial" w:cs="Arial" w:eastAsia="Arial" w:hAnsi="Arial"/>
          <w:sz w:val="22"/>
          <w:szCs w:val="22"/>
        </w:rPr>
        <w:t xml:space="preserve">#medicalconsultation, #personalisedhealthcare, #peakspanhealth</w:t>
      </w:r>
    </w:p>
    <w:p>
      <w:pPr>
        <w:spacing w:after="120"/>
      </w:pPr>
    </w:p>
    <w:p>
      <w:pPr>
        <w:pStyle w:val="Heading2"/>
        <w:spacing w:before="240" w:after="120"/>
      </w:pPr>
      <w:r>
        <w:rPr>
          <w:rFonts w:ascii="Arial" w:cs="Arial" w:eastAsia="Arial" w:hAnsi="Arial"/>
          <w:b/>
          <w:bCs/>
          <w:color w:val="1B4F72"/>
          <w:sz w:val="28"/>
          <w:szCs w:val="28"/>
        </w:rPr>
        <w:t xml:space="preserve">3.2 Images and Video</w:t>
      </w:r>
    </w:p>
    <w:p>
      <w:pPr>
        <w:spacing w:after="160"/>
        <w:jc w:val="left"/>
      </w:pPr>
      <w:r>
        <w:rPr>
          <w:rFonts w:ascii="Arial" w:cs="Arial" w:eastAsia="Arial" w:hAnsi="Arial"/>
          <w:b/>
          <w:bCs/>
          <w:color w:val="E74C3C"/>
          <w:sz w:val="22"/>
          <w:szCs w:val="22"/>
        </w:rPr>
        <w:t xml:space="preserve">Do NOT post:</w:t>
      </w:r>
    </w:p>
    <w:p>
      <w:pPr>
        <w:pStyle w:val="ListParagraph"/>
        <w:numPr>
          <w:ilvl w:val="0"/>
          <w:numId w:val="5"/>
        </w:numPr>
        <w:spacing w:after="80"/>
      </w:pPr>
      <w:r>
        <w:rPr>
          <w:rFonts w:ascii="Arial" w:cs="Arial" w:eastAsia="Arial" w:hAnsi="Arial"/>
          <w:sz w:val="22"/>
          <w:szCs w:val="22"/>
        </w:rPr>
        <w:t xml:space="preserve">Images of vials, syringes, or any injectable products</w:t>
      </w:r>
    </w:p>
    <w:p>
      <w:pPr>
        <w:pStyle w:val="ListParagraph"/>
        <w:numPr>
          <w:ilvl w:val="0"/>
          <w:numId w:val="5"/>
        </w:numPr>
        <w:spacing w:after="80"/>
      </w:pPr>
      <w:r>
        <w:rPr>
          <w:rFonts w:ascii="Arial" w:cs="Arial" w:eastAsia="Arial" w:hAnsi="Arial"/>
          <w:sz w:val="22"/>
          <w:szCs w:val="22"/>
        </w:rPr>
        <w:t xml:space="preserve">Before/after images of any kind relating to treatment outcomes</w:t>
      </w:r>
    </w:p>
    <w:p>
      <w:pPr>
        <w:pStyle w:val="ListParagraph"/>
        <w:numPr>
          <w:ilvl w:val="0"/>
          <w:numId w:val="5"/>
        </w:numPr>
        <w:spacing w:after="80"/>
      </w:pPr>
      <w:r>
        <w:rPr>
          <w:rFonts w:ascii="Arial" w:cs="Arial" w:eastAsia="Arial" w:hAnsi="Arial"/>
          <w:sz w:val="22"/>
          <w:szCs w:val="22"/>
        </w:rPr>
        <w:t xml:space="preserve">Images of specific branded or labelled therapeutic products</w:t>
      </w:r>
    </w:p>
    <w:p>
      <w:pPr>
        <w:pStyle w:val="ListParagraph"/>
        <w:numPr>
          <w:ilvl w:val="0"/>
          <w:numId w:val="5"/>
        </w:numPr>
        <w:spacing w:after="80"/>
      </w:pPr>
      <w:r>
        <w:rPr>
          <w:rFonts w:ascii="Arial" w:cs="Arial" w:eastAsia="Arial" w:hAnsi="Arial"/>
          <w:sz w:val="22"/>
          <w:szCs w:val="22"/>
        </w:rPr>
        <w:t xml:space="preserve">Video of injections, compounding, or product preparation</w:t>
      </w:r>
    </w:p>
    <w:p>
      <w:pPr>
        <w:pStyle w:val="ListParagraph"/>
        <w:numPr>
          <w:ilvl w:val="0"/>
          <w:numId w:val="5"/>
        </w:numPr>
        <w:spacing w:after="80"/>
      </w:pPr>
      <w:r>
        <w:rPr>
          <w:rFonts w:ascii="Arial" w:cs="Arial" w:eastAsia="Arial" w:hAnsi="Arial"/>
          <w:sz w:val="22"/>
          <w:szCs w:val="22"/>
        </w:rPr>
        <w:t xml:space="preserve">Infographics that name specific substances or link substances to conditions</w:t>
      </w:r>
    </w:p>
    <w:p>
      <w:pPr>
        <w:pStyle w:val="ListParagraph"/>
        <w:numPr>
          <w:ilvl w:val="0"/>
          <w:numId w:val="5"/>
        </w:numPr>
        <w:spacing w:after="80"/>
      </w:pPr>
      <w:r>
        <w:rPr>
          <w:rFonts w:ascii="Arial" w:cs="Arial" w:eastAsia="Arial" w:hAnsi="Arial"/>
          <w:sz w:val="22"/>
          <w:szCs w:val="22"/>
        </w:rPr>
        <w:t xml:space="preserve">Screenshots of research papers that name Schedule 4 substances</w:t>
      </w:r>
    </w:p>
    <w:p>
      <w:pPr>
        <w:spacing w:after="120"/>
      </w:pPr>
    </w:p>
    <w:p>
      <w:pPr>
        <w:spacing w:after="160"/>
        <w:jc w:val="left"/>
      </w:pPr>
      <w:r>
        <w:rPr>
          <w:rFonts w:ascii="Arial" w:cs="Arial" w:eastAsia="Arial" w:hAnsi="Arial"/>
          <w:b/>
          <w:bCs/>
          <w:color w:val="27AE60"/>
          <w:sz w:val="22"/>
          <w:szCs w:val="22"/>
        </w:rPr>
        <w:t xml:space="preserve">You CAN post:</w:t>
      </w:r>
    </w:p>
    <w:p>
      <w:pPr>
        <w:pStyle w:val="ListParagraph"/>
        <w:numPr>
          <w:ilvl w:val="0"/>
          <w:numId w:val="6"/>
        </w:numPr>
        <w:spacing w:after="80"/>
      </w:pPr>
      <w:r>
        <w:rPr>
          <w:rFonts w:ascii="Arial" w:cs="Arial" w:eastAsia="Arial" w:hAnsi="Arial"/>
          <w:sz w:val="22"/>
          <w:szCs w:val="22"/>
        </w:rPr>
        <w:t xml:space="preserve">Educational graphics about biological processes (e.g., how tissue heals) – without naming treatments</w:t>
      </w:r>
    </w:p>
    <w:p>
      <w:pPr>
        <w:pStyle w:val="ListParagraph"/>
        <w:numPr>
          <w:ilvl w:val="0"/>
          <w:numId w:val="6"/>
        </w:numPr>
        <w:spacing w:after="80"/>
      </w:pPr>
      <w:r>
        <w:rPr>
          <w:rFonts w:ascii="Arial" w:cs="Arial" w:eastAsia="Arial" w:hAnsi="Arial"/>
          <w:sz w:val="22"/>
          <w:szCs w:val="22"/>
        </w:rPr>
        <w:t xml:space="preserve">Lifestyle imagery (exercise, nutrition, sleep, wellness) aligned with health optimisation messaging</w:t>
      </w:r>
    </w:p>
    <w:p>
      <w:pPr>
        <w:pStyle w:val="ListParagraph"/>
        <w:numPr>
          <w:ilvl w:val="0"/>
          <w:numId w:val="6"/>
        </w:numPr>
        <w:spacing w:after="80"/>
      </w:pPr>
      <w:r>
        <w:rPr>
          <w:rFonts w:ascii="Arial" w:cs="Arial" w:eastAsia="Arial" w:hAnsi="Arial"/>
          <w:sz w:val="22"/>
          <w:szCs w:val="22"/>
        </w:rPr>
        <w:t xml:space="preserve">Team/practitioner photos that build trust and credibility</w:t>
      </w:r>
    </w:p>
    <w:p>
      <w:pPr>
        <w:pStyle w:val="ListParagraph"/>
        <w:numPr>
          <w:ilvl w:val="0"/>
          <w:numId w:val="6"/>
        </w:numPr>
        <w:spacing w:after="80"/>
      </w:pPr>
      <w:r>
        <w:rPr>
          <w:rFonts w:ascii="Arial" w:cs="Arial" w:eastAsia="Arial" w:hAnsi="Arial"/>
          <w:sz w:val="22"/>
          <w:szCs w:val="22"/>
        </w:rPr>
        <w:t xml:space="preserve">Infographics about general health topics (e.g., “5 signs you should see a doctor about fatigue”)</w:t>
      </w:r>
    </w:p>
    <w:p>
      <w:pPr>
        <w:pStyle w:val="ListParagraph"/>
        <w:numPr>
          <w:ilvl w:val="0"/>
          <w:numId w:val="6"/>
        </w:numPr>
        <w:spacing w:after="80"/>
      </w:pPr>
      <w:r>
        <w:rPr>
          <w:rFonts w:ascii="Arial" w:cs="Arial" w:eastAsia="Arial" w:hAnsi="Arial"/>
          <w:sz w:val="22"/>
          <w:szCs w:val="22"/>
        </w:rPr>
        <w:t xml:space="preserve">Video content about the telehealth consultation process (what to expect)</w:t>
      </w:r>
    </w:p>
    <w:p>
      <w:pPr>
        <w:spacing w:after="120"/>
      </w:pPr>
    </w:p>
    <w:p>
      <w:pPr>
        <w:pStyle w:val="Heading2"/>
        <w:spacing w:before="240" w:after="120"/>
      </w:pPr>
      <w:r>
        <w:rPr>
          <w:rFonts w:ascii="Arial" w:cs="Arial" w:eastAsia="Arial" w:hAnsi="Arial"/>
          <w:b/>
          <w:bCs/>
          <w:color w:val="1B4F72"/>
          <w:sz w:val="28"/>
          <w:szCs w:val="28"/>
        </w:rPr>
        <w:t xml:space="preserve">3.3 Comments and Engagement</w:t>
      </w:r>
    </w:p>
    <w:p>
      <w:pPr>
        <w:spacing w:after="160"/>
        <w:jc w:val="left"/>
      </w:pPr>
      <w:r>
        <w:rPr>
          <w:rFonts w:ascii="Arial" w:cs="Arial" w:eastAsia="Arial" w:hAnsi="Arial"/>
          <w:sz w:val="22"/>
          <w:szCs w:val="22"/>
        </w:rPr>
        <w:t xml:space="preserve">How you respond to comments is just as regulated as what you post:</w:t>
      </w:r>
    </w:p>
    <w:p>
      <w:pPr>
        <w:pStyle w:val="ListParagraph"/>
        <w:numPr>
          <w:ilvl w:val="0"/>
          <w:numId w:val="7"/>
        </w:numPr>
        <w:spacing w:after="80"/>
      </w:pPr>
      <w:r>
        <w:rPr>
          <w:rFonts w:ascii="Arial" w:cs="Arial" w:eastAsia="Arial" w:hAnsi="Arial"/>
          <w:b/>
          <w:bCs/>
          <w:sz w:val="22"/>
          <w:szCs w:val="22"/>
        </w:rPr>
        <w:t xml:space="preserve">If someone asks about a specific substance: </w:t>
      </w:r>
      <w:r>
        <w:rPr>
          <w:rFonts w:ascii="Arial" w:cs="Arial" w:eastAsia="Arial" w:hAnsi="Arial"/>
          <w:sz w:val="22"/>
          <w:szCs w:val="22"/>
        </w:rPr>
        <w:t xml:space="preserve">Do NOT name the substance in your reply. Respond with: “We’d recommend booking a consultation with one of our medical practitioners to discuss treatment options tailored to your needs.”</w:t>
      </w:r>
    </w:p>
    <w:p>
      <w:pPr>
        <w:pStyle w:val="ListParagraph"/>
        <w:numPr>
          <w:ilvl w:val="0"/>
          <w:numId w:val="7"/>
        </w:numPr>
        <w:spacing w:after="80"/>
      </w:pPr>
      <w:r>
        <w:rPr>
          <w:rFonts w:ascii="Arial" w:cs="Arial" w:eastAsia="Arial" w:hAnsi="Arial"/>
          <w:b/>
          <w:bCs/>
          <w:sz w:val="22"/>
          <w:szCs w:val="22"/>
        </w:rPr>
        <w:t xml:space="preserve">If someone shares their experience with a treatment: </w:t>
      </w:r>
      <w:r>
        <w:rPr>
          <w:rFonts w:ascii="Arial" w:cs="Arial" w:eastAsia="Arial" w:hAnsi="Arial"/>
          <w:sz w:val="22"/>
          <w:szCs w:val="22"/>
        </w:rPr>
        <w:t xml:space="preserve">Do NOT engage with the specific treatment details. Thank them for sharing and encourage them to continue working with their doctor.</w:t>
      </w:r>
    </w:p>
    <w:p>
      <w:pPr>
        <w:pStyle w:val="ListParagraph"/>
        <w:numPr>
          <w:ilvl w:val="0"/>
          <w:numId w:val="7"/>
        </w:numPr>
        <w:spacing w:after="80"/>
      </w:pPr>
      <w:r>
        <w:rPr>
          <w:rFonts w:ascii="Arial" w:cs="Arial" w:eastAsia="Arial" w:hAnsi="Arial"/>
          <w:b/>
          <w:bCs/>
          <w:sz w:val="22"/>
          <w:szCs w:val="22"/>
        </w:rPr>
        <w:t xml:space="preserve">If someone asks about pricing or availability of specific treatments: </w:t>
      </w:r>
      <w:r>
        <w:rPr>
          <w:rFonts w:ascii="Arial" w:cs="Arial" w:eastAsia="Arial" w:hAnsi="Arial"/>
          <w:sz w:val="22"/>
          <w:szCs w:val="22"/>
        </w:rPr>
        <w:t xml:space="preserve">Do NOT list products or prices publicly. Direct them to a private conversation or consultation booking.</w:t>
      </w:r>
    </w:p>
    <w:p>
      <w:pPr>
        <w:pStyle w:val="ListParagraph"/>
        <w:numPr>
          <w:ilvl w:val="0"/>
          <w:numId w:val="7"/>
        </w:numPr>
        <w:spacing w:after="80"/>
      </w:pPr>
      <w:r>
        <w:rPr>
          <w:rFonts w:ascii="Arial" w:cs="Arial" w:eastAsia="Arial" w:hAnsi="Arial"/>
          <w:b/>
          <w:bCs/>
          <w:sz w:val="22"/>
          <w:szCs w:val="22"/>
        </w:rPr>
        <w:t xml:space="preserve">If a comment contains prohibited claims: </w:t>
      </w:r>
      <w:r>
        <w:rPr>
          <w:rFonts w:ascii="Arial" w:cs="Arial" w:eastAsia="Arial" w:hAnsi="Arial"/>
          <w:sz w:val="22"/>
          <w:szCs w:val="22"/>
        </w:rPr>
        <w:t xml:space="preserve">Consider hiding or deleting the comment. User-generated content on your page can be treated as your own advertising if you leave it visible.</w:t>
      </w:r>
    </w:p>
    <w:p>
      <w:pPr>
        <w:spacing w:after="120"/>
      </w:pPr>
    </w:p>
    <w:p>
      <w:pPr>
        <w:pStyle w:val="Heading2"/>
        <w:spacing w:before="240" w:after="120"/>
      </w:pPr>
      <w:r>
        <w:rPr>
          <w:rFonts w:ascii="Arial" w:cs="Arial" w:eastAsia="Arial" w:hAnsi="Arial"/>
          <w:b/>
          <w:bCs/>
          <w:color w:val="1B4F72"/>
          <w:sz w:val="28"/>
          <w:szCs w:val="28"/>
        </w:rPr>
        <w:t xml:space="preserve">3.4 Sharing and Reposting</w:t>
      </w:r>
    </w:p>
    <w:p>
      <w:pPr>
        <w:pStyle w:val="ListParagraph"/>
        <w:numPr>
          <w:ilvl w:val="0"/>
          <w:numId w:val="8"/>
        </w:numPr>
        <w:spacing w:after="80"/>
      </w:pPr>
      <w:r>
        <w:rPr>
          <w:rFonts w:ascii="Arial" w:cs="Arial" w:eastAsia="Arial" w:hAnsi="Arial"/>
          <w:sz w:val="22"/>
          <w:szCs w:val="22"/>
        </w:rPr>
        <w:t xml:space="preserve">Do NOT share or repost any content from other accounts that names specific Schedule 4 substances, even if it comes from a reputable science publication or news outlet</w:t>
      </w:r>
    </w:p>
    <w:p>
      <w:pPr>
        <w:pStyle w:val="ListParagraph"/>
        <w:numPr>
          <w:ilvl w:val="0"/>
          <w:numId w:val="8"/>
        </w:numPr>
        <w:spacing w:after="80"/>
      </w:pPr>
      <w:r>
        <w:rPr>
          <w:rFonts w:ascii="Arial" w:cs="Arial" w:eastAsia="Arial" w:hAnsi="Arial"/>
          <w:sz w:val="22"/>
          <w:szCs w:val="22"/>
        </w:rPr>
        <w:t xml:space="preserve">Do NOT share patient testimonials, reviews, or success stories about specific treatments</w:t>
      </w:r>
    </w:p>
    <w:p>
      <w:pPr>
        <w:pStyle w:val="ListParagraph"/>
        <w:numPr>
          <w:ilvl w:val="0"/>
          <w:numId w:val="8"/>
        </w:numPr>
        <w:spacing w:after="80"/>
      </w:pPr>
      <w:r>
        <w:rPr>
          <w:rFonts w:ascii="Arial" w:cs="Arial" w:eastAsia="Arial" w:hAnsi="Arial"/>
          <w:sz w:val="22"/>
          <w:szCs w:val="22"/>
        </w:rPr>
        <w:t xml:space="preserve">You CAN share general health and wellness content from reputable sources (e.g., WHO, Heart Foundation, government health bodies) provided it does not name Schedule 4 substances</w:t>
      </w:r>
    </w:p>
    <w:p>
      <w:pPr>
        <w:pStyle w:val="ListParagraph"/>
        <w:numPr>
          <w:ilvl w:val="0"/>
          <w:numId w:val="8"/>
        </w:numPr>
        <w:spacing w:after="80"/>
      </w:pPr>
      <w:r>
        <w:rPr>
          <w:rFonts w:ascii="Arial" w:cs="Arial" w:eastAsia="Arial" w:hAnsi="Arial"/>
          <w:sz w:val="22"/>
          <w:szCs w:val="22"/>
        </w:rPr>
        <w:t xml:space="preserve">You CAN share your own compliant blog posts</w:t>
      </w:r>
    </w:p>
    <w:p>
      <w:r>
        <w:br w:type="page"/>
      </w:r>
    </w:p>
    <w:p>
      <w:pPr>
        <w:pStyle w:val="Heading1"/>
        <w:spacing w:before="360" w:after="120"/>
      </w:pPr>
      <w:r>
        <w:rPr>
          <w:rFonts w:ascii="Arial" w:cs="Arial" w:eastAsia="Arial" w:hAnsi="Arial"/>
          <w:b/>
          <w:bCs/>
          <w:color w:val="1B4F72"/>
          <w:sz w:val="36"/>
          <w:szCs w:val="36"/>
        </w:rPr>
        <w:t xml:space="preserve">4. Platform-Specific Guidance</w:t>
      </w:r>
    </w:p>
    <w:p>
      <w:pPr>
        <w:pStyle w:val="Heading2"/>
        <w:spacing w:before="240" w:after="120"/>
      </w:pPr>
      <w:r>
        <w:rPr>
          <w:rFonts w:ascii="Arial" w:cs="Arial" w:eastAsia="Arial" w:hAnsi="Arial"/>
          <w:b/>
          <w:bCs/>
          <w:color w:val="1B4F72"/>
          <w:sz w:val="28"/>
          <w:szCs w:val="28"/>
        </w:rPr>
        <w:t xml:space="preserve">4.1 Facebook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shd w:val="clear" w:fill="auto"/>
              </w:rPr>
              <w:t xml:space="preserve">Feature</w:t>
            </w:r>
          </w:p>
        </w:tc>
        <w:tc>
          <w:tcPr>
            <w:tcW w:type="dxa" w:w="65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shd w:val="clear" w:fill="auto"/>
              </w:rPr>
              <w:t xml:space="preserve">Compliance Notes</w:t>
            </w:r>
          </w:p>
        </w:tc>
      </w:tr>
      <w:tr>
        <w:tc>
          <w:tcPr>
            <w:tcW w:type="dxa" w:w="2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sz w:val="20"/>
                <w:szCs w:val="20"/>
                <w:shd w:val="clear" w:fill="auto"/>
              </w:rPr>
              <w:t xml:space="preserve">Posts</w:t>
            </w:r>
          </w:p>
        </w:tc>
        <w:tc>
          <w:tcPr>
            <w:tcW w:type="dxa" w:w="65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sz w:val="20"/>
                <w:szCs w:val="20"/>
                <w:shd w:val="clear" w:fill="auto"/>
              </w:rPr>
              <w:t xml:space="preserve">All core rules apply. Longer format allows more nuance, but every post must still pass the pre-publication checklist.</w:t>
            </w:r>
          </w:p>
        </w:tc>
      </w:tr>
      <w:tr>
        <w:tc>
          <w:tcPr>
            <w:tcW w:type="dxa" w:w="2500"/>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b/>
                <w:bCs/>
                <w:sz w:val="20"/>
                <w:szCs w:val="20"/>
              </w:rPr>
              <w:t xml:space="preserve">Facebook Groups</w:t>
            </w:r>
          </w:p>
        </w:tc>
        <w:tc>
          <w:tcPr>
            <w:tcW w:type="dxa" w:w="6526"/>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sz w:val="20"/>
                <w:szCs w:val="20"/>
              </w:rPr>
              <w:t xml:space="preserve">If PeakSpan runs or participates in groups, all posts and comments within them are subject to the same rules. Moderate group posts for prohibited content.</w:t>
            </w:r>
          </w:p>
        </w:tc>
      </w:tr>
      <w:tr>
        <w:tc>
          <w:tcPr>
            <w:tcW w:type="dxa" w:w="2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sz w:val="20"/>
                <w:szCs w:val="20"/>
                <w:shd w:val="clear" w:fill="auto"/>
              </w:rPr>
              <w:t xml:space="preserve">Facebook Ads</w:t>
            </w:r>
          </w:p>
        </w:tc>
        <w:tc>
          <w:tcPr>
            <w:tcW w:type="dxa" w:w="65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sz w:val="20"/>
                <w:szCs w:val="20"/>
                <w:shd w:val="clear" w:fill="auto"/>
              </w:rPr>
              <w:t xml:space="preserve">Paid promotion increases regulatory exposure. Never boost a post that would not pass the compliance checklist. Facebook’s own health advertising policies also apply.</w:t>
            </w:r>
          </w:p>
        </w:tc>
      </w:tr>
      <w:tr>
        <w:tc>
          <w:tcPr>
            <w:tcW w:type="dxa" w:w="2500"/>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b/>
                <w:bCs/>
                <w:sz w:val="20"/>
                <w:szCs w:val="20"/>
              </w:rPr>
              <w:t xml:space="preserve">Reviews</w:t>
            </w:r>
          </w:p>
        </w:tc>
        <w:tc>
          <w:tcPr>
            <w:tcW w:type="dxa" w:w="6526"/>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sz w:val="20"/>
                <w:szCs w:val="20"/>
              </w:rPr>
              <w:t xml:space="preserve">You cannot control what patients write in reviews, but you should NOT solicit reviews about specific treatments. Do not respond to reviews by naming treatments.</w:t>
            </w:r>
          </w:p>
        </w:tc>
      </w:tr>
    </w:tbl>
    <w:p>
      <w:pPr>
        <w:spacing w:after="120"/>
      </w:pPr>
    </w:p>
    <w:p>
      <w:pPr>
        <w:pStyle w:val="Heading2"/>
        <w:spacing w:before="240" w:after="120"/>
      </w:pPr>
      <w:r>
        <w:rPr>
          <w:rFonts w:ascii="Arial" w:cs="Arial" w:eastAsia="Arial" w:hAnsi="Arial"/>
          <w:b/>
          <w:bCs/>
          <w:color w:val="1B4F72"/>
          <w:sz w:val="28"/>
          <w:szCs w:val="28"/>
        </w:rPr>
        <w:t xml:space="preserve">4.2 Instagram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shd w:val="clear" w:fill="auto"/>
              </w:rPr>
              <w:t xml:space="preserve">Feature</w:t>
            </w:r>
          </w:p>
        </w:tc>
        <w:tc>
          <w:tcPr>
            <w:tcW w:type="dxa" w:w="65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shd w:val="clear" w:fill="auto"/>
              </w:rPr>
              <w:t xml:space="preserve">Compliance Notes</w:t>
            </w:r>
          </w:p>
        </w:tc>
      </w:tr>
      <w:tr>
        <w:tc>
          <w:tcPr>
            <w:tcW w:type="dxa" w:w="2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sz w:val="20"/>
                <w:szCs w:val="20"/>
                <w:shd w:val="clear" w:fill="auto"/>
              </w:rPr>
              <w:t xml:space="preserve">Feed Posts</w:t>
            </w:r>
          </w:p>
        </w:tc>
        <w:tc>
          <w:tcPr>
            <w:tcW w:type="dxa" w:w="65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sz w:val="20"/>
                <w:szCs w:val="20"/>
                <w:shd w:val="clear" w:fill="auto"/>
              </w:rPr>
              <w:t xml:space="preserve">Image + caption. Both the visual and the text must be compliant. An image of a vial with a compliant caption is still non-compliant.</w:t>
            </w:r>
          </w:p>
        </w:tc>
      </w:tr>
      <w:tr>
        <w:tc>
          <w:tcPr>
            <w:tcW w:type="dxa" w:w="2500"/>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b/>
                <w:bCs/>
                <w:sz w:val="20"/>
                <w:szCs w:val="20"/>
              </w:rPr>
              <w:t xml:space="preserve">Stories</w:t>
            </w:r>
          </w:p>
        </w:tc>
        <w:tc>
          <w:tcPr>
            <w:tcW w:type="dxa" w:w="6526"/>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sz w:val="20"/>
                <w:szCs w:val="20"/>
              </w:rPr>
              <w:t xml:space="preserve">Ephemeral content is still advertising. Stories disappear after 24 hours but the TGA can capture them during investigation. Same rules apply.</w:t>
            </w:r>
          </w:p>
        </w:tc>
      </w:tr>
      <w:tr>
        <w:tc>
          <w:tcPr>
            <w:tcW w:type="dxa" w:w="2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sz w:val="20"/>
                <w:szCs w:val="20"/>
                <w:shd w:val="clear" w:fill="auto"/>
              </w:rPr>
              <w:t xml:space="preserve">Reels</w:t>
            </w:r>
          </w:p>
        </w:tc>
        <w:tc>
          <w:tcPr>
            <w:tcW w:type="dxa" w:w="65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sz w:val="20"/>
                <w:szCs w:val="20"/>
                <w:shd w:val="clear" w:fill="auto"/>
              </w:rPr>
              <w:t xml:space="preserve">Video content carries extra risk. Do not show treatments, products, or make verbal claims about specific substances. Educational health content is fine.</w:t>
            </w:r>
          </w:p>
        </w:tc>
      </w:tr>
      <w:tr>
        <w:tc>
          <w:tcPr>
            <w:tcW w:type="dxa" w:w="2500"/>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b/>
                <w:bCs/>
                <w:sz w:val="20"/>
                <w:szCs w:val="20"/>
              </w:rPr>
              <w:t xml:space="preserve">Highlights</w:t>
            </w:r>
          </w:p>
        </w:tc>
        <w:tc>
          <w:tcPr>
            <w:tcW w:type="dxa" w:w="6526"/>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sz w:val="20"/>
                <w:szCs w:val="20"/>
              </w:rPr>
              <w:t xml:space="preserve">Permanent collections of Stories. Audit these regularly to ensure all saved content remains compliant.</w:t>
            </w:r>
          </w:p>
        </w:tc>
      </w:tr>
      <w:tr>
        <w:tc>
          <w:tcPr>
            <w:tcW w:type="dxa" w:w="2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sz w:val="20"/>
                <w:szCs w:val="20"/>
                <w:shd w:val="clear" w:fill="auto"/>
              </w:rPr>
              <w:t xml:space="preserve">DMs</w:t>
            </w:r>
          </w:p>
        </w:tc>
        <w:tc>
          <w:tcPr>
            <w:tcW w:type="dxa" w:w="65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sz w:val="20"/>
                <w:szCs w:val="20"/>
                <w:shd w:val="clear" w:fill="auto"/>
              </w:rPr>
              <w:t xml:space="preserve">Direct messages to individuals are lower risk but could still be captured by TGA covert operatives. Never send treatment-specific information via DM as a sales approach.</w:t>
            </w:r>
          </w:p>
        </w:tc>
      </w:tr>
    </w:tbl>
    <w:p>
      <w:pPr>
        <w:spacing w:after="120"/>
      </w:pPr>
    </w:p>
    <w:p>
      <w:pPr>
        <w:pStyle w:val="Heading2"/>
        <w:spacing w:before="240" w:after="120"/>
      </w:pPr>
      <w:r>
        <w:rPr>
          <w:rFonts w:ascii="Arial" w:cs="Arial" w:eastAsia="Arial" w:hAnsi="Arial"/>
          <w:b/>
          <w:bCs/>
          <w:color w:val="1B4F72"/>
          <w:sz w:val="28"/>
          <w:szCs w:val="28"/>
        </w:rPr>
        <w:t xml:space="preserve">4.3 LinkedIn</w:t>
      </w:r>
    </w:p>
    <w:p>
      <w:pPr>
        <w:spacing w:after="160"/>
        <w:jc w:val="left"/>
      </w:pPr>
      <w:r>
        <w:rPr>
          <w:rFonts w:ascii="Arial" w:cs="Arial" w:eastAsia="Arial" w:hAnsi="Arial"/>
          <w:sz w:val="22"/>
          <w:szCs w:val="22"/>
        </w:rPr>
        <w:t xml:space="preserve">LinkedIn’s professional audience may feel like safer territory, but the same laws apply. Posts, articles, and comments are all subject to TGA, AHPRA, and ACL requirements. LinkedIn is a strong platform for thought leadership content about evidence-based medicine, the importance of medical consultation, and the telehealth model.</w:t>
      </w:r>
    </w:p>
    <w:p>
      <w:pPr>
        <w:spacing w:after="120"/>
      </w:pPr>
    </w:p>
    <w:p>
      <w:pPr>
        <w:pStyle w:val="Heading2"/>
        <w:spacing w:before="240" w:after="120"/>
      </w:pPr>
      <w:r>
        <w:rPr>
          <w:rFonts w:ascii="Arial" w:cs="Arial" w:eastAsia="Arial" w:hAnsi="Arial"/>
          <w:b/>
          <w:bCs/>
          <w:color w:val="1B4F72"/>
          <w:sz w:val="28"/>
          <w:szCs w:val="28"/>
        </w:rPr>
        <w:t xml:space="preserve">4.4 TikTok</w:t>
      </w:r>
    </w:p>
    <w:p>
      <w:pPr>
        <w:spacing w:after="160"/>
        <w:jc w:val="left"/>
      </w:pPr>
      <w:r>
        <w:rPr>
          <w:rFonts w:ascii="Arial" w:cs="Arial" w:eastAsia="Arial" w:hAnsi="Arial"/>
          <w:sz w:val="22"/>
          <w:szCs w:val="22"/>
        </w:rPr>
        <w:t xml:space="preserve">TikTok carries the highest risk of all platforms for health businesses due to the extremely short format, trend-driven culture, and difficulty of presenting balanced scientific information in 15–60 seconds. If PeakSpan uses TikTok, content must be purely educational and lifestyle-focused. Never discuss specific treatments, substances, or therapeutic outcomes.</w:t>
      </w:r>
    </w:p>
    <w:p>
      <w:r>
        <w:br w:type="page"/>
      </w:r>
    </w:p>
    <w:p>
      <w:pPr>
        <w:pStyle w:val="Heading1"/>
        <w:spacing w:before="360" w:after="120"/>
      </w:pPr>
      <w:r>
        <w:rPr>
          <w:rFonts w:ascii="Arial" w:cs="Arial" w:eastAsia="Arial" w:hAnsi="Arial"/>
          <w:b/>
          <w:bCs/>
          <w:color w:val="1B4F72"/>
          <w:sz w:val="36"/>
          <w:szCs w:val="36"/>
        </w:rPr>
        <w:t xml:space="preserve">5. Compliant Post Templates</w:t>
      </w:r>
    </w:p>
    <w:p>
      <w:pPr>
        <w:spacing w:after="160"/>
        <w:jc w:val="left"/>
      </w:pPr>
      <w:r>
        <w:rPr>
          <w:rFonts w:ascii="Arial" w:cs="Arial" w:eastAsia="Arial" w:hAnsi="Arial"/>
          <w:sz w:val="22"/>
          <w:szCs w:val="22"/>
        </w:rPr>
        <w:t xml:space="preserve">Below are template structures for the most common types of social media posts PeakSpan might publish.</w:t>
      </w:r>
    </w:p>
    <w:p>
      <w:pPr>
        <w:spacing w:after="120"/>
      </w:pPr>
    </w:p>
    <w:p>
      <w:pPr>
        <w:pStyle w:val="Heading2"/>
        <w:spacing w:before="240" w:after="120"/>
      </w:pPr>
      <w:r>
        <w:rPr>
          <w:rFonts w:ascii="Arial" w:cs="Arial" w:eastAsia="Arial" w:hAnsi="Arial"/>
          <w:b/>
          <w:bCs/>
          <w:color w:val="1B4F72"/>
          <w:sz w:val="28"/>
          <w:szCs w:val="28"/>
        </w:rPr>
        <w:t xml:space="preserve">5.1 Educational Health Post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3"/>
              <w:left w:val="single" w:color="27AE60" w:sz="6"/>
              <w:bottom w:val="single" w:color="27AE60" w:sz="1"/>
              <w:right w:val="single" w:color="27AE60" w:sz="1"/>
            </w:tcBorders>
            <w:shd w:fill="D5F5E3" w:val="clear"/>
            <w:tcMar>
              <w:top w:type="dxa" w:w="100"/>
              <w:left w:type="dxa" w:w="160"/>
              <w:bottom w:type="dxa" w:w="100"/>
              <w:right w:type="dxa" w:w="160"/>
            </w:tcMar>
          </w:tcPr>
          <w:p>
            <w:pPr>
              <w:spacing w:after="160"/>
              <w:jc w:val="left"/>
            </w:pPr>
            <w:r>
              <w:rPr>
                <w:rFonts w:ascii="Arial" w:cs="Arial" w:eastAsia="Arial" w:hAnsi="Arial"/>
                <w:b/>
                <w:bCs/>
                <w:color w:val="27AE60"/>
                <w:sz w:val="22"/>
                <w:szCs w:val="22"/>
              </w:rPr>
              <w:t xml:space="preserve">TEMPLATE</w:t>
            </w:r>
          </w:p>
          <w:p>
            <w:pPr>
              <w:spacing w:after="40"/>
            </w:pPr>
          </w:p>
          <w:p>
            <w:pPr>
              <w:spacing w:after="160"/>
              <w:jc w:val="left"/>
            </w:pPr>
            <w:r>
              <w:rPr>
                <w:rFonts w:ascii="Arial" w:cs="Arial" w:eastAsia="Arial" w:hAnsi="Arial"/>
                <w:b/>
                <w:bCs/>
                <w:color w:val="27AE60"/>
                <w:sz w:val="22"/>
                <w:szCs w:val="22"/>
              </w:rPr>
              <w:t xml:space="preserve">Hook: </w:t>
            </w:r>
            <w:r>
              <w:rPr>
                <w:rFonts w:ascii="Arial" w:cs="Arial" w:eastAsia="Arial" w:hAnsi="Arial"/>
                <w:color w:val="27AE60"/>
                <w:sz w:val="22"/>
                <w:szCs w:val="22"/>
              </w:rPr>
              <w:t xml:space="preserve">Interesting health fact or question about a condition/biological process</w:t>
            </w:r>
          </w:p>
          <w:p>
            <w:pPr>
              <w:spacing w:after="160"/>
              <w:jc w:val="left"/>
            </w:pPr>
            <w:r>
              <w:rPr>
                <w:rFonts w:ascii="Arial" w:cs="Arial" w:eastAsia="Arial" w:hAnsi="Arial"/>
                <w:b/>
                <w:bCs/>
                <w:color w:val="27AE60"/>
                <w:sz w:val="22"/>
                <w:szCs w:val="22"/>
              </w:rPr>
              <w:t xml:space="preserve">Body: </w:t>
            </w:r>
            <w:r>
              <w:rPr>
                <w:rFonts w:ascii="Arial" w:cs="Arial" w:eastAsia="Arial" w:hAnsi="Arial"/>
                <w:color w:val="27AE60"/>
                <w:sz w:val="22"/>
                <w:szCs w:val="22"/>
              </w:rPr>
              <w:t xml:space="preserve">2–3 sentences of educational content. Explain the science in plain language. Do NOT name treatments.</w:t>
            </w:r>
          </w:p>
          <w:p>
            <w:pPr>
              <w:spacing w:after="160"/>
              <w:jc w:val="left"/>
            </w:pPr>
            <w:r>
              <w:rPr>
                <w:rFonts w:ascii="Arial" w:cs="Arial" w:eastAsia="Arial" w:hAnsi="Arial"/>
                <w:b/>
                <w:bCs/>
                <w:color w:val="27AE60"/>
                <w:sz w:val="22"/>
                <w:szCs w:val="22"/>
              </w:rPr>
              <w:t xml:space="preserve">CTA: </w:t>
            </w:r>
            <w:r>
              <w:rPr>
                <w:rFonts w:ascii="Arial" w:cs="Arial" w:eastAsia="Arial" w:hAnsi="Arial"/>
                <w:color w:val="27AE60"/>
                <w:sz w:val="22"/>
                <w:szCs w:val="22"/>
              </w:rPr>
              <w:t xml:space="preserve">“Want to learn more about how your body heals? Talk to one of our medical practitioners about your health goals.”</w:t>
            </w:r>
          </w:p>
          <w:p>
            <w:pPr>
              <w:spacing w:after="160"/>
              <w:jc w:val="left"/>
            </w:pPr>
            <w:r>
              <w:rPr>
                <w:rFonts w:ascii="Arial" w:cs="Arial" w:eastAsia="Arial" w:hAnsi="Arial"/>
                <w:b/>
                <w:bCs/>
                <w:color w:val="27AE60"/>
                <w:sz w:val="22"/>
                <w:szCs w:val="22"/>
              </w:rPr>
              <w:t xml:space="preserve">Hashtags: </w:t>
            </w:r>
            <w:r>
              <w:rPr>
                <w:rFonts w:ascii="Arial" w:cs="Arial" w:eastAsia="Arial" w:hAnsi="Arial"/>
                <w:color w:val="27AE60"/>
                <w:sz w:val="22"/>
                <w:szCs w:val="22"/>
              </w:rPr>
              <w:t xml:space="preserve">#healthoptimisation #evidencebasedhealth #telehealth #peakspanhealth</w:t>
            </w:r>
          </w:p>
        </w:tc>
      </w:tr>
    </w:tbl>
    <w:p>
      <w:pPr>
        <w:spacing w:after="120"/>
      </w:pPr>
    </w:p>
    <w:p>
      <w:pPr>
        <w:spacing w:after="160"/>
        <w:jc w:val="left"/>
      </w:pPr>
      <w:r>
        <w:rPr>
          <w:rFonts w:ascii="Arial" w:cs="Arial" w:eastAsia="Arial" w:hAnsi="Arial"/>
          <w:b/>
          <w:bCs/>
          <w:i/>
          <w:iCs/>
          <w:sz w:val="22"/>
          <w:szCs w:val="22"/>
        </w:rPr>
        <w:t xml:space="preserve">Example: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3"/>
              <w:left w:val="single" w:color="1B4F72" w:sz="6"/>
              <w:bottom w:val="single" w:color="1B4F72" w:sz="1"/>
              <w:right w:val="single" w:color="1B4F72" w:sz="1"/>
            </w:tcBorders>
            <w:shd w:fill="D6EAF8" w:val="clear"/>
            <w:tcMar>
              <w:top w:type="dxa" w:w="100"/>
              <w:left w:type="dxa" w:w="160"/>
              <w:bottom w:type="dxa" w:w="100"/>
              <w:right w:type="dxa" w:w="160"/>
            </w:tcMar>
          </w:tcPr>
          <w:p>
            <w:pPr>
              <w:spacing w:after="160"/>
              <w:jc w:val="left"/>
            </w:pPr>
            <w:r>
              <w:rPr>
                <w:rFonts w:ascii="Arial" w:cs="Arial" w:eastAsia="Arial" w:hAnsi="Arial"/>
                <w:i/>
                <w:iCs/>
                <w:color w:val="333333"/>
                <w:sz w:val="22"/>
                <w:szCs w:val="22"/>
              </w:rPr>
              <w:t xml:space="preserve">“Did you know your body is constantly repairing and rebuilding tissue? The process of angiogenesis – forming new blood vessels – is one of the critical mechanisms your body uses to deliver oxygen and nutrients to healing tissues. Understanding these natural processes is the first step to supporting your recovery. If you’re dealing with a chronic injury or want to optimise your healing, a conversation with a qualified doctor can help you explore evidence-based options.”</w:t>
            </w:r>
          </w:p>
          <w:p>
            <w:pPr>
              <w:spacing w:after="40"/>
            </w:pPr>
          </w:p>
          <w:p>
            <w:pPr>
              <w:spacing w:after="160"/>
              <w:jc w:val="left"/>
            </w:pPr>
            <w:r>
              <w:rPr>
                <w:rFonts w:ascii="Arial" w:cs="Arial" w:eastAsia="Arial" w:hAnsi="Arial"/>
                <w:color w:val="555555"/>
                <w:sz w:val="18"/>
                <w:szCs w:val="18"/>
              </w:rPr>
              <w:t xml:space="preserve">#healthoptimisation #tissuehealth #recoveryjourney #telehealthaustralia #peakspanhealth</w:t>
            </w:r>
          </w:p>
        </w:tc>
      </w:tr>
    </w:tbl>
    <w:p>
      <w:pPr>
        <w:spacing w:after="120"/>
      </w:pPr>
    </w:p>
    <w:p>
      <w:pPr>
        <w:pStyle w:val="Heading2"/>
        <w:spacing w:before="240" w:after="120"/>
      </w:pPr>
      <w:r>
        <w:rPr>
          <w:rFonts w:ascii="Arial" w:cs="Arial" w:eastAsia="Arial" w:hAnsi="Arial"/>
          <w:b/>
          <w:bCs/>
          <w:color w:val="1B4F72"/>
          <w:sz w:val="28"/>
          <w:szCs w:val="28"/>
        </w:rPr>
        <w:t xml:space="preserve">5.2 Practitioner / Trust-Building Post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3"/>
              <w:left w:val="single" w:color="27AE60" w:sz="6"/>
              <w:bottom w:val="single" w:color="27AE60" w:sz="1"/>
              <w:right w:val="single" w:color="27AE60" w:sz="1"/>
            </w:tcBorders>
            <w:shd w:fill="D5F5E3" w:val="clear"/>
            <w:tcMar>
              <w:top w:type="dxa" w:w="100"/>
              <w:left w:type="dxa" w:w="160"/>
              <w:bottom w:type="dxa" w:w="100"/>
              <w:right w:type="dxa" w:w="160"/>
            </w:tcMar>
          </w:tcPr>
          <w:p>
            <w:pPr>
              <w:spacing w:after="160"/>
              <w:jc w:val="left"/>
            </w:pPr>
            <w:r>
              <w:rPr>
                <w:rFonts w:ascii="Arial" w:cs="Arial" w:eastAsia="Arial" w:hAnsi="Arial"/>
                <w:b/>
                <w:bCs/>
                <w:color w:val="27AE60"/>
                <w:sz w:val="22"/>
                <w:szCs w:val="22"/>
              </w:rPr>
              <w:t xml:space="preserve">TEMPLATE</w:t>
            </w:r>
          </w:p>
          <w:p>
            <w:pPr>
              <w:spacing w:after="40"/>
            </w:pPr>
          </w:p>
          <w:p>
            <w:pPr>
              <w:spacing w:after="160"/>
              <w:jc w:val="left"/>
            </w:pPr>
            <w:r>
              <w:rPr>
                <w:rFonts w:ascii="Arial" w:cs="Arial" w:eastAsia="Arial" w:hAnsi="Arial"/>
                <w:b/>
                <w:bCs/>
                <w:color w:val="27AE60"/>
                <w:sz w:val="22"/>
                <w:szCs w:val="22"/>
              </w:rPr>
              <w:t xml:space="preserve">Hook: </w:t>
            </w:r>
            <w:r>
              <w:rPr>
                <w:rFonts w:ascii="Arial" w:cs="Arial" w:eastAsia="Arial" w:hAnsi="Arial"/>
                <w:color w:val="27AE60"/>
                <w:sz w:val="22"/>
                <w:szCs w:val="22"/>
              </w:rPr>
              <w:t xml:space="preserve">Introduce a team member or share a professional insight</w:t>
            </w:r>
          </w:p>
          <w:p>
            <w:pPr>
              <w:spacing w:after="160"/>
              <w:jc w:val="left"/>
            </w:pPr>
            <w:r>
              <w:rPr>
                <w:rFonts w:ascii="Arial" w:cs="Arial" w:eastAsia="Arial" w:hAnsi="Arial"/>
                <w:b/>
                <w:bCs/>
                <w:color w:val="27AE60"/>
                <w:sz w:val="22"/>
                <w:szCs w:val="22"/>
              </w:rPr>
              <w:t xml:space="preserve">Body: </w:t>
            </w:r>
            <w:r>
              <w:rPr>
                <w:rFonts w:ascii="Arial" w:cs="Arial" w:eastAsia="Arial" w:hAnsi="Arial"/>
                <w:color w:val="27AE60"/>
                <w:sz w:val="22"/>
                <w:szCs w:val="22"/>
              </w:rPr>
              <w:t xml:space="preserve">What drives this practitioner. Their approach to patient care. Emphasis on thorough assessment and individualised treatment.</w:t>
            </w:r>
          </w:p>
          <w:p>
            <w:pPr>
              <w:spacing w:after="160"/>
              <w:jc w:val="left"/>
            </w:pPr>
            <w:r>
              <w:rPr>
                <w:rFonts w:ascii="Arial" w:cs="Arial" w:eastAsia="Arial" w:hAnsi="Arial"/>
                <w:b/>
                <w:bCs/>
                <w:color w:val="27AE60"/>
                <w:sz w:val="22"/>
                <w:szCs w:val="22"/>
              </w:rPr>
              <w:t xml:space="preserve">CTA: </w:t>
            </w:r>
            <w:r>
              <w:rPr>
                <w:rFonts w:ascii="Arial" w:cs="Arial" w:eastAsia="Arial" w:hAnsi="Arial"/>
                <w:color w:val="27AE60"/>
                <w:sz w:val="22"/>
                <w:szCs w:val="22"/>
              </w:rPr>
              <w:t xml:space="preserve">“Book a consultation to experience our approach to personalised healthcare.”</w:t>
            </w:r>
          </w:p>
        </w:tc>
      </w:tr>
    </w:tbl>
    <w:p>
      <w:pPr>
        <w:spacing w:after="120"/>
      </w:pPr>
    </w:p>
    <w:p>
      <w:pPr>
        <w:pStyle w:val="Heading2"/>
        <w:spacing w:before="240" w:after="120"/>
      </w:pPr>
      <w:r>
        <w:rPr>
          <w:rFonts w:ascii="Arial" w:cs="Arial" w:eastAsia="Arial" w:hAnsi="Arial"/>
          <w:b/>
          <w:bCs/>
          <w:color w:val="1B4F72"/>
          <w:sz w:val="28"/>
          <w:szCs w:val="28"/>
        </w:rPr>
        <w:t xml:space="preserve">5.3 Blog Promotion Post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3"/>
              <w:left w:val="single" w:color="27AE60" w:sz="6"/>
              <w:bottom w:val="single" w:color="27AE60" w:sz="1"/>
              <w:right w:val="single" w:color="27AE60" w:sz="1"/>
            </w:tcBorders>
            <w:shd w:fill="D5F5E3" w:val="clear"/>
            <w:tcMar>
              <w:top w:type="dxa" w:w="100"/>
              <w:left w:type="dxa" w:w="160"/>
              <w:bottom w:type="dxa" w:w="100"/>
              <w:right w:type="dxa" w:w="160"/>
            </w:tcMar>
          </w:tcPr>
          <w:p>
            <w:pPr>
              <w:spacing w:after="160"/>
              <w:jc w:val="left"/>
            </w:pPr>
            <w:r>
              <w:rPr>
                <w:rFonts w:ascii="Arial" w:cs="Arial" w:eastAsia="Arial" w:hAnsi="Arial"/>
                <w:b/>
                <w:bCs/>
                <w:color w:val="27AE60"/>
                <w:sz w:val="22"/>
                <w:szCs w:val="22"/>
              </w:rPr>
              <w:t xml:space="preserve">TEMPLATE</w:t>
            </w:r>
          </w:p>
          <w:p>
            <w:pPr>
              <w:spacing w:after="40"/>
            </w:pPr>
          </w:p>
          <w:p>
            <w:pPr>
              <w:spacing w:after="160"/>
              <w:jc w:val="left"/>
            </w:pPr>
            <w:r>
              <w:rPr>
                <w:rFonts w:ascii="Arial" w:cs="Arial" w:eastAsia="Arial" w:hAnsi="Arial"/>
                <w:b/>
                <w:bCs/>
                <w:color w:val="27AE60"/>
                <w:sz w:val="22"/>
                <w:szCs w:val="22"/>
              </w:rPr>
              <w:t xml:space="preserve">Hook: </w:t>
            </w:r>
            <w:r>
              <w:rPr>
                <w:rFonts w:ascii="Arial" w:cs="Arial" w:eastAsia="Arial" w:hAnsi="Arial"/>
                <w:color w:val="27AE60"/>
                <w:sz w:val="22"/>
                <w:szCs w:val="22"/>
              </w:rPr>
              <w:t xml:space="preserve">Key takeaway from the blog post</w:t>
            </w:r>
          </w:p>
          <w:p>
            <w:pPr>
              <w:spacing w:after="160"/>
              <w:jc w:val="left"/>
            </w:pPr>
            <w:r>
              <w:rPr>
                <w:rFonts w:ascii="Arial" w:cs="Arial" w:eastAsia="Arial" w:hAnsi="Arial"/>
                <w:b/>
                <w:bCs/>
                <w:color w:val="27AE60"/>
                <w:sz w:val="22"/>
                <w:szCs w:val="22"/>
              </w:rPr>
              <w:t xml:space="preserve">Body: </w:t>
            </w:r>
            <w:r>
              <w:rPr>
                <w:rFonts w:ascii="Arial" w:cs="Arial" w:eastAsia="Arial" w:hAnsi="Arial"/>
                <w:color w:val="27AE60"/>
                <w:sz w:val="22"/>
                <w:szCs w:val="22"/>
              </w:rPr>
              <w:t xml:space="preserve">1–2 sentences summarising what the reader will learn. The blog itself must already be compliant.</w:t>
            </w:r>
          </w:p>
          <w:p>
            <w:pPr>
              <w:spacing w:after="160"/>
              <w:jc w:val="left"/>
            </w:pPr>
            <w:r>
              <w:rPr>
                <w:rFonts w:ascii="Arial" w:cs="Arial" w:eastAsia="Arial" w:hAnsi="Arial"/>
                <w:b/>
                <w:bCs/>
                <w:color w:val="27AE60"/>
                <w:sz w:val="22"/>
                <w:szCs w:val="22"/>
              </w:rPr>
              <w:t xml:space="preserve">CTA: </w:t>
            </w:r>
            <w:r>
              <w:rPr>
                <w:rFonts w:ascii="Arial" w:cs="Arial" w:eastAsia="Arial" w:hAnsi="Arial"/>
                <w:color w:val="27AE60"/>
                <w:sz w:val="22"/>
                <w:szCs w:val="22"/>
              </w:rPr>
              <w:t xml:space="preserve">“Read the full article on our blog – link in bio.”</w:t>
            </w:r>
          </w:p>
        </w:tc>
      </w:tr>
    </w:tbl>
    <w:p>
      <w:pPr>
        <w:spacing w:after="120"/>
      </w:pPr>
    </w:p>
    <w:p>
      <w:pPr>
        <w:pStyle w:val="Heading2"/>
        <w:spacing w:before="240" w:after="120"/>
      </w:pPr>
      <w:r>
        <w:rPr>
          <w:rFonts w:ascii="Arial" w:cs="Arial" w:eastAsia="Arial" w:hAnsi="Arial"/>
          <w:b/>
          <w:bCs/>
          <w:color w:val="1B4F72"/>
          <w:sz w:val="28"/>
          <w:szCs w:val="28"/>
        </w:rPr>
        <w:t xml:space="preserve">5.4 What NOT to Post – Red Flag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NON-COMPLIANT POST</w:t>
            </w:r>
          </w:p>
        </w:tc>
        <w:tc>
          <w:tcPr>
            <w:tcW w:type="dxa" w:w="4513"/>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WHY IT FAILS</w:t>
            </w:r>
          </w:p>
        </w:tc>
      </w:tr>
      <w:tr>
        <w:tc>
          <w:tcPr>
            <w:tcW w:type="dxa" w:w="4513"/>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left"/>
            </w:pPr>
            <w:r>
              <w:rPr>
                <w:rFonts w:ascii="Arial" w:cs="Arial" w:eastAsia="Arial" w:hAnsi="Arial"/>
                <w:sz w:val="20"/>
                <w:szCs w:val="20"/>
                <w:shd w:val="clear" w:fill="auto"/>
              </w:rPr>
              <w:t xml:space="preserve">“Exciting research on BPC-157 for tendon healing! Our doctors are seeing great results. Book now.”</w:t>
            </w:r>
          </w:p>
        </w:tc>
        <w:tc>
          <w:tcPr>
            <w:tcW w:type="dxa" w:w="4513"/>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left"/>
            </w:pPr>
            <w:r>
              <w:rPr>
                <w:rFonts w:ascii="Arial" w:cs="Arial" w:eastAsia="Arial" w:hAnsi="Arial"/>
                <w:sz w:val="20"/>
                <w:szCs w:val="20"/>
                <w:shd w:val="clear" w:fill="auto"/>
              </w:rPr>
              <w:t xml:space="preserve">Names Schedule 4 substance. Claims results. Direct promotion.</w:t>
            </w:r>
          </w:p>
        </w:tc>
      </w:tr>
      <w:tr>
        <w:tc>
          <w:tcPr>
            <w:tcW w:type="dxa" w:w="4513"/>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sz w:val="20"/>
                <w:szCs w:val="20"/>
              </w:rPr>
              <w:t xml:space="preserve">Image of a vial labelled with a substance name + caption about “cutting-edge treatments”</w:t>
            </w:r>
          </w:p>
        </w:tc>
        <w:tc>
          <w:tcPr>
            <w:tcW w:type="dxa" w:w="4513"/>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sz w:val="20"/>
                <w:szCs w:val="20"/>
              </w:rPr>
              <w:t xml:space="preserve">Image constitutes advertising even without text. Promotional language exaggerates.</w:t>
            </w:r>
          </w:p>
        </w:tc>
      </w:tr>
      <w:tr>
        <w:tc>
          <w:tcPr>
            <w:tcW w:type="dxa" w:w="4513"/>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left"/>
            </w:pPr>
            <w:r>
              <w:rPr>
                <w:rFonts w:ascii="Arial" w:cs="Arial" w:eastAsia="Arial" w:hAnsi="Arial"/>
                <w:sz w:val="20"/>
                <w:szCs w:val="20"/>
                <w:shd w:val="clear" w:fill="auto"/>
              </w:rPr>
              <w:t xml:space="preserve">“Patient spotlight: John recovered from his knee injury in 6 weeks with our peptide protocol”</w:t>
            </w:r>
          </w:p>
        </w:tc>
        <w:tc>
          <w:tcPr>
            <w:tcW w:type="dxa" w:w="4513"/>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left"/>
            </w:pPr>
            <w:r>
              <w:rPr>
                <w:rFonts w:ascii="Arial" w:cs="Arial" w:eastAsia="Arial" w:hAnsi="Arial"/>
                <w:sz w:val="20"/>
                <w:szCs w:val="20"/>
                <w:shd w:val="clear" w:fill="auto"/>
              </w:rPr>
              <w:t xml:space="preserve">Testimonial. Names treatment type. Implies specific outcome. Prohibited.</w:t>
            </w:r>
          </w:p>
        </w:tc>
      </w:tr>
      <w:tr>
        <w:tc>
          <w:tcPr>
            <w:tcW w:type="dxa" w:w="4513"/>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sz w:val="20"/>
                <w:szCs w:val="20"/>
              </w:rPr>
              <w:t xml:space="preserve">Repost of a news article: “Study shows peptide X heals injuries faster”</w:t>
            </w:r>
          </w:p>
        </w:tc>
        <w:tc>
          <w:tcPr>
            <w:tcW w:type="dxa" w:w="4513"/>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sz w:val="20"/>
                <w:szCs w:val="20"/>
              </w:rPr>
              <w:t xml:space="preserve">Sharing content about Schedule 4 substances is the same as creating it.</w:t>
            </w:r>
          </w:p>
        </w:tc>
      </w:tr>
      <w:tr>
        <w:tc>
          <w:tcPr>
            <w:tcW w:type="dxa" w:w="4513"/>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left"/>
            </w:pPr>
            <w:r>
              <w:rPr>
                <w:rFonts w:ascii="Arial" w:cs="Arial" w:eastAsia="Arial" w:hAnsi="Arial"/>
                <w:sz w:val="20"/>
                <w:szCs w:val="20"/>
                <w:shd w:val="clear" w:fill="auto"/>
              </w:rPr>
              <w:t xml:space="preserve">Story poll: “Have you tried peptide therapy? Yes / No / Interested”</w:t>
            </w:r>
          </w:p>
        </w:tc>
        <w:tc>
          <w:tcPr>
            <w:tcW w:type="dxa" w:w="4513"/>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left"/>
            </w:pPr>
            <w:r>
              <w:rPr>
                <w:rFonts w:ascii="Arial" w:cs="Arial" w:eastAsia="Arial" w:hAnsi="Arial"/>
                <w:sz w:val="20"/>
                <w:szCs w:val="20"/>
                <w:shd w:val="clear" w:fill="auto"/>
              </w:rPr>
              <w:t xml:space="preserve">Uses prohibited term. Encourages interest in Schedule 4 substances.</w:t>
            </w:r>
          </w:p>
        </w:tc>
      </w:tr>
    </w:tbl>
    <w:p>
      <w:r>
        <w:br w:type="page"/>
      </w:r>
    </w:p>
    <w:p>
      <w:pPr>
        <w:pStyle w:val="Heading1"/>
        <w:spacing w:before="360" w:after="120"/>
      </w:pPr>
      <w:r>
        <w:rPr>
          <w:rFonts w:ascii="Arial" w:cs="Arial" w:eastAsia="Arial" w:hAnsi="Arial"/>
          <w:b/>
          <w:bCs/>
          <w:color w:val="1B4F72"/>
          <w:sz w:val="36"/>
          <w:szCs w:val="36"/>
        </w:rPr>
        <w:t xml:space="preserve">6. Social Media Pre-Publication Checklist</w:t>
      </w:r>
    </w:p>
    <w:p>
      <w:pPr>
        <w:spacing w:after="160"/>
        <w:jc w:val="left"/>
      </w:pPr>
      <w:r>
        <w:rPr>
          <w:rFonts w:ascii="Arial" w:cs="Arial" w:eastAsia="Arial" w:hAnsi="Arial"/>
          <w:sz w:val="22"/>
          <w:szCs w:val="22"/>
        </w:rPr>
        <w:t xml:space="preserve">Every social media post (including Stories, Reels, comments, and replies) must satisfy all items: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center"/>
            </w:pPr>
            <w:r>
              <w:rPr>
                <w:rFonts w:ascii="Arial" w:cs="Arial" w:eastAsia="Arial" w:hAnsi="Arial"/>
                <w:sz w:val="24"/>
                <w:szCs w:val="24"/>
              </w:rPr>
              <w:t xml:space="preserve">☐</w:t>
            </w:r>
          </w:p>
        </w:tc>
        <w:tc>
          <w:tcPr>
            <w:tcW w:type="dxa" w:w="84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sz w:val="20"/>
                <w:szCs w:val="20"/>
              </w:rPr>
              <w:t xml:space="preserve">TEXT CHECK: </w:t>
            </w:r>
            <w:r>
              <w:rPr>
                <w:rFonts w:ascii="Arial" w:cs="Arial" w:eastAsia="Arial" w:hAnsi="Arial"/>
                <w:sz w:val="20"/>
                <w:szCs w:val="20"/>
              </w:rPr>
              <w:t xml:space="preserve">Caption and any text overlays do NOT contain banned words (peptide, named substances, PRP, stem cells, growth factors)</w:t>
            </w:r>
          </w:p>
        </w:tc>
      </w:tr>
      <w:tr>
        <w:tc>
          <w:tcPr>
            <w:tcW w:type="dxa" w:w="600"/>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center"/>
            </w:pPr>
            <w:r>
              <w:rPr>
                <w:rFonts w:ascii="Arial" w:cs="Arial" w:eastAsia="Arial" w:hAnsi="Arial"/>
                <w:sz w:val="24"/>
                <w:szCs w:val="24"/>
              </w:rPr>
              <w:t xml:space="preserve">☐</w:t>
            </w:r>
          </w:p>
        </w:tc>
        <w:tc>
          <w:tcPr>
            <w:tcW w:type="dxa" w:w="8426"/>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b/>
                <w:bCs/>
                <w:sz w:val="20"/>
                <w:szCs w:val="20"/>
              </w:rPr>
              <w:t xml:space="preserve">HASHTAG CHECK: </w:t>
            </w:r>
            <w:r>
              <w:rPr>
                <w:rFonts w:ascii="Arial" w:cs="Arial" w:eastAsia="Arial" w:hAnsi="Arial"/>
                <w:sz w:val="20"/>
                <w:szCs w:val="20"/>
              </w:rPr>
              <w:t xml:space="preserve">All hashtags are from the safe list or clearly do not reference Schedule 4 substances or prohibited terms</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center"/>
            </w:pPr>
            <w:r>
              <w:rPr>
                <w:rFonts w:ascii="Arial" w:cs="Arial" w:eastAsia="Arial" w:hAnsi="Arial"/>
                <w:sz w:val="24"/>
                <w:szCs w:val="24"/>
              </w:rPr>
              <w:t xml:space="preserve">☐</w:t>
            </w:r>
          </w:p>
        </w:tc>
        <w:tc>
          <w:tcPr>
            <w:tcW w:type="dxa" w:w="84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sz w:val="20"/>
                <w:szCs w:val="20"/>
              </w:rPr>
              <w:t xml:space="preserve">IMAGE/VIDEO CHECK: </w:t>
            </w:r>
            <w:r>
              <w:rPr>
                <w:rFonts w:ascii="Arial" w:cs="Arial" w:eastAsia="Arial" w:hAnsi="Arial"/>
                <w:sz w:val="20"/>
                <w:szCs w:val="20"/>
              </w:rPr>
              <w:t xml:space="preserve">No vials, syringes, product labels, before/after photos, or visual depictions of therapeutic goods or treatments</w:t>
            </w:r>
          </w:p>
        </w:tc>
      </w:tr>
      <w:tr>
        <w:tc>
          <w:tcPr>
            <w:tcW w:type="dxa" w:w="600"/>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center"/>
            </w:pPr>
            <w:r>
              <w:rPr>
                <w:rFonts w:ascii="Arial" w:cs="Arial" w:eastAsia="Arial" w:hAnsi="Arial"/>
                <w:sz w:val="24"/>
                <w:szCs w:val="24"/>
              </w:rPr>
              <w:t xml:space="preserve">☐</w:t>
            </w:r>
          </w:p>
        </w:tc>
        <w:tc>
          <w:tcPr>
            <w:tcW w:type="dxa" w:w="8426"/>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b/>
                <w:bCs/>
                <w:sz w:val="20"/>
                <w:szCs w:val="20"/>
              </w:rPr>
              <w:t xml:space="preserve">NO TESTIMONIALS: </w:t>
            </w:r>
            <w:r>
              <w:rPr>
                <w:rFonts w:ascii="Arial" w:cs="Arial" w:eastAsia="Arial" w:hAnsi="Arial"/>
                <w:sz w:val="20"/>
                <w:szCs w:val="20"/>
              </w:rPr>
              <w:t xml:space="preserve">Post does not feature patient outcomes, success stories, or implied endorsements of specific treatments</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center"/>
            </w:pPr>
            <w:r>
              <w:rPr>
                <w:rFonts w:ascii="Arial" w:cs="Arial" w:eastAsia="Arial" w:hAnsi="Arial"/>
                <w:sz w:val="24"/>
                <w:szCs w:val="24"/>
              </w:rPr>
              <w:t xml:space="preserve">☐</w:t>
            </w:r>
          </w:p>
        </w:tc>
        <w:tc>
          <w:tcPr>
            <w:tcW w:type="dxa" w:w="84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sz w:val="20"/>
                <w:szCs w:val="20"/>
              </w:rPr>
              <w:t xml:space="preserve">NO SAFETY CLAIMS: </w:t>
            </w:r>
            <w:r>
              <w:rPr>
                <w:rFonts w:ascii="Arial" w:cs="Arial" w:eastAsia="Arial" w:hAnsi="Arial"/>
                <w:sz w:val="20"/>
                <w:szCs w:val="20"/>
              </w:rPr>
              <w:t xml:space="preserve">Does not state or imply that any substance is safe, effective for all, or without side effects</w:t>
            </w:r>
          </w:p>
        </w:tc>
      </w:tr>
      <w:tr>
        <w:tc>
          <w:tcPr>
            <w:tcW w:type="dxa" w:w="600"/>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center"/>
            </w:pPr>
            <w:r>
              <w:rPr>
                <w:rFonts w:ascii="Arial" w:cs="Arial" w:eastAsia="Arial" w:hAnsi="Arial"/>
                <w:sz w:val="24"/>
                <w:szCs w:val="24"/>
              </w:rPr>
              <w:t xml:space="preserve">☐</w:t>
            </w:r>
          </w:p>
        </w:tc>
        <w:tc>
          <w:tcPr>
            <w:tcW w:type="dxa" w:w="8426"/>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b/>
                <w:bCs/>
                <w:sz w:val="20"/>
                <w:szCs w:val="20"/>
              </w:rPr>
              <w:t xml:space="preserve">NO PROMOTIONAL LANGUAGE: </w:t>
            </w:r>
            <w:r>
              <w:rPr>
                <w:rFonts w:ascii="Arial" w:cs="Arial" w:eastAsia="Arial" w:hAnsi="Arial"/>
                <w:sz w:val="20"/>
                <w:szCs w:val="20"/>
              </w:rPr>
              <w:t xml:space="preserve">Tone is educational, not promotional. Avoids “exciting,” “breakthrough,” “miraculous,” “amazing results”</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center"/>
            </w:pPr>
            <w:r>
              <w:rPr>
                <w:rFonts w:ascii="Arial" w:cs="Arial" w:eastAsia="Arial" w:hAnsi="Arial"/>
                <w:sz w:val="24"/>
                <w:szCs w:val="24"/>
              </w:rPr>
              <w:t xml:space="preserve">☐</w:t>
            </w:r>
          </w:p>
        </w:tc>
        <w:tc>
          <w:tcPr>
            <w:tcW w:type="dxa" w:w="84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sz w:val="20"/>
                <w:szCs w:val="20"/>
              </w:rPr>
              <w:t xml:space="preserve">NO PROHIBITED/RESTRICTED REPRESENTATIONS: </w:t>
            </w:r>
            <w:r>
              <w:rPr>
                <w:rFonts w:ascii="Arial" w:cs="Arial" w:eastAsia="Arial" w:hAnsi="Arial"/>
                <w:sz w:val="20"/>
                <w:szCs w:val="20"/>
              </w:rPr>
              <w:t xml:space="preserve">Does not claim to treat cancer, mental illness, STDs, or serious conditions</w:t>
            </w:r>
          </w:p>
        </w:tc>
      </w:tr>
      <w:tr>
        <w:tc>
          <w:tcPr>
            <w:tcW w:type="dxa" w:w="600"/>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center"/>
            </w:pPr>
            <w:r>
              <w:rPr>
                <w:rFonts w:ascii="Arial" w:cs="Arial" w:eastAsia="Arial" w:hAnsi="Arial"/>
                <w:sz w:val="24"/>
                <w:szCs w:val="24"/>
              </w:rPr>
              <w:t xml:space="preserve">☐</w:t>
            </w:r>
          </w:p>
        </w:tc>
        <w:tc>
          <w:tcPr>
            <w:tcW w:type="dxa" w:w="8426"/>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b/>
                <w:bCs/>
                <w:sz w:val="20"/>
                <w:szCs w:val="20"/>
              </w:rPr>
              <w:t xml:space="preserve">SHARE/REPOST CHECK: </w:t>
            </w:r>
            <w:r>
              <w:rPr>
                <w:rFonts w:ascii="Arial" w:cs="Arial" w:eastAsia="Arial" w:hAnsi="Arial"/>
                <w:sz w:val="20"/>
                <w:szCs w:val="20"/>
              </w:rPr>
              <w:t xml:space="preserve">If sharing third-party content, the original content is also compliant</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center"/>
            </w:pPr>
            <w:r>
              <w:rPr>
                <w:rFonts w:ascii="Arial" w:cs="Arial" w:eastAsia="Arial" w:hAnsi="Arial"/>
                <w:sz w:val="24"/>
                <w:szCs w:val="24"/>
              </w:rPr>
              <w:t xml:space="preserve">☐</w:t>
            </w:r>
          </w:p>
        </w:tc>
        <w:tc>
          <w:tcPr>
            <w:tcW w:type="dxa" w:w="842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pPr>
              <w:jc w:val="left"/>
            </w:pPr>
            <w:r>
              <w:rPr>
                <w:rFonts w:ascii="Arial" w:cs="Arial" w:eastAsia="Arial" w:hAnsi="Arial"/>
                <w:b/>
                <w:bCs/>
                <w:sz w:val="20"/>
                <w:szCs w:val="20"/>
              </w:rPr>
              <w:t xml:space="preserve">CTA CHECK: </w:t>
            </w:r>
            <w:r>
              <w:rPr>
                <w:rFonts w:ascii="Arial" w:cs="Arial" w:eastAsia="Arial" w:hAnsi="Arial"/>
                <w:sz w:val="20"/>
                <w:szCs w:val="20"/>
              </w:rPr>
              <w:t xml:space="preserve">Call-to-action is general (“book a consultation”) not treatment-specific (“book a peptide consultation”)</w:t>
            </w:r>
          </w:p>
        </w:tc>
      </w:tr>
      <w:tr>
        <w:tc>
          <w:tcPr>
            <w:tcW w:type="dxa" w:w="600"/>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center"/>
            </w:pPr>
            <w:r>
              <w:rPr>
                <w:rFonts w:ascii="Arial" w:cs="Arial" w:eastAsia="Arial" w:hAnsi="Arial"/>
                <w:sz w:val="24"/>
                <w:szCs w:val="24"/>
              </w:rPr>
              <w:t xml:space="preserve">☐</w:t>
            </w:r>
          </w:p>
        </w:tc>
        <w:tc>
          <w:tcPr>
            <w:tcW w:type="dxa" w:w="8426"/>
            <w:tcBorders>
              <w:top w:val="single" w:color="CCCCCC" w:sz="1"/>
              <w:left w:val="single" w:color="CCCCCC" w:sz="1"/>
              <w:bottom w:val="single" w:color="CCCCCC" w:sz="1"/>
              <w:right w:val="single" w:color="CCCCCC" w:sz="1"/>
            </w:tcBorders>
            <w:shd w:fill="auto" w:val="clear"/>
            <w:tcMar>
              <w:top w:type="dxa" w:w="60"/>
              <w:left w:type="dxa" w:w="100"/>
              <w:bottom w:type="dxa" w:w="60"/>
              <w:right w:type="dxa" w:w="100"/>
            </w:tcMar>
          </w:tcPr>
          <w:p>
            <w:pPr>
              <w:jc w:val="left"/>
            </w:pPr>
            <w:r>
              <w:rPr>
                <w:rFonts w:ascii="Arial" w:cs="Arial" w:eastAsia="Arial" w:hAnsi="Arial"/>
                <w:b/>
                <w:bCs/>
                <w:sz w:val="20"/>
                <w:szCs w:val="20"/>
              </w:rPr>
              <w:t xml:space="preserve">REVIEWED: </w:t>
            </w:r>
            <w:r>
              <w:rPr>
                <w:rFonts w:ascii="Arial" w:cs="Arial" w:eastAsia="Arial" w:hAnsi="Arial"/>
                <w:sz w:val="20"/>
                <w:szCs w:val="20"/>
              </w:rPr>
              <w:t xml:space="preserve">Post has been reviewed by a medical practitioner or compliance-trained team member</w:t>
            </w:r>
          </w:p>
        </w:tc>
      </w:tr>
    </w:tbl>
    <w:p>
      <w:pPr>
        <w:spacing w:after="120"/>
      </w:pPr>
    </w:p>
    <w:p>
      <w:pPr>
        <w:pStyle w:val="Heading1"/>
        <w:spacing w:before="360" w:after="120"/>
      </w:pPr>
      <w:r>
        <w:rPr>
          <w:rFonts w:ascii="Arial" w:cs="Arial" w:eastAsia="Arial" w:hAnsi="Arial"/>
          <w:b/>
          <w:bCs/>
          <w:color w:val="1B4F72"/>
          <w:sz w:val="36"/>
          <w:szCs w:val="36"/>
        </w:rPr>
        <w:t xml:space="preserve">7. Comment Moderation Policy</w:t>
      </w:r>
    </w:p>
    <w:p>
      <w:pPr>
        <w:spacing w:after="160"/>
        <w:jc w:val="left"/>
      </w:pPr>
      <w:r>
        <w:rPr>
          <w:rFonts w:ascii="Arial" w:cs="Arial" w:eastAsia="Arial" w:hAnsi="Arial"/>
          <w:sz w:val="22"/>
          <w:szCs w:val="22"/>
        </w:rPr>
        <w:t xml:space="preserve">PeakSpan should implement an active comment moderation policy across all social media platforms. This is not just good practice – it is a compliance necessity.</w:t>
      </w:r>
    </w:p>
    <w:p>
      <w:pPr>
        <w:pStyle w:val="ListParagraph"/>
        <w:numPr>
          <w:ilvl w:val="0"/>
          <w:numId w:val="9"/>
        </w:numPr>
        <w:spacing w:after="80"/>
      </w:pPr>
      <w:r>
        <w:rPr>
          <w:rFonts w:ascii="Arial" w:cs="Arial" w:eastAsia="Arial" w:hAnsi="Arial"/>
          <w:b/>
          <w:bCs/>
          <w:sz w:val="22"/>
          <w:szCs w:val="22"/>
        </w:rPr>
        <w:t xml:space="preserve">Monitor daily: </w:t>
      </w:r>
      <w:r>
        <w:rPr>
          <w:rFonts w:ascii="Arial" w:cs="Arial" w:eastAsia="Arial" w:hAnsi="Arial"/>
          <w:sz w:val="22"/>
          <w:szCs w:val="22"/>
        </w:rPr>
        <w:t xml:space="preserve">Check all comments and replies on PeakSpan posts at least once per day.</w:t>
      </w:r>
    </w:p>
    <w:p>
      <w:pPr>
        <w:pStyle w:val="ListParagraph"/>
        <w:numPr>
          <w:ilvl w:val="0"/>
          <w:numId w:val="9"/>
        </w:numPr>
        <w:spacing w:after="80"/>
      </w:pPr>
      <w:r>
        <w:rPr>
          <w:rFonts w:ascii="Arial" w:cs="Arial" w:eastAsia="Arial" w:hAnsi="Arial"/>
          <w:b/>
          <w:bCs/>
          <w:sz w:val="22"/>
          <w:szCs w:val="22"/>
        </w:rPr>
        <w:t xml:space="preserve">Hide or delete non-compliant user comments: </w:t>
      </w:r>
      <w:r>
        <w:rPr>
          <w:rFonts w:ascii="Arial" w:cs="Arial" w:eastAsia="Arial" w:hAnsi="Arial"/>
          <w:sz w:val="22"/>
          <w:szCs w:val="22"/>
        </w:rPr>
        <w:t xml:space="preserve">If a user names a specific Schedule 4 substance in a comment on your post, hide or delete the comment. Leaving it visible may be treated as PeakSpan amplifying that content.</w:t>
      </w:r>
    </w:p>
    <w:p>
      <w:pPr>
        <w:pStyle w:val="ListParagraph"/>
        <w:numPr>
          <w:ilvl w:val="0"/>
          <w:numId w:val="9"/>
        </w:numPr>
        <w:spacing w:after="80"/>
      </w:pPr>
      <w:r>
        <w:rPr>
          <w:rFonts w:ascii="Arial" w:cs="Arial" w:eastAsia="Arial" w:hAnsi="Arial"/>
          <w:b/>
          <w:bCs/>
          <w:sz w:val="22"/>
          <w:szCs w:val="22"/>
        </w:rPr>
        <w:t xml:space="preserve">Use template responses: </w:t>
      </w:r>
      <w:r>
        <w:rPr>
          <w:rFonts w:ascii="Arial" w:cs="Arial" w:eastAsia="Arial" w:hAnsi="Arial"/>
          <w:sz w:val="22"/>
          <w:szCs w:val="22"/>
        </w:rPr>
        <w:t xml:space="preserve">Prepare a set of compliant responses for common questions (see Section 3.3). Never improvise answers about specific treatments.</w:t>
      </w:r>
    </w:p>
    <w:p>
      <w:pPr>
        <w:pStyle w:val="ListParagraph"/>
        <w:numPr>
          <w:ilvl w:val="0"/>
          <w:numId w:val="9"/>
        </w:numPr>
        <w:spacing w:after="80"/>
      </w:pPr>
      <w:r>
        <w:rPr>
          <w:rFonts w:ascii="Arial" w:cs="Arial" w:eastAsia="Arial" w:hAnsi="Arial"/>
          <w:b/>
          <w:bCs/>
          <w:sz w:val="22"/>
          <w:szCs w:val="22"/>
        </w:rPr>
        <w:t xml:space="preserve">Never engage in medical advice via comments: </w:t>
      </w:r>
      <w:r>
        <w:rPr>
          <w:rFonts w:ascii="Arial" w:cs="Arial" w:eastAsia="Arial" w:hAnsi="Arial"/>
          <w:sz w:val="22"/>
          <w:szCs w:val="22"/>
        </w:rPr>
        <w:t xml:space="preserve">Always redirect to a private consultation. Public medical advice on social media is a significant compliance risk.</w:t>
      </w:r>
    </w:p>
    <w:p>
      <w:pPr>
        <w:pStyle w:val="ListParagraph"/>
        <w:numPr>
          <w:ilvl w:val="0"/>
          <w:numId w:val="9"/>
        </w:numPr>
        <w:spacing w:after="80"/>
      </w:pPr>
      <w:r>
        <w:rPr>
          <w:rFonts w:ascii="Arial" w:cs="Arial" w:eastAsia="Arial" w:hAnsi="Arial"/>
          <w:b/>
          <w:bCs/>
          <w:sz w:val="22"/>
          <w:szCs w:val="22"/>
        </w:rPr>
        <w:t xml:space="preserve">Document moderation activity: </w:t>
      </w:r>
      <w:r>
        <w:rPr>
          <w:rFonts w:ascii="Arial" w:cs="Arial" w:eastAsia="Arial" w:hAnsi="Arial"/>
          <w:sz w:val="22"/>
          <w:szCs w:val="22"/>
        </w:rPr>
        <w:t xml:space="preserve">Keep a record of comments hidden/deleted and why. This demonstrates proactive compliance if the TGA investigates.</w:t>
      </w:r>
    </w:p>
    <w:p>
      <w:pPr>
        <w:spacing w:after="120"/>
      </w:pPr>
    </w:p>
    <w:p>
      <w:pPr>
        <w:pStyle w:val="Heading1"/>
        <w:spacing w:before="360" w:after="120"/>
      </w:pPr>
      <w:r>
        <w:rPr>
          <w:rFonts w:ascii="Arial" w:cs="Arial" w:eastAsia="Arial" w:hAnsi="Arial"/>
          <w:b/>
          <w:bCs/>
          <w:color w:val="1B4F72"/>
          <w:sz w:val="36"/>
          <w:szCs w:val="36"/>
        </w:rPr>
        <w:t xml:space="preserve">8. Ongoing Social Media Management</w:t>
      </w:r>
    </w:p>
    <w:p>
      <w:pPr>
        <w:pStyle w:val="ListParagraph"/>
        <w:numPr>
          <w:ilvl w:val="0"/>
          <w:numId w:val="10"/>
        </w:numPr>
        <w:spacing w:after="80"/>
      </w:pPr>
      <w:r>
        <w:rPr>
          <w:rFonts w:ascii="Arial" w:cs="Arial" w:eastAsia="Arial" w:hAnsi="Arial"/>
          <w:b/>
          <w:bCs/>
          <w:sz w:val="22"/>
          <w:szCs w:val="22"/>
        </w:rPr>
        <w:t xml:space="preserve">Monthly audit: </w:t>
      </w:r>
      <w:r>
        <w:rPr>
          <w:rFonts w:ascii="Arial" w:cs="Arial" w:eastAsia="Arial" w:hAnsi="Arial"/>
          <w:sz w:val="22"/>
          <w:szCs w:val="22"/>
        </w:rPr>
        <w:t xml:space="preserve">Review all published social media content monthly against these guidelines. Remove or edit any post that does not comply.</w:t>
      </w:r>
    </w:p>
    <w:p>
      <w:pPr>
        <w:pStyle w:val="ListParagraph"/>
        <w:numPr>
          <w:ilvl w:val="0"/>
          <w:numId w:val="10"/>
        </w:numPr>
        <w:spacing w:after="80"/>
      </w:pPr>
      <w:r>
        <w:rPr>
          <w:rFonts w:ascii="Arial" w:cs="Arial" w:eastAsia="Arial" w:hAnsi="Arial"/>
          <w:b/>
          <w:bCs/>
          <w:sz w:val="22"/>
          <w:szCs w:val="22"/>
        </w:rPr>
        <w:t xml:space="preserve">Audit historical content: </w:t>
      </w:r>
      <w:r>
        <w:rPr>
          <w:rFonts w:ascii="Arial" w:cs="Arial" w:eastAsia="Arial" w:hAnsi="Arial"/>
          <w:sz w:val="22"/>
          <w:szCs w:val="22"/>
        </w:rPr>
        <w:t xml:space="preserve">Review all existing posts on Facebook, Instagram, LinkedIn, and any other platform. Any post that names Schedule 4 substances or uses banned terms must be removed immediately.</w:t>
      </w:r>
    </w:p>
    <w:p>
      <w:pPr>
        <w:pStyle w:val="ListParagraph"/>
        <w:numPr>
          <w:ilvl w:val="0"/>
          <w:numId w:val="10"/>
        </w:numPr>
        <w:spacing w:after="80"/>
      </w:pPr>
      <w:r>
        <w:rPr>
          <w:rFonts w:ascii="Arial" w:cs="Arial" w:eastAsia="Arial" w:hAnsi="Arial"/>
          <w:b/>
          <w:bCs/>
          <w:sz w:val="22"/>
          <w:szCs w:val="22"/>
        </w:rPr>
        <w:t xml:space="preserve">Train all content creators: </w:t>
      </w:r>
      <w:r>
        <w:rPr>
          <w:rFonts w:ascii="Arial" w:cs="Arial" w:eastAsia="Arial" w:hAnsi="Arial"/>
          <w:sz w:val="22"/>
          <w:szCs w:val="22"/>
        </w:rPr>
        <w:t xml:space="preserve">Anyone who posts on behalf of PeakSpan must read and understand both this document and the Blog Compliance Guidelines.</w:t>
      </w:r>
    </w:p>
    <w:p>
      <w:pPr>
        <w:pStyle w:val="ListParagraph"/>
        <w:numPr>
          <w:ilvl w:val="0"/>
          <w:numId w:val="10"/>
        </w:numPr>
        <w:spacing w:after="80"/>
      </w:pPr>
      <w:r>
        <w:rPr>
          <w:rFonts w:ascii="Arial" w:cs="Arial" w:eastAsia="Arial" w:hAnsi="Arial"/>
          <w:b/>
          <w:bCs/>
          <w:sz w:val="22"/>
          <w:szCs w:val="22"/>
        </w:rPr>
        <w:t xml:space="preserve">Approval workflow: </w:t>
      </w:r>
      <w:r>
        <w:rPr>
          <w:rFonts w:ascii="Arial" w:cs="Arial" w:eastAsia="Arial" w:hAnsi="Arial"/>
          <w:sz w:val="22"/>
          <w:szCs w:val="22"/>
        </w:rPr>
        <w:t xml:space="preserve">No post goes live without passing the checklist in Section 6. For any post that touches on health topics, medical practitioner sign-off is required.</w:t>
      </w:r>
    </w:p>
    <w:p>
      <w:pPr>
        <w:pStyle w:val="ListParagraph"/>
        <w:numPr>
          <w:ilvl w:val="0"/>
          <w:numId w:val="10"/>
        </w:numPr>
        <w:spacing w:after="80"/>
      </w:pPr>
      <w:r>
        <w:rPr>
          <w:rFonts w:ascii="Arial" w:cs="Arial" w:eastAsia="Arial" w:hAnsi="Arial"/>
          <w:b/>
          <w:bCs/>
          <w:sz w:val="22"/>
          <w:szCs w:val="22"/>
        </w:rPr>
        <w:t xml:space="preserve">Stay current: </w:t>
      </w:r>
      <w:r>
        <w:rPr>
          <w:rFonts w:ascii="Arial" w:cs="Arial" w:eastAsia="Arial" w:hAnsi="Arial"/>
          <w:sz w:val="22"/>
          <w:szCs w:val="22"/>
        </w:rPr>
        <w:t xml:space="preserve">AHPRA and TGA guidelines are updated periodically. Subscribe to updates from both bodies and review these guidelines when changes occur.</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3"/>
              <w:left w:val="single" w:color="E74C3C" w:sz="6"/>
              <w:bottom w:val="single" w:color="E74C3C" w:sz="1"/>
              <w:right w:val="single" w:color="E74C3C" w:sz="1"/>
            </w:tcBorders>
            <w:shd w:fill="FADBD8" w:val="clear"/>
            <w:tcMar>
              <w:top w:type="dxa" w:w="100"/>
              <w:left w:type="dxa" w:w="160"/>
              <w:bottom w:type="dxa" w:w="100"/>
              <w:right w:type="dxa" w:w="160"/>
            </w:tcMar>
          </w:tcPr>
          <w:p>
            <w:pPr>
              <w:spacing w:after="160"/>
              <w:jc w:val="left"/>
            </w:pPr>
            <w:r>
              <w:rPr>
                <w:rFonts w:ascii="Arial" w:cs="Arial" w:eastAsia="Arial" w:hAnsi="Arial"/>
                <w:b/>
                <w:bCs/>
                <w:color w:val="E74C3C"/>
                <w:sz w:val="22"/>
                <w:szCs w:val="22"/>
              </w:rPr>
              <w:t xml:space="preserve">REMEMBER: </w:t>
            </w:r>
            <w:r>
              <w:rPr>
                <w:rFonts w:ascii="Arial" w:cs="Arial" w:eastAsia="Arial" w:hAnsi="Arial"/>
                <w:color w:val="E74C3C"/>
                <w:sz w:val="22"/>
                <w:szCs w:val="22"/>
              </w:rPr>
              <w:t xml:space="preserve">The TGA investigation units may use covert operatives who pose as patients on social media. They will follow your accounts, read your posts, check your hashtags, and review your comments. Every piece of content must be compliant at all times.</w:t>
            </w:r>
          </w:p>
        </w:tc>
      </w:tr>
    </w:tbl>
    <w:p>
      <w:pPr>
        <w:spacing w:after="400"/>
      </w:pPr>
    </w:p>
    <w:p>
      <w:pPr>
        <w:spacing w:after="80"/>
        <w:jc w:val="center"/>
      </w:pPr>
      <w:r>
        <w:rPr>
          <w:rFonts w:ascii="Arial" w:cs="Arial" w:eastAsia="Arial" w:hAnsi="Arial"/>
          <w:i/>
          <w:iCs/>
          <w:color w:val="999999"/>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PeakSpan Health – Social Media Compliance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17"/>
    <w:lvlOverride w:ilvl="0">
      <w:startOverride w:val="1"/>
    </w:lvlOverride>
  </w:num>
  <w:num w:numId="10">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2026-02-11T04:27:49.348Z</dcterms:created>
  <dcterms:modified xsi:type="dcterms:W3CDTF">2026-02-11T04:27:49.348Z</dcterms:modified>
</cp:coreProperties>
</file>

<file path=docProps/custom.xml><?xml version="1.0" encoding="utf-8"?>
<Properties xmlns="http://schemas.openxmlformats.org/officeDocument/2006/custom-properties" xmlns:vt="http://schemas.openxmlformats.org/officeDocument/2006/docPropsVTypes"/>
</file>