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Greg — strong starting template. But a few holes will get you smacked by the TGA if you’re not ruthless. I’ve tightened wording, corrected a couple of misconceptions (not everything needs an ARTG number in the ad, and “short‑form” isn’t your escape hatch), and added 2024–25 changes (vapes, injectables, price‑list rules, disease‑education lines, children, samples/incentives, HCP‑only ads). Use this version as your master.</w:t>
      </w:r>
    </w:p>
    <w:p w:rsidR="00000000" w:rsidDel="00000000" w:rsidP="00000000" w:rsidRDefault="00000000" w:rsidRPr="00000000" w14:paraId="00000002">
      <w:pPr>
        <w:spacing w:after="240" w:before="240" w:lineRule="auto"/>
        <w:ind w:left="600" w:right="600" w:firstLine="0"/>
        <w:rPr/>
      </w:pPr>
      <w:r w:rsidDel="00000000" w:rsidR="00000000" w:rsidRPr="00000000">
        <w:rPr>
          <w:b w:val="1"/>
          <w:bCs w:val="1"/>
          <w:rtl w:val="0"/>
        </w:rPr>
        <w:t xml:space="preserve">Legal reality check:</w:t>
      </w:r>
      <w:r w:rsidDel="00000000" w:rsidR="00000000" w:rsidRPr="00000000">
        <w:rPr>
          <w:rtl w:val="0"/>
        </w:rPr>
        <w:t xml:space="preserve"> This is rigorous, but it’s not legal advice. When in doubt, hold the post.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bf0yq8yomrfl" w:id="0"/>
      <w:bookmarkEnd w:id="0"/>
      <w:r w:rsidDel="00000000" w:rsidR="00000000" w:rsidRPr="00000000">
        <w:rPr>
          <w:b w:val="1"/>
          <w:bCs w:val="1"/>
          <w:sz w:val="46"/>
          <w:szCs w:val="46"/>
          <w:rtl w:val="0"/>
        </w:rPr>
        <w:t xml:space="preserve">Master Document (Updated): TGA Compliance for Social Media &amp; Marketing of Therapeutic Goods (Australia)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26 Aug 2025</w:t>
        <w:br w:type="textWrapping"/>
        <w:t xml:space="preserve"> </w:t>
      </w:r>
      <w:r w:rsidDel="00000000" w:rsidR="00000000" w:rsidRPr="00000000">
        <w:rPr>
          <w:b w:val="1"/>
          <w:bCs w:val="1"/>
          <w:rtl w:val="0"/>
        </w:rPr>
        <w:t xml:space="preserve">Applies to:</w:t>
      </w:r>
      <w:r w:rsidDel="00000000" w:rsidR="00000000" w:rsidRPr="00000000">
        <w:rPr>
          <w:rtl w:val="0"/>
        </w:rPr>
        <w:t xml:space="preserve"> your company, staff, contractors, agencies, clinics, influencers, affiliates — </w:t>
      </w:r>
      <w:r w:rsidDel="00000000" w:rsidR="00000000" w:rsidRPr="00000000">
        <w:rPr>
          <w:b w:val="1"/>
          <w:bCs w:val="1"/>
          <w:rtl w:val="0"/>
        </w:rPr>
        <w:t xml:space="preserve">anyone who “causes” an ad to be published is on the hook.</w:t>
      </w:r>
      <w:r w:rsidDel="00000000" w:rsidR="00000000" w:rsidRPr="00000000">
        <w:rPr>
          <w:rtl w:val="0"/>
        </w:rPr>
        <w:t xml:space="preserve"> (</w:t>
      </w:r>
      <w:hyperlink r:id="rId6">
        <w:r w:rsidDel="00000000" w:rsidR="00000000" w:rsidRPr="00000000">
          <w:rPr>
            <w:color w:val="1155cc"/>
            <w:u w:val="single"/>
            <w:rtl w:val="0"/>
          </w:rPr>
          <w:t xml:space="preserve">Therapeutic Goods Administration (TGA)</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5n9skas7mc1" w:id="1"/>
      <w:bookmarkEnd w:id="1"/>
      <w:r w:rsidDel="00000000" w:rsidR="00000000" w:rsidRPr="00000000">
        <w:rPr>
          <w:b w:val="1"/>
          <w:bCs w:val="1"/>
          <w:sz w:val="34"/>
          <w:szCs w:val="34"/>
          <w:rtl w:val="0"/>
        </w:rPr>
        <w:t xml:space="preserve">1) Regulatory Framework &amp; Scope (what we’re playing under)</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Therapeutic Goods Act 1989</w:t>
      </w:r>
      <w:r w:rsidDel="00000000" w:rsidR="00000000" w:rsidRPr="00000000">
        <w:rPr>
          <w:rtl w:val="0"/>
        </w:rPr>
        <w:t xml:space="preserve">, </w:t>
      </w:r>
      <w:r w:rsidDel="00000000" w:rsidR="00000000" w:rsidRPr="00000000">
        <w:rPr>
          <w:b w:val="1"/>
          <w:bCs w:val="1"/>
          <w:rtl w:val="0"/>
        </w:rPr>
        <w:t xml:space="preserve">Therapeutic Goods Regulations 1990</w:t>
      </w:r>
      <w:r w:rsidDel="00000000" w:rsidR="00000000" w:rsidRPr="00000000">
        <w:rPr>
          <w:rtl w:val="0"/>
        </w:rPr>
        <w:t xml:space="preserve">, and the </w:t>
      </w:r>
      <w:r w:rsidDel="00000000" w:rsidR="00000000" w:rsidRPr="00000000">
        <w:rPr>
          <w:b w:val="1"/>
          <w:bCs w:val="1"/>
          <w:rtl w:val="0"/>
        </w:rPr>
        <w:t xml:space="preserve">Therapeutic Goods (Therapeutic Goods Advertising Code) Instrument 2021</w:t>
      </w:r>
      <w:r w:rsidDel="00000000" w:rsidR="00000000" w:rsidRPr="00000000">
        <w:rPr>
          <w:rtl w:val="0"/>
        </w:rPr>
        <w:t xml:space="preserve"> (the “Code”). (</w:t>
      </w:r>
      <w:hyperlink r:id="rId7">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Australian Consumer Law (ACL)</w:t>
      </w:r>
      <w:r w:rsidDel="00000000" w:rsidR="00000000" w:rsidRPr="00000000">
        <w:rPr>
          <w:rtl w:val="0"/>
        </w:rPr>
        <w:t xml:space="preserve"> still applies (misleading/deceptive, substantiation, etc.). (</w:t>
      </w:r>
      <w:hyperlink r:id="rId8">
        <w:r w:rsidDel="00000000" w:rsidR="00000000" w:rsidRPr="00000000">
          <w:rPr>
            <w:color w:val="1155cc"/>
            <w:u w:val="single"/>
            <w:rtl w:val="0"/>
          </w:rPr>
          <w:t xml:space="preserve">ACCC</w:t>
        </w:r>
      </w:hyperlink>
      <w:r w:rsidDel="00000000" w:rsidR="00000000" w:rsidRPr="00000000">
        <w:rPr>
          <w:rtl w:val="0"/>
        </w:rPr>
        <w:t xml:space="preserve">)</w:t>
        <w:br w:type="textWrapping"/>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bCs w:val="1"/>
          <w:rtl w:val="0"/>
        </w:rPr>
        <w:t xml:space="preserve">TGA rules apply to </w:t>
      </w:r>
      <w:r w:rsidDel="00000000" w:rsidR="00000000" w:rsidRPr="00000000">
        <w:rPr>
          <w:b w:val="1"/>
          <w:bCs w:val="1"/>
          <w:i w:val="1"/>
          <w:iCs w:val="1"/>
          <w:rtl w:val="0"/>
        </w:rPr>
        <w:t xml:space="preserve">advertising</w:t>
      </w:r>
      <w:r w:rsidDel="00000000" w:rsidR="00000000" w:rsidRPr="00000000">
        <w:rPr>
          <w:rtl w:val="0"/>
        </w:rPr>
        <w:t xml:space="preserve">: any statement, image or design intended (directly or indirectly) to promote use or supply — including social posts, videos, page titles, UGC you control, and even “indirect” promotional content. You must moderate your own channels. (</w:t>
      </w:r>
      <w:hyperlink r:id="rId9">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0B">
      <w:pPr>
        <w:numPr>
          <w:ilvl w:val="0"/>
          <w:numId w:val="16"/>
        </w:numPr>
        <w:spacing w:after="240" w:before="0" w:beforeAutospacing="0" w:lineRule="auto"/>
        <w:ind w:left="720" w:hanging="360"/>
      </w:pPr>
      <w:r w:rsidDel="00000000" w:rsidR="00000000" w:rsidRPr="00000000">
        <w:rPr>
          <w:b w:val="1"/>
          <w:bCs w:val="1"/>
          <w:rtl w:val="0"/>
        </w:rPr>
        <w:t xml:space="preserve">Also relevant:</w:t>
      </w:r>
      <w:r w:rsidDel="00000000" w:rsidR="00000000" w:rsidRPr="00000000">
        <w:rPr>
          <w:rtl w:val="0"/>
        </w:rPr>
        <w:t xml:space="preserve"> Ahpra’s </w:t>
      </w:r>
      <w:r w:rsidDel="00000000" w:rsidR="00000000" w:rsidRPr="00000000">
        <w:rPr>
          <w:b w:val="1"/>
          <w:bCs w:val="1"/>
          <w:rtl w:val="0"/>
        </w:rPr>
        <w:t xml:space="preserve">Guidelines for advertising a regulated health service</w:t>
      </w:r>
      <w:r w:rsidDel="00000000" w:rsidR="00000000" w:rsidRPr="00000000">
        <w:rPr>
          <w:rtl w:val="0"/>
        </w:rPr>
        <w:t xml:space="preserve"> (testimonials banned for health‑service ads) if you’re a clinic/practitioner. (</w:t>
      </w:r>
      <w:hyperlink r:id="rId10">
        <w:r w:rsidDel="00000000" w:rsidR="00000000" w:rsidRPr="00000000">
          <w:rPr>
            <w:color w:val="1155cc"/>
            <w:u w:val="single"/>
            <w:rtl w:val="0"/>
          </w:rPr>
          <w:t xml:space="preserve">AHPRA</w:t>
        </w:r>
      </w:hyperlink>
      <w:r w:rsidDel="00000000" w:rsidR="00000000" w:rsidRPr="00000000">
        <w:rPr>
          <w:rtl w:val="0"/>
        </w:rPr>
        <w:t xml:space="preserve">)</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vd70vrywjapg" w:id="2"/>
      <w:bookmarkEnd w:id="2"/>
      <w:r w:rsidDel="00000000" w:rsidR="00000000" w:rsidRPr="00000000">
        <w:rPr>
          <w:b w:val="1"/>
          <w:bCs w:val="1"/>
          <w:sz w:val="34"/>
          <w:szCs w:val="34"/>
          <w:rtl w:val="0"/>
        </w:rPr>
        <w:t xml:space="preserve">2) What you can’t advertise to the public (bright red lines)</w:t>
      </w:r>
    </w:p>
    <w:p w:rsidR="00000000" w:rsidDel="00000000" w:rsidP="00000000" w:rsidRDefault="00000000" w:rsidRPr="00000000" w14:paraId="0000000E">
      <w:pPr>
        <w:spacing w:after="240" w:before="240" w:lineRule="auto"/>
        <w:rPr/>
      </w:pPr>
      <w:r w:rsidDel="00000000" w:rsidR="00000000" w:rsidRPr="00000000">
        <w:rPr>
          <w:rtl w:val="0"/>
        </w:rPr>
        <w:t xml:space="preserve">You </w:t>
      </w:r>
      <w:r w:rsidDel="00000000" w:rsidR="00000000" w:rsidRPr="00000000">
        <w:rPr>
          <w:b w:val="1"/>
          <w:bCs w:val="1"/>
          <w:rtl w:val="0"/>
        </w:rPr>
        <w:t xml:space="preserve">must not</w:t>
      </w:r>
      <w:r w:rsidDel="00000000" w:rsidR="00000000" w:rsidRPr="00000000">
        <w:rPr>
          <w:rtl w:val="0"/>
        </w:rPr>
        <w:t xml:space="preserve"> advertise to the general public:</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Schedule 4/Schedule 8</w:t>
      </w:r>
      <w:r w:rsidDel="00000000" w:rsidR="00000000" w:rsidRPr="00000000">
        <w:rPr>
          <w:rtl w:val="0"/>
        </w:rPr>
        <w:t xml:space="preserve"> medicines (e.g., weight‑loss injections, botulinum toxin, medicinal cannabis). (</w:t>
      </w:r>
      <w:hyperlink r:id="rId11">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Unapproved</w:t>
      </w:r>
      <w:r w:rsidDel="00000000" w:rsidR="00000000" w:rsidRPr="00000000">
        <w:rPr>
          <w:rtl w:val="0"/>
        </w:rPr>
        <w:t xml:space="preserve"> therapeutic goods (e.g., SAS/Authorised Prescriber, compounded semaglutide) and </w:t>
      </w:r>
      <w:r w:rsidDel="00000000" w:rsidR="00000000" w:rsidRPr="00000000">
        <w:rPr>
          <w:b w:val="1"/>
          <w:bCs w:val="1"/>
          <w:rtl w:val="0"/>
        </w:rPr>
        <w:t xml:space="preserve">biologicals</w:t>
      </w:r>
      <w:r w:rsidDel="00000000" w:rsidR="00000000" w:rsidRPr="00000000">
        <w:rPr>
          <w:rtl w:val="0"/>
        </w:rPr>
        <w:t xml:space="preserve">. (</w:t>
      </w:r>
      <w:hyperlink r:id="rId12">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b w:val="1"/>
          <w:bCs w:val="1"/>
          <w:rtl w:val="0"/>
        </w:rPr>
        <w:t xml:space="preserve">Most vaping goods</w:t>
      </w:r>
      <w:r w:rsidDel="00000000" w:rsidR="00000000" w:rsidRPr="00000000">
        <w:rPr>
          <w:rtl w:val="0"/>
        </w:rPr>
        <w:t xml:space="preserve"> (new laws — advertising prohibited unless specifically authorised under strict conditions). (</w:t>
      </w:r>
      <w:hyperlink r:id="rId13">
        <w:r w:rsidDel="00000000" w:rsidR="00000000" w:rsidRPr="00000000">
          <w:rPr>
            <w:color w:val="1155cc"/>
            <w:u w:val="single"/>
            <w:rtl w:val="0"/>
          </w:rPr>
          <w:t xml:space="preserve">Therapeutic Goods Administration (TGA)</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Parliament of Western Australia</w:t>
        </w:r>
      </w:hyperlink>
      <w:r w:rsidDel="00000000" w:rsidR="00000000" w:rsidRPr="00000000">
        <w:rPr>
          <w:rtl w:val="0"/>
        </w:rPr>
        <w:t xml:space="preserve">)</w:t>
        <w:br w:type="textWrapping"/>
      </w:r>
    </w:p>
    <w:p w:rsidR="00000000" w:rsidDel="00000000" w:rsidP="00000000" w:rsidRDefault="00000000" w:rsidRPr="00000000" w14:paraId="00000012">
      <w:pPr>
        <w:spacing w:after="240" w:before="240" w:lineRule="auto"/>
        <w:ind w:left="600" w:right="600" w:firstLine="0"/>
        <w:rPr/>
      </w:pPr>
      <w:r w:rsidDel="00000000" w:rsidR="00000000" w:rsidRPr="00000000">
        <w:rPr>
          <w:b w:val="1"/>
          <w:bCs w:val="1"/>
          <w:rtl w:val="0"/>
        </w:rPr>
        <w:t xml:space="preserve">You can</w:t>
      </w:r>
      <w:r w:rsidDel="00000000" w:rsidR="00000000" w:rsidRPr="00000000">
        <w:rPr>
          <w:rtl w:val="0"/>
        </w:rPr>
        <w:t xml:space="preserve"> advertise price lists for certain S4/S3(P) in pharmacies, but only under narrow conditions and without any promotional content. If you don’t meet every condition, don’t post.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riezwxd9bqe" w:id="3"/>
      <w:bookmarkEnd w:id="3"/>
      <w:r w:rsidDel="00000000" w:rsidR="00000000" w:rsidRPr="00000000">
        <w:rPr>
          <w:b w:val="1"/>
          <w:bCs w:val="1"/>
          <w:sz w:val="34"/>
          <w:szCs w:val="34"/>
          <w:rtl w:val="0"/>
        </w:rPr>
        <w:t xml:space="preserve">3) Core Advertising Code Principles (non‑negotiables)</w:t>
      </w:r>
    </w:p>
    <w:p w:rsidR="00000000" w:rsidDel="00000000" w:rsidP="00000000" w:rsidRDefault="00000000" w:rsidRPr="00000000" w14:paraId="00000015">
      <w:pPr>
        <w:numPr>
          <w:ilvl w:val="0"/>
          <w:numId w:val="17"/>
        </w:numPr>
        <w:spacing w:after="0" w:afterAutospacing="0" w:before="240" w:lineRule="auto"/>
        <w:ind w:left="720" w:hanging="360"/>
      </w:pPr>
      <w:r w:rsidDel="00000000" w:rsidR="00000000" w:rsidRPr="00000000">
        <w:rPr>
          <w:b w:val="1"/>
          <w:bCs w:val="1"/>
          <w:rtl w:val="0"/>
        </w:rPr>
        <w:t xml:space="preserve">Accurate, balanced, substantiated, safe</w:t>
      </w:r>
      <w:r w:rsidDel="00000000" w:rsidR="00000000" w:rsidRPr="00000000">
        <w:rPr>
          <w:rtl w:val="0"/>
        </w:rPr>
        <w:t xml:space="preserve">; consistent with the ARTG entry’s indications/intended purpose. Include important limitations/precautions where needed. (</w:t>
      </w:r>
      <w:hyperlink r:id="rId16">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b w:val="1"/>
          <w:bCs w:val="1"/>
          <w:rtl w:val="0"/>
        </w:rPr>
        <w:t xml:space="preserve">No restricted/prohibited representations</w:t>
      </w:r>
      <w:r w:rsidDel="00000000" w:rsidR="00000000" w:rsidRPr="00000000">
        <w:rPr>
          <w:rtl w:val="0"/>
        </w:rPr>
        <w:t xml:space="preserve"> (e.g., cancer, mental illness) unless you have </w:t>
      </w:r>
      <w:r w:rsidDel="00000000" w:rsidR="00000000" w:rsidRPr="00000000">
        <w:rPr>
          <w:b w:val="1"/>
          <w:bCs w:val="1"/>
          <w:rtl w:val="0"/>
        </w:rPr>
        <w:t xml:space="preserve">TGA permission</w:t>
      </w:r>
      <w:r w:rsidDel="00000000" w:rsidR="00000000" w:rsidRPr="00000000">
        <w:rPr>
          <w:rtl w:val="0"/>
        </w:rPr>
        <w:t xml:space="preserve"> in writing </w:t>
      </w:r>
      <w:r w:rsidDel="00000000" w:rsidR="00000000" w:rsidRPr="00000000">
        <w:rPr>
          <w:b w:val="1"/>
          <w:bCs w:val="1"/>
          <w:rtl w:val="0"/>
        </w:rPr>
        <w:t xml:space="preserve">before</w:t>
      </w:r>
      <w:r w:rsidDel="00000000" w:rsidR="00000000" w:rsidRPr="00000000">
        <w:rPr>
          <w:rtl w:val="0"/>
        </w:rPr>
        <w:t xml:space="preserve"> publishing.</w:t>
        <w:br w:type="textWrapping"/>
      </w:r>
    </w:p>
    <w:p w:rsidR="00000000" w:rsidDel="00000000" w:rsidP="00000000" w:rsidRDefault="00000000" w:rsidRPr="00000000" w14:paraId="00000017">
      <w:pPr>
        <w:numPr>
          <w:ilvl w:val="0"/>
          <w:numId w:val="17"/>
        </w:numPr>
        <w:spacing w:after="240" w:before="0" w:beforeAutospacing="0" w:lineRule="auto"/>
        <w:ind w:left="720" w:hanging="360"/>
      </w:pPr>
      <w:r w:rsidDel="00000000" w:rsidR="00000000" w:rsidRPr="00000000">
        <w:rPr>
          <w:b w:val="1"/>
          <w:bCs w:val="1"/>
          <w:rtl w:val="0"/>
        </w:rPr>
        <w:t xml:space="preserve">No government endorsement claims</w:t>
      </w:r>
      <w:r w:rsidDel="00000000" w:rsidR="00000000" w:rsidRPr="00000000">
        <w:rPr>
          <w:rtl w:val="0"/>
        </w:rPr>
        <w:t xml:space="preserve">: never say “TGA approved/registered” or use the TGA/Coat‑of‑Arms logos. You </w:t>
      </w:r>
      <w:r w:rsidDel="00000000" w:rsidR="00000000" w:rsidRPr="00000000">
        <w:rPr>
          <w:i w:val="1"/>
          <w:iCs w:val="1"/>
          <w:rtl w:val="0"/>
        </w:rPr>
        <w:t xml:space="preserve">may</w:t>
      </w:r>
      <w:r w:rsidDel="00000000" w:rsidR="00000000" w:rsidRPr="00000000">
        <w:rPr>
          <w:rtl w:val="0"/>
        </w:rPr>
        <w:t xml:space="preserve"> show an </w:t>
      </w:r>
      <w:r w:rsidDel="00000000" w:rsidR="00000000" w:rsidRPr="00000000">
        <w:rPr>
          <w:b w:val="1"/>
          <w:bCs w:val="1"/>
          <w:rtl w:val="0"/>
        </w:rPr>
        <w:t xml:space="preserve">AUST L/AUST R/ARTG number</w:t>
      </w:r>
      <w:r w:rsidDel="00000000" w:rsidR="00000000" w:rsidRPr="00000000">
        <w:rPr>
          <w:rtl w:val="0"/>
        </w:rPr>
        <w:t xml:space="preserve"> in ads (optional; it helps consumers) — but don’t imply approval. (</w:t>
      </w:r>
      <w:hyperlink r:id="rId17">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t3v9cr4w5kz" w:id="4"/>
      <w:bookmarkEnd w:id="4"/>
      <w:r w:rsidDel="00000000" w:rsidR="00000000" w:rsidRPr="00000000">
        <w:rPr>
          <w:b w:val="1"/>
          <w:bCs w:val="1"/>
          <w:sz w:val="34"/>
          <w:szCs w:val="34"/>
          <w:rtl w:val="0"/>
        </w:rPr>
        <w:t xml:space="preserve">4) Social Media: rules that bite</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b w:val="1"/>
          <w:bCs w:val="1"/>
          <w:rtl w:val="0"/>
        </w:rPr>
        <w:t xml:space="preserve">Social posts = advertising.</w:t>
      </w:r>
      <w:r w:rsidDel="00000000" w:rsidR="00000000" w:rsidRPr="00000000">
        <w:rPr>
          <w:rtl w:val="0"/>
        </w:rPr>
        <w:t xml:space="preserve"> The Code applies. You’re responsible for </w:t>
      </w:r>
      <w:r w:rsidDel="00000000" w:rsidR="00000000" w:rsidRPr="00000000">
        <w:rPr>
          <w:b w:val="1"/>
          <w:bCs w:val="1"/>
          <w:rtl w:val="0"/>
        </w:rPr>
        <w:t xml:space="preserve">moderating</w:t>
      </w:r>
      <w:r w:rsidDel="00000000" w:rsidR="00000000" w:rsidRPr="00000000">
        <w:rPr>
          <w:rtl w:val="0"/>
        </w:rPr>
        <w:t xml:space="preserve"> your pages and </w:t>
      </w:r>
      <w:r w:rsidDel="00000000" w:rsidR="00000000" w:rsidRPr="00000000">
        <w:rPr>
          <w:b w:val="1"/>
          <w:bCs w:val="1"/>
          <w:rtl w:val="0"/>
        </w:rPr>
        <w:t xml:space="preserve">removing non‑compliant comments/testimonials ASAP</w:t>
      </w:r>
      <w:r w:rsidDel="00000000" w:rsidR="00000000" w:rsidRPr="00000000">
        <w:rPr>
          <w:rtl w:val="0"/>
        </w:rPr>
        <w:t xml:space="preserve"> (liking/sharing illegal testimonials counts). (</w:t>
      </w:r>
      <w:hyperlink r:id="rId18">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Mandatory info must be “prominently displayed or communicated”.</w:t>
      </w:r>
      <w:r w:rsidDel="00000000" w:rsidR="00000000" w:rsidRPr="00000000">
        <w:rPr>
          <w:rtl w:val="0"/>
        </w:rPr>
        <w:t xml:space="preserve"> Hiding warnings in “see more,” timed captions, or tiny story text doesn’t cut it. (</w:t>
      </w:r>
      <w:hyperlink r:id="rId19">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Influencers &amp; paid content:</w:t>
        <w:br w:type="textWrapping"/>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b w:val="1"/>
          <w:bCs w:val="1"/>
          <w:rtl w:val="0"/>
        </w:rPr>
        <w:t xml:space="preserve">Testimonials</w:t>
      </w:r>
      <w:r w:rsidDel="00000000" w:rsidR="00000000" w:rsidRPr="00000000">
        <w:rPr>
          <w:rtl w:val="0"/>
        </w:rPr>
        <w:t xml:space="preserve"> (personal experience) from anyone paid/incentivised or involved in making/marketing/supplying the goods are </w:t>
      </w:r>
      <w:r w:rsidDel="00000000" w:rsidR="00000000" w:rsidRPr="00000000">
        <w:rPr>
          <w:b w:val="1"/>
          <w:bCs w:val="1"/>
          <w:rtl w:val="0"/>
        </w:rPr>
        <w:t xml:space="preserve">prohibited</w:t>
      </w:r>
      <w:r w:rsidDel="00000000" w:rsidR="00000000" w:rsidRPr="00000000">
        <w:rPr>
          <w:rtl w:val="0"/>
        </w:rPr>
        <w:t xml:space="preserve">. Even unpaid testimonials are restricted by who’s speaking.</w:t>
        <w:br w:type="textWrapping"/>
      </w:r>
    </w:p>
    <w:p w:rsidR="00000000" w:rsidDel="00000000" w:rsidP="00000000" w:rsidRDefault="00000000" w:rsidRPr="00000000" w14:paraId="0000001E">
      <w:pPr>
        <w:numPr>
          <w:ilvl w:val="1"/>
          <w:numId w:val="11"/>
        </w:numPr>
        <w:spacing w:after="0" w:afterAutospacing="0" w:before="0" w:beforeAutospacing="0" w:lineRule="auto"/>
        <w:ind w:left="1440" w:hanging="360"/>
      </w:pPr>
      <w:r w:rsidDel="00000000" w:rsidR="00000000" w:rsidRPr="00000000">
        <w:rPr>
          <w:b w:val="1"/>
          <w:bCs w:val="1"/>
          <w:rtl w:val="0"/>
        </w:rPr>
        <w:t xml:space="preserve">Endorsements</w:t>
      </w:r>
      <w:r w:rsidDel="00000000" w:rsidR="00000000" w:rsidRPr="00000000">
        <w:rPr>
          <w:rtl w:val="0"/>
        </w:rPr>
        <w:t xml:space="preserve"> (approval without personal use) have limits; </w:t>
      </w:r>
      <w:r w:rsidDel="00000000" w:rsidR="00000000" w:rsidRPr="00000000">
        <w:rPr>
          <w:b w:val="1"/>
          <w:bCs w:val="1"/>
          <w:rtl w:val="0"/>
        </w:rPr>
        <w:t xml:space="preserve">health professionals, hospitals, government bodies</w:t>
      </w:r>
      <w:r w:rsidDel="00000000" w:rsidR="00000000" w:rsidRPr="00000000">
        <w:rPr>
          <w:rtl w:val="0"/>
        </w:rPr>
        <w:t xml:space="preserve"> cannot endorse to the public.</w:t>
        <w:br w:type="textWrapping"/>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b w:val="1"/>
          <w:bCs w:val="1"/>
          <w:rtl w:val="0"/>
        </w:rPr>
        <w:t xml:space="preserve">Label paid content</w:t>
      </w:r>
      <w:r w:rsidDel="00000000" w:rsidR="00000000" w:rsidRPr="00000000">
        <w:rPr>
          <w:rtl w:val="0"/>
        </w:rPr>
        <w:t xml:space="preserve"> clearly, and pre‑clear every script/visual.</w:t>
        <w:br w:type="textWrapping"/>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b w:val="1"/>
          <w:bCs w:val="1"/>
          <w:rtl w:val="0"/>
        </w:rPr>
        <w:t xml:space="preserve">Before/after imagery, sensational health claims, “guaranteed” results</w:t>
      </w:r>
      <w:r w:rsidDel="00000000" w:rsidR="00000000" w:rsidRPr="00000000">
        <w:rPr>
          <w:rtl w:val="0"/>
        </w:rPr>
        <w:t xml:space="preserve"> — default to </w:t>
      </w:r>
      <w:r w:rsidDel="00000000" w:rsidR="00000000" w:rsidRPr="00000000">
        <w:rPr>
          <w:b w:val="1"/>
          <w:bCs w:val="1"/>
          <w:rtl w:val="0"/>
        </w:rPr>
        <w:t xml:space="preserve">no</w:t>
      </w:r>
      <w:r w:rsidDel="00000000" w:rsidR="00000000" w:rsidRPr="00000000">
        <w:rPr>
          <w:rtl w:val="0"/>
        </w:rPr>
        <w:t xml:space="preserve">; high risk of being misleading or creating unrealistic expectations. (</w:t>
      </w:r>
      <w:hyperlink r:id="rId20">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l2jcn27przx" w:id="5"/>
      <w:bookmarkEnd w:id="5"/>
      <w:r w:rsidDel="00000000" w:rsidR="00000000" w:rsidRPr="00000000">
        <w:rPr>
          <w:b w:val="1"/>
          <w:bCs w:val="1"/>
          <w:sz w:val="34"/>
          <w:szCs w:val="34"/>
          <w:rtl w:val="0"/>
        </w:rPr>
        <w:t xml:space="preserve">5) Disease education vs promotion (where people slip)</w:t>
      </w:r>
    </w:p>
    <w:p w:rsidR="00000000" w:rsidDel="00000000" w:rsidP="00000000" w:rsidRDefault="00000000" w:rsidRPr="00000000" w14:paraId="00000023">
      <w:pPr>
        <w:numPr>
          <w:ilvl w:val="0"/>
          <w:numId w:val="4"/>
        </w:numPr>
        <w:spacing w:after="240" w:before="240" w:lineRule="auto"/>
        <w:ind w:left="720" w:hanging="360"/>
      </w:pPr>
      <w:r w:rsidDel="00000000" w:rsidR="00000000" w:rsidRPr="00000000">
        <w:rPr>
          <w:b w:val="1"/>
          <w:bCs w:val="1"/>
          <w:rtl w:val="0"/>
        </w:rPr>
        <w:t xml:space="preserve">Disease awareness</w:t>
      </w:r>
      <w:r w:rsidDel="00000000" w:rsidR="00000000" w:rsidRPr="00000000">
        <w:rPr>
          <w:rtl w:val="0"/>
        </w:rPr>
        <w:t xml:space="preserve"> that is </w:t>
      </w:r>
      <w:r w:rsidDel="00000000" w:rsidR="00000000" w:rsidRPr="00000000">
        <w:rPr>
          <w:b w:val="1"/>
          <w:bCs w:val="1"/>
          <w:rtl w:val="0"/>
        </w:rPr>
        <w:t xml:space="preserve">balanced, factual, non‑promotional</w:t>
      </w:r>
      <w:r w:rsidDel="00000000" w:rsidR="00000000" w:rsidRPr="00000000">
        <w:rPr>
          <w:rtl w:val="0"/>
        </w:rPr>
        <w:t xml:space="preserve"> may be okay. The second you hint at a particular good, active ingredient, or provide a “path” to a supplier, you’re in ad territory. Keep disease content product‑agnostic and separate in timing and placement from product promotions. (</w:t>
      </w:r>
      <w:hyperlink r:id="rId21">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62kwrk0tmsf" w:id="6"/>
      <w:bookmarkEnd w:id="6"/>
      <w:r w:rsidDel="00000000" w:rsidR="00000000" w:rsidRPr="00000000">
        <w:rPr>
          <w:b w:val="1"/>
          <w:bCs w:val="1"/>
          <w:sz w:val="34"/>
          <w:szCs w:val="34"/>
          <w:rtl w:val="0"/>
        </w:rPr>
        <w:t xml:space="preserve">6) Children</w:t>
      </w:r>
    </w:p>
    <w:p w:rsidR="00000000" w:rsidDel="00000000" w:rsidP="00000000" w:rsidRDefault="00000000" w:rsidRPr="00000000" w14:paraId="00000026">
      <w:pPr>
        <w:numPr>
          <w:ilvl w:val="0"/>
          <w:numId w:val="26"/>
        </w:numPr>
        <w:spacing w:after="240" w:before="240" w:lineRule="auto"/>
        <w:ind w:left="720" w:hanging="360"/>
      </w:pPr>
      <w:r w:rsidDel="00000000" w:rsidR="00000000" w:rsidRPr="00000000">
        <w:rPr>
          <w:b w:val="1"/>
          <w:bCs w:val="1"/>
          <w:rtl w:val="0"/>
        </w:rPr>
        <w:t xml:space="preserve">You cannot advertise to under‑12s.</w:t>
      </w:r>
      <w:r w:rsidDel="00000000" w:rsidR="00000000" w:rsidRPr="00000000">
        <w:rPr>
          <w:rtl w:val="0"/>
        </w:rPr>
        <w:t xml:space="preserve"> To advertise to 12–17s, the good must be on the Code’s Annexure 1 list and comply with added conditions. Assume </w:t>
      </w:r>
      <w:r w:rsidDel="00000000" w:rsidR="00000000" w:rsidRPr="00000000">
        <w:rPr>
          <w:b w:val="1"/>
          <w:bCs w:val="1"/>
          <w:rtl w:val="0"/>
        </w:rPr>
        <w:t xml:space="preserve">no</w:t>
      </w:r>
      <w:r w:rsidDel="00000000" w:rsidR="00000000" w:rsidRPr="00000000">
        <w:rPr>
          <w:rtl w:val="0"/>
        </w:rPr>
        <w:t xml:space="preserve"> unless you’ve verified it. (</w:t>
      </w:r>
      <w:hyperlink r:id="rId22">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u3kma1jut92" w:id="7"/>
      <w:bookmarkEnd w:id="7"/>
      <w:r w:rsidDel="00000000" w:rsidR="00000000" w:rsidRPr="00000000">
        <w:rPr>
          <w:b w:val="1"/>
          <w:bCs w:val="1"/>
          <w:sz w:val="34"/>
          <w:szCs w:val="34"/>
          <w:rtl w:val="0"/>
        </w:rPr>
        <w:t xml:space="preserve">7) Vaping: 2024–25 reforms (do not wing this)</w:t>
      </w:r>
    </w:p>
    <w:p w:rsidR="00000000" w:rsidDel="00000000" w:rsidP="00000000" w:rsidRDefault="00000000" w:rsidRPr="00000000" w14:paraId="00000029">
      <w:pPr>
        <w:numPr>
          <w:ilvl w:val="0"/>
          <w:numId w:val="22"/>
        </w:numPr>
        <w:spacing w:after="240" w:before="240" w:lineRule="auto"/>
        <w:ind w:left="720" w:hanging="360"/>
      </w:pPr>
      <w:r w:rsidDel="00000000" w:rsidR="00000000" w:rsidRPr="00000000">
        <w:rPr>
          <w:b w:val="1"/>
          <w:bCs w:val="1"/>
          <w:rtl w:val="0"/>
        </w:rPr>
        <w:t xml:space="preserve">Public advertising of vapes is banned</w:t>
      </w:r>
      <w:r w:rsidDel="00000000" w:rsidR="00000000" w:rsidRPr="00000000">
        <w:rPr>
          <w:rtl w:val="0"/>
        </w:rPr>
        <w:t xml:space="preserve"> unless expressly authorised; </w:t>
      </w:r>
      <w:r w:rsidDel="00000000" w:rsidR="00000000" w:rsidRPr="00000000">
        <w:rPr>
          <w:b w:val="1"/>
          <w:bCs w:val="1"/>
          <w:rtl w:val="0"/>
        </w:rPr>
        <w:t xml:space="preserve">HCP‑only</w:t>
      </w:r>
      <w:r w:rsidDel="00000000" w:rsidR="00000000" w:rsidRPr="00000000">
        <w:rPr>
          <w:rtl w:val="0"/>
        </w:rPr>
        <w:t xml:space="preserve"> advertising has strict conditions (e.g., include notification details; no testimonials). (</w:t>
      </w:r>
      <w:hyperlink r:id="rId23">
        <w:r w:rsidDel="00000000" w:rsidR="00000000" w:rsidRPr="00000000">
          <w:rPr>
            <w:color w:val="1155cc"/>
            <w:u w:val="single"/>
            <w:rtl w:val="0"/>
          </w:rPr>
          <w:t xml:space="preserve">Therapeutic Goods Administration (TGA)</w:t>
        </w:r>
      </w:hyperlink>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Parliament of Western Australia</w:t>
        </w:r>
      </w:hyperlink>
      <w:r w:rsidDel="00000000" w:rsidR="00000000" w:rsidRPr="00000000">
        <w:rPr>
          <w:rtl w:val="0"/>
        </w:rPr>
        <w:t xml:space="preserve">)</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3bn30yortsz7" w:id="8"/>
      <w:bookmarkEnd w:id="8"/>
      <w:r w:rsidDel="00000000" w:rsidR="00000000" w:rsidRPr="00000000">
        <w:rPr>
          <w:b w:val="1"/>
          <w:bCs w:val="1"/>
          <w:sz w:val="34"/>
          <w:szCs w:val="34"/>
          <w:rtl w:val="0"/>
        </w:rPr>
        <w:t xml:space="preserve">8) Medicinal Cannabis (many are getting pinged)</w:t>
      </w:r>
    </w:p>
    <w:p w:rsidR="00000000" w:rsidDel="00000000" w:rsidP="00000000" w:rsidRDefault="00000000" w:rsidRPr="00000000" w14:paraId="0000002C">
      <w:pPr>
        <w:numPr>
          <w:ilvl w:val="0"/>
          <w:numId w:val="8"/>
        </w:numPr>
        <w:spacing w:after="240" w:before="240" w:lineRule="auto"/>
        <w:ind w:left="720" w:hanging="360"/>
      </w:pPr>
      <w:r w:rsidDel="00000000" w:rsidR="00000000" w:rsidRPr="00000000">
        <w:rPr>
          <w:b w:val="1"/>
          <w:bCs w:val="1"/>
          <w:rtl w:val="0"/>
        </w:rPr>
        <w:t xml:space="preserve">Public advertising is prohibited</w:t>
      </w:r>
      <w:r w:rsidDel="00000000" w:rsidR="00000000" w:rsidRPr="00000000">
        <w:rPr>
          <w:rtl w:val="0"/>
        </w:rPr>
        <w:t xml:space="preserve"> (S4/S8; most products unapproved). TGA has taken recent action (direction notices, fines, civil proceedings). Don’t promote; at most, advertise </w:t>
      </w:r>
      <w:r w:rsidDel="00000000" w:rsidR="00000000" w:rsidRPr="00000000">
        <w:rPr>
          <w:b w:val="1"/>
          <w:bCs w:val="1"/>
          <w:rtl w:val="0"/>
        </w:rPr>
        <w:t xml:space="preserve">consultations</w:t>
      </w:r>
      <w:r w:rsidDel="00000000" w:rsidR="00000000" w:rsidRPr="00000000">
        <w:rPr>
          <w:rtl w:val="0"/>
        </w:rPr>
        <w:t xml:space="preserve"> in compliant, product‑agnostic terms. (</w:t>
      </w:r>
      <w:hyperlink r:id="rId26">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hmk2mve47fn" w:id="9"/>
      <w:bookmarkEnd w:id="9"/>
      <w:r w:rsidDel="00000000" w:rsidR="00000000" w:rsidRPr="00000000">
        <w:rPr>
          <w:b w:val="1"/>
          <w:bCs w:val="1"/>
          <w:sz w:val="34"/>
          <w:szCs w:val="34"/>
          <w:rtl w:val="0"/>
        </w:rPr>
        <w:t xml:space="preserve">9) Cosmetic injectables &amp; Rx “workarounds”</w:t>
      </w:r>
    </w:p>
    <w:p w:rsidR="00000000" w:rsidDel="00000000" w:rsidP="00000000" w:rsidRDefault="00000000" w:rsidRPr="00000000" w14:paraId="0000002F">
      <w:pPr>
        <w:numPr>
          <w:ilvl w:val="0"/>
          <w:numId w:val="5"/>
        </w:numPr>
        <w:spacing w:after="240" w:before="240" w:lineRule="auto"/>
        <w:ind w:left="720" w:hanging="360"/>
      </w:pPr>
      <w:r w:rsidDel="00000000" w:rsidR="00000000" w:rsidRPr="00000000">
        <w:rPr>
          <w:rtl w:val="0"/>
        </w:rPr>
        <w:t xml:space="preserve">The TGA’s </w:t>
      </w:r>
      <w:r w:rsidDel="00000000" w:rsidR="00000000" w:rsidRPr="00000000">
        <w:rPr>
          <w:b w:val="1"/>
          <w:bCs w:val="1"/>
          <w:rtl w:val="0"/>
        </w:rPr>
        <w:t xml:space="preserve">health‑service</w:t>
      </w:r>
      <w:r w:rsidDel="00000000" w:rsidR="00000000" w:rsidRPr="00000000">
        <w:rPr>
          <w:rtl w:val="0"/>
        </w:rPr>
        <w:t xml:space="preserve"> advertising guidance: if your service involves prescription‑only substances (e.g., anti‑wrinkle injections, fillers), </w:t>
      </w:r>
      <w:r w:rsidDel="00000000" w:rsidR="00000000" w:rsidRPr="00000000">
        <w:rPr>
          <w:b w:val="1"/>
          <w:bCs w:val="1"/>
          <w:rtl w:val="0"/>
        </w:rPr>
        <w:t xml:space="preserve">do not</w:t>
      </w:r>
      <w:r w:rsidDel="00000000" w:rsidR="00000000" w:rsidRPr="00000000">
        <w:rPr>
          <w:rtl w:val="0"/>
        </w:rPr>
        <w:t xml:space="preserve"> directly or indirectly refer to the goods (including euphemisms like “wrinkle relaxers”). Advertise the </w:t>
      </w:r>
      <w:r w:rsidDel="00000000" w:rsidR="00000000" w:rsidRPr="00000000">
        <w:rPr>
          <w:b w:val="1"/>
          <w:bCs w:val="1"/>
          <w:rtl w:val="0"/>
        </w:rPr>
        <w:t xml:space="preserve">consultation</w:t>
      </w:r>
      <w:r w:rsidDel="00000000" w:rsidR="00000000" w:rsidRPr="00000000">
        <w:rPr>
          <w:rtl w:val="0"/>
        </w:rPr>
        <w:t xml:space="preserve">, not the product. (</w:t>
      </w:r>
      <w:hyperlink r:id="rId27">
        <w:r w:rsidDel="00000000" w:rsidR="00000000" w:rsidRPr="00000000">
          <w:rPr>
            <w:color w:val="1155cc"/>
            <w:u w:val="single"/>
            <w:rtl w:val="0"/>
          </w:rPr>
          <w:t xml:space="preserve">HWLE Lawyers</w:t>
        </w:r>
      </w:hyperlink>
      <w:r w:rsidDel="00000000" w:rsidR="00000000" w:rsidRPr="00000000">
        <w:rPr>
          <w:rtl w:val="0"/>
        </w:rPr>
        <w:t xml:space="preserve">)</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c2c5hnj4pba" w:id="10"/>
      <w:bookmarkEnd w:id="10"/>
      <w:r w:rsidDel="00000000" w:rsidR="00000000" w:rsidRPr="00000000">
        <w:rPr>
          <w:b w:val="1"/>
          <w:bCs w:val="1"/>
          <w:sz w:val="34"/>
          <w:szCs w:val="34"/>
          <w:rtl w:val="0"/>
        </w:rPr>
        <w:t xml:space="preserve">10) Mandatory statements &amp; format (how to present)</w:t>
      </w:r>
    </w:p>
    <w:p w:rsidR="00000000" w:rsidDel="00000000" w:rsidP="00000000" w:rsidRDefault="00000000" w:rsidRPr="00000000" w14:paraId="00000032">
      <w:pPr>
        <w:numPr>
          <w:ilvl w:val="0"/>
          <w:numId w:val="19"/>
        </w:numPr>
        <w:spacing w:after="0" w:afterAutospacing="0" w:before="240" w:lineRule="auto"/>
        <w:ind w:left="720" w:hanging="360"/>
      </w:pPr>
      <w:r w:rsidDel="00000000" w:rsidR="00000000" w:rsidRPr="00000000">
        <w:rPr>
          <w:rtl w:val="0"/>
        </w:rPr>
        <w:t xml:space="preserve">Include </w:t>
      </w:r>
      <w:r w:rsidDel="00000000" w:rsidR="00000000" w:rsidRPr="00000000">
        <w:rPr>
          <w:b w:val="1"/>
          <w:bCs w:val="1"/>
          <w:rtl w:val="0"/>
        </w:rPr>
        <w:t xml:space="preserve">essential warnings/qualifiers</w:t>
      </w:r>
      <w:r w:rsidDel="00000000" w:rsidR="00000000" w:rsidRPr="00000000">
        <w:rPr>
          <w:rtl w:val="0"/>
        </w:rPr>
        <w:t xml:space="preserve"> where needed for safe use; the test is </w:t>
      </w:r>
      <w:r w:rsidDel="00000000" w:rsidR="00000000" w:rsidRPr="00000000">
        <w:rPr>
          <w:b w:val="1"/>
          <w:bCs w:val="1"/>
          <w:rtl w:val="0"/>
        </w:rPr>
        <w:t xml:space="preserve">“prominently displayed or communicated.”</w:t>
      </w:r>
      <w:r w:rsidDel="00000000" w:rsidR="00000000" w:rsidRPr="00000000">
        <w:rPr>
          <w:rtl w:val="0"/>
        </w:rPr>
        <w:t xml:space="preserve"> Tiny fonts, fleeting on‑screen text, or burying in collapsed copy fail. (</w:t>
      </w:r>
      <w:hyperlink r:id="rId28">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b w:val="1"/>
          <w:bCs w:val="1"/>
          <w:rtl w:val="0"/>
        </w:rPr>
        <w:t xml:space="preserve">Social posts are not a “short‑form exception.”</w:t>
      </w:r>
      <w:r w:rsidDel="00000000" w:rsidR="00000000" w:rsidRPr="00000000">
        <w:rPr>
          <w:rtl w:val="0"/>
        </w:rPr>
        <w:t xml:space="preserve"> Treat posts/reels like any ad: make warnings legible on the first visible screen. (Industry guidance mirrors TGA’s position.) (</w:t>
      </w:r>
      <w:hyperlink r:id="rId29">
        <w:r w:rsidDel="00000000" w:rsidR="00000000" w:rsidRPr="00000000">
          <w:rPr>
            <w:color w:val="1155cc"/>
            <w:u w:val="single"/>
            <w:rtl w:val="0"/>
          </w:rPr>
          <w:t xml:space="preserve">guild.org.au</w:t>
        </w:r>
      </w:hyperlink>
      <w:r w:rsidDel="00000000" w:rsidR="00000000" w:rsidRPr="00000000">
        <w:rPr>
          <w:rtl w:val="0"/>
        </w:rPr>
        <w:t xml:space="preserve">)</w:t>
        <w:br w:type="textWrapping"/>
      </w:r>
    </w:p>
    <w:p w:rsidR="00000000" w:rsidDel="00000000" w:rsidP="00000000" w:rsidRDefault="00000000" w:rsidRPr="00000000" w14:paraId="00000034">
      <w:pPr>
        <w:numPr>
          <w:ilvl w:val="0"/>
          <w:numId w:val="19"/>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don’t have to</w:t>
      </w:r>
      <w:r w:rsidDel="00000000" w:rsidR="00000000" w:rsidRPr="00000000">
        <w:rPr>
          <w:rtl w:val="0"/>
        </w:rPr>
        <w:t xml:space="preserve"> include the </w:t>
      </w:r>
      <w:r w:rsidDel="00000000" w:rsidR="00000000" w:rsidRPr="00000000">
        <w:rPr>
          <w:b w:val="1"/>
          <w:bCs w:val="1"/>
          <w:rtl w:val="0"/>
        </w:rPr>
        <w:t xml:space="preserve">ARTG number</w:t>
      </w:r>
      <w:r w:rsidDel="00000000" w:rsidR="00000000" w:rsidRPr="00000000">
        <w:rPr>
          <w:rtl w:val="0"/>
        </w:rPr>
        <w:t xml:space="preserve"> in every ad, but you </w:t>
      </w:r>
      <w:r w:rsidDel="00000000" w:rsidR="00000000" w:rsidRPr="00000000">
        <w:rPr>
          <w:b w:val="1"/>
          <w:bCs w:val="1"/>
          <w:rtl w:val="0"/>
        </w:rPr>
        <w:t xml:space="preserve">can</w:t>
      </w:r>
      <w:r w:rsidDel="00000000" w:rsidR="00000000" w:rsidRPr="00000000">
        <w:rPr>
          <w:rtl w:val="0"/>
        </w:rPr>
        <w:t xml:space="preserve"> (and it can help consumers). </w:t>
      </w:r>
      <w:r w:rsidDel="00000000" w:rsidR="00000000" w:rsidRPr="00000000">
        <w:rPr>
          <w:b w:val="1"/>
          <w:bCs w:val="1"/>
          <w:rtl w:val="0"/>
        </w:rPr>
        <w:t xml:space="preserve">Never</w:t>
      </w:r>
      <w:r w:rsidDel="00000000" w:rsidR="00000000" w:rsidRPr="00000000">
        <w:rPr>
          <w:rtl w:val="0"/>
        </w:rPr>
        <w:t xml:space="preserve"> say “TGA approved/registered.” (</w:t>
      </w:r>
      <w:hyperlink r:id="rId30">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drsv8p7zemz" w:id="11"/>
      <w:bookmarkEnd w:id="11"/>
      <w:r w:rsidDel="00000000" w:rsidR="00000000" w:rsidRPr="00000000">
        <w:rPr>
          <w:b w:val="1"/>
          <w:bCs w:val="1"/>
          <w:sz w:val="34"/>
          <w:szCs w:val="34"/>
          <w:rtl w:val="0"/>
        </w:rPr>
        <w:t xml:space="preserve">11) Scientific/clinical claims (earn them)</w:t>
      </w:r>
    </w:p>
    <w:p w:rsidR="00000000" w:rsidDel="00000000" w:rsidP="00000000" w:rsidRDefault="00000000" w:rsidRPr="00000000" w14:paraId="00000037">
      <w:pPr>
        <w:numPr>
          <w:ilvl w:val="0"/>
          <w:numId w:val="6"/>
        </w:numPr>
        <w:spacing w:after="240" w:before="240" w:lineRule="auto"/>
        <w:ind w:left="720" w:hanging="360"/>
      </w:pPr>
      <w:r w:rsidDel="00000000" w:rsidR="00000000" w:rsidRPr="00000000">
        <w:rPr>
          <w:b w:val="1"/>
          <w:bCs w:val="1"/>
          <w:rtl w:val="0"/>
        </w:rPr>
        <w:t xml:space="preserve">“Clinically proven,” “doctor recommended,” graphs/studies</w:t>
      </w:r>
      <w:r w:rsidDel="00000000" w:rsidR="00000000" w:rsidRPr="00000000">
        <w:rPr>
          <w:rtl w:val="0"/>
        </w:rPr>
        <w:t xml:space="preserve"> — you need </w:t>
      </w:r>
      <w:r w:rsidDel="00000000" w:rsidR="00000000" w:rsidRPr="00000000">
        <w:rPr>
          <w:b w:val="1"/>
          <w:bCs w:val="1"/>
          <w:rtl w:val="0"/>
        </w:rPr>
        <w:t xml:space="preserve">robust, current evidence</w:t>
      </w:r>
      <w:r w:rsidDel="00000000" w:rsidR="00000000" w:rsidRPr="00000000">
        <w:rPr>
          <w:rtl w:val="0"/>
        </w:rPr>
        <w:t xml:space="preserve"> and must not over‑state what the evidence shows. Keep claims aligned with the product’s ARTG entry (indications/intended purpose). (</w:t>
      </w:r>
      <w:hyperlink r:id="rId31">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m3digg1bc26" w:id="12"/>
      <w:bookmarkEnd w:id="12"/>
      <w:r w:rsidDel="00000000" w:rsidR="00000000" w:rsidRPr="00000000">
        <w:rPr>
          <w:b w:val="1"/>
          <w:bCs w:val="1"/>
          <w:sz w:val="34"/>
          <w:szCs w:val="34"/>
          <w:rtl w:val="0"/>
        </w:rPr>
        <w:t xml:space="preserve">12) Samples &amp; incentives (tight list; strict limits)</w:t>
      </w:r>
    </w:p>
    <w:p w:rsidR="00000000" w:rsidDel="00000000" w:rsidP="00000000" w:rsidRDefault="00000000" w:rsidRPr="00000000" w14:paraId="0000003A">
      <w:pPr>
        <w:numPr>
          <w:ilvl w:val="0"/>
          <w:numId w:val="28"/>
        </w:numPr>
        <w:spacing w:after="0" w:afterAutospacing="0" w:before="240" w:lineRule="auto"/>
        <w:ind w:left="720" w:hanging="360"/>
      </w:pPr>
      <w:r w:rsidDel="00000000" w:rsidR="00000000" w:rsidRPr="00000000">
        <w:rPr>
          <w:rtl w:val="0"/>
        </w:rPr>
        <w:t xml:space="preserve">Only specific categories may be offered as </w:t>
      </w:r>
      <w:r w:rsidDel="00000000" w:rsidR="00000000" w:rsidRPr="00000000">
        <w:rPr>
          <w:b w:val="1"/>
          <w:bCs w:val="1"/>
          <w:rtl w:val="0"/>
        </w:rPr>
        <w:t xml:space="preserve">samples</w:t>
      </w:r>
      <w:r w:rsidDel="00000000" w:rsidR="00000000" w:rsidRPr="00000000">
        <w:rPr>
          <w:rtl w:val="0"/>
        </w:rPr>
        <w:t xml:space="preserve"> (e.g., condoms/lubes, hand sanitisers, certain NRTs, sunscreens, wound dressings). Pack size must match ARTG; do </w:t>
      </w:r>
      <w:r w:rsidDel="00000000" w:rsidR="00000000" w:rsidRPr="00000000">
        <w:rPr>
          <w:b w:val="1"/>
          <w:bCs w:val="1"/>
          <w:rtl w:val="0"/>
        </w:rPr>
        <w:t xml:space="preserve">not</w:t>
      </w:r>
      <w:r w:rsidDel="00000000" w:rsidR="00000000" w:rsidRPr="00000000">
        <w:rPr>
          <w:rtl w:val="0"/>
        </w:rPr>
        <w:t xml:space="preserve"> advertise samples to children. </w:t>
      </w:r>
      <w:r w:rsidDel="00000000" w:rsidR="00000000" w:rsidRPr="00000000">
        <w:rPr>
          <w:b w:val="1"/>
          <w:bCs w:val="1"/>
          <w:rtl w:val="0"/>
        </w:rPr>
        <w:t xml:space="preserve">“Buy‑one‑get‑one”</w:t>
      </w:r>
      <w:r w:rsidDel="00000000" w:rsidR="00000000" w:rsidRPr="00000000">
        <w:rPr>
          <w:rtl w:val="0"/>
        </w:rPr>
        <w:t xml:space="preserve"> is separate from “samples.” (</w:t>
      </w:r>
      <w:hyperlink r:id="rId32">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3B">
      <w:pPr>
        <w:numPr>
          <w:ilvl w:val="0"/>
          <w:numId w:val="28"/>
        </w:numPr>
        <w:spacing w:after="240" w:before="0" w:beforeAutospacing="0" w:lineRule="auto"/>
        <w:ind w:left="720" w:hanging="360"/>
      </w:pPr>
      <w:r w:rsidDel="00000000" w:rsidR="00000000" w:rsidRPr="00000000">
        <w:rPr>
          <w:b w:val="1"/>
          <w:bCs w:val="1"/>
          <w:rtl w:val="0"/>
        </w:rPr>
        <w:t xml:space="preserve">No personal incentives/commissions</w:t>
      </w:r>
      <w:r w:rsidDel="00000000" w:rsidR="00000000" w:rsidRPr="00000000">
        <w:rPr>
          <w:rtl w:val="0"/>
        </w:rPr>
        <w:t xml:space="preserve"> to retail staff (non‑health‑professionals) to push your goods. (</w:t>
      </w:r>
      <w:hyperlink r:id="rId33">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5i0e4psaumb" w:id="13"/>
      <w:bookmarkEnd w:id="13"/>
      <w:r w:rsidDel="00000000" w:rsidR="00000000" w:rsidRPr="00000000">
        <w:rPr>
          <w:b w:val="1"/>
          <w:bCs w:val="1"/>
          <w:sz w:val="34"/>
          <w:szCs w:val="34"/>
          <w:rtl w:val="0"/>
        </w:rPr>
        <w:t xml:space="preserve">13) Price information (pharmacy context)</w:t>
      </w:r>
    </w:p>
    <w:p w:rsidR="00000000" w:rsidDel="00000000" w:rsidP="00000000" w:rsidRDefault="00000000" w:rsidRPr="00000000" w14:paraId="0000003E">
      <w:pPr>
        <w:numPr>
          <w:ilvl w:val="0"/>
          <w:numId w:val="29"/>
        </w:numPr>
        <w:spacing w:after="240" w:before="240" w:lineRule="auto"/>
        <w:ind w:left="720" w:hanging="360"/>
      </w:pPr>
      <w:r w:rsidDel="00000000" w:rsidR="00000000" w:rsidRPr="00000000">
        <w:rPr>
          <w:rtl w:val="0"/>
        </w:rPr>
        <w:t xml:space="preserve">You </w:t>
      </w:r>
      <w:r w:rsidDel="00000000" w:rsidR="00000000" w:rsidRPr="00000000">
        <w:rPr>
          <w:b w:val="1"/>
          <w:bCs w:val="1"/>
          <w:rtl w:val="0"/>
        </w:rPr>
        <w:t xml:space="preserve">may</w:t>
      </w:r>
      <w:r w:rsidDel="00000000" w:rsidR="00000000" w:rsidRPr="00000000">
        <w:rPr>
          <w:rtl w:val="0"/>
        </w:rPr>
        <w:t xml:space="preserve"> advertise price lists for certain prescription medicines/S3(P) </w:t>
      </w:r>
      <w:r w:rsidDel="00000000" w:rsidR="00000000" w:rsidRPr="00000000">
        <w:rPr>
          <w:b w:val="1"/>
          <w:bCs w:val="1"/>
          <w:rtl w:val="0"/>
        </w:rPr>
        <w:t xml:space="preserve">only</w:t>
      </w:r>
      <w:r w:rsidDel="00000000" w:rsidR="00000000" w:rsidRPr="00000000">
        <w:rPr>
          <w:rtl w:val="0"/>
        </w:rPr>
        <w:t xml:space="preserve"> in the very limited way described in the Code; </w:t>
      </w:r>
      <w:r w:rsidDel="00000000" w:rsidR="00000000" w:rsidRPr="00000000">
        <w:rPr>
          <w:b w:val="1"/>
          <w:bCs w:val="1"/>
          <w:rtl w:val="0"/>
        </w:rPr>
        <w:t xml:space="preserve">no</w:t>
      </w:r>
      <w:r w:rsidDel="00000000" w:rsidR="00000000" w:rsidRPr="00000000">
        <w:rPr>
          <w:rtl w:val="0"/>
        </w:rPr>
        <w:t xml:space="preserve"> brand‑puffery, no claims, and strict layout/wording requirements.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m6m2k3y0l5g" w:id="14"/>
      <w:bookmarkEnd w:id="14"/>
      <w:r w:rsidDel="00000000" w:rsidR="00000000" w:rsidRPr="00000000">
        <w:rPr>
          <w:b w:val="1"/>
          <w:bCs w:val="1"/>
          <w:sz w:val="34"/>
          <w:szCs w:val="34"/>
          <w:rtl w:val="0"/>
        </w:rPr>
        <w:t xml:space="preserve">14) Enforcement &amp; risk</w:t>
      </w:r>
    </w:p>
    <w:p w:rsidR="00000000" w:rsidDel="00000000" w:rsidP="00000000" w:rsidRDefault="00000000" w:rsidRPr="00000000" w14:paraId="00000041">
      <w:pPr>
        <w:numPr>
          <w:ilvl w:val="0"/>
          <w:numId w:val="13"/>
        </w:numPr>
        <w:spacing w:after="240" w:before="240" w:lineRule="auto"/>
        <w:ind w:left="720" w:hanging="360"/>
      </w:pPr>
      <w:r w:rsidDel="00000000" w:rsidR="00000000" w:rsidRPr="00000000">
        <w:rPr>
          <w:rtl w:val="0"/>
        </w:rPr>
        <w:t xml:space="preserve">TGA tools: takedown directions, </w:t>
      </w:r>
      <w:r w:rsidDel="00000000" w:rsidR="00000000" w:rsidRPr="00000000">
        <w:rPr>
          <w:b w:val="1"/>
          <w:bCs w:val="1"/>
          <w:rtl w:val="0"/>
        </w:rPr>
        <w:t xml:space="preserve">infringement notices</w:t>
      </w:r>
      <w:r w:rsidDel="00000000" w:rsidR="00000000" w:rsidRPr="00000000">
        <w:rPr>
          <w:rtl w:val="0"/>
        </w:rPr>
        <w:t xml:space="preserve">, civil penalties and criminal prosecution. They’re active — including against cannabis ads and non‑compliant publishers. Keep a clean track record. (</w:t>
      </w:r>
      <w:hyperlink r:id="rId34">
        <w:r w:rsidDel="00000000" w:rsidR="00000000" w:rsidRPr="00000000">
          <w:rPr>
            <w:color w:val="1155cc"/>
            <w:u w:val="single"/>
            <w:rtl w:val="0"/>
          </w:rPr>
          <w:t xml:space="preserve">Therapeutic Goods Administration (TGA)</w:t>
        </w:r>
      </w:hyperlink>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Reuters</w:t>
        </w:r>
      </w:hyperlink>
      <w:r w:rsidDel="00000000" w:rsidR="00000000" w:rsidRPr="00000000">
        <w:rPr>
          <w:rtl w:val="0"/>
        </w:rPr>
        <w:t xml:space="preserve">)</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gvf6t7eiyhu" w:id="15"/>
      <w:bookmarkEnd w:id="15"/>
      <w:r w:rsidDel="00000000" w:rsidR="00000000" w:rsidRPr="00000000">
        <w:rPr>
          <w:b w:val="1"/>
          <w:bCs w:val="1"/>
          <w:sz w:val="34"/>
          <w:szCs w:val="34"/>
          <w:rtl w:val="0"/>
        </w:rPr>
        <w:t xml:space="preserve">15) What counts as advertising? (decision rule)</w:t>
      </w:r>
    </w:p>
    <w:p w:rsidR="00000000" w:rsidDel="00000000" w:rsidP="00000000" w:rsidRDefault="00000000" w:rsidRPr="00000000" w14:paraId="00000044">
      <w:pPr>
        <w:numPr>
          <w:ilvl w:val="0"/>
          <w:numId w:val="21"/>
        </w:numPr>
        <w:spacing w:after="240" w:before="240" w:lineRule="auto"/>
        <w:ind w:left="720" w:hanging="360"/>
      </w:pPr>
      <w:r w:rsidDel="00000000" w:rsidR="00000000" w:rsidRPr="00000000">
        <w:rPr>
          <w:rtl w:val="0"/>
        </w:rPr>
        <w:t xml:space="preserve">If a </w:t>
      </w:r>
      <w:r w:rsidDel="00000000" w:rsidR="00000000" w:rsidRPr="00000000">
        <w:rPr>
          <w:b w:val="1"/>
          <w:bCs w:val="1"/>
          <w:rtl w:val="0"/>
        </w:rPr>
        <w:t xml:space="preserve">reasonable consumer</w:t>
      </w:r>
      <w:r w:rsidDel="00000000" w:rsidR="00000000" w:rsidRPr="00000000">
        <w:rPr>
          <w:rtl w:val="0"/>
        </w:rPr>
        <w:t xml:space="preserve"> would see your content as promoting use/supply, it’s advertising. </w:t>
      </w:r>
      <w:r w:rsidDel="00000000" w:rsidR="00000000" w:rsidRPr="00000000">
        <w:rPr>
          <w:b w:val="1"/>
          <w:bCs w:val="1"/>
          <w:rtl w:val="0"/>
        </w:rPr>
        <w:t xml:space="preserve">UGC on your page you curate/leave up</w:t>
      </w:r>
      <w:r w:rsidDel="00000000" w:rsidR="00000000" w:rsidRPr="00000000">
        <w:rPr>
          <w:rtl w:val="0"/>
        </w:rPr>
        <w:t xml:space="preserve"> can become your ad — moderate or disable. (</w:t>
      </w:r>
      <w:hyperlink r:id="rId37">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z1liie1zqf0" w:id="16"/>
      <w:bookmarkEnd w:id="16"/>
      <w:r w:rsidDel="00000000" w:rsidR="00000000" w:rsidRPr="00000000">
        <w:rPr>
          <w:b w:val="1"/>
          <w:bCs w:val="1"/>
          <w:sz w:val="34"/>
          <w:szCs w:val="34"/>
          <w:rtl w:val="0"/>
        </w:rPr>
        <w:t xml:space="preserve">16) Health‑professional‑only advertising (B2HCP)</w:t>
      </w:r>
    </w:p>
    <w:p w:rsidR="00000000" w:rsidDel="00000000" w:rsidP="00000000" w:rsidRDefault="00000000" w:rsidRPr="00000000" w14:paraId="00000047">
      <w:pPr>
        <w:numPr>
          <w:ilvl w:val="0"/>
          <w:numId w:val="3"/>
        </w:numPr>
        <w:spacing w:after="240" w:before="240" w:lineRule="auto"/>
        <w:ind w:left="720" w:hanging="360"/>
      </w:pPr>
      <w:r w:rsidDel="00000000" w:rsidR="00000000" w:rsidRPr="00000000">
        <w:rPr>
          <w:rtl w:val="0"/>
        </w:rPr>
        <w:t xml:space="preserve">Consumer rules can be avoided </w:t>
      </w:r>
      <w:r w:rsidDel="00000000" w:rsidR="00000000" w:rsidRPr="00000000">
        <w:rPr>
          <w:b w:val="1"/>
          <w:bCs w:val="1"/>
          <w:rtl w:val="0"/>
        </w:rPr>
        <w:t xml:space="preserve">only</w:t>
      </w:r>
      <w:r w:rsidDel="00000000" w:rsidR="00000000" w:rsidRPr="00000000">
        <w:rPr>
          <w:rtl w:val="0"/>
        </w:rPr>
        <w:t xml:space="preserve"> if the material is </w:t>
      </w:r>
      <w:r w:rsidDel="00000000" w:rsidR="00000000" w:rsidRPr="00000000">
        <w:rPr>
          <w:b w:val="1"/>
          <w:bCs w:val="1"/>
          <w:rtl w:val="0"/>
        </w:rPr>
        <w:t xml:space="preserve">exclusively</w:t>
      </w:r>
      <w:r w:rsidDel="00000000" w:rsidR="00000000" w:rsidRPr="00000000">
        <w:rPr>
          <w:rtl w:val="0"/>
        </w:rPr>
        <w:t xml:space="preserve"> to HCPs (and meets the HCP‑only gating/conditions). Lock it down; don’t let consumer traffic in. (</w:t>
      </w:r>
      <w:hyperlink r:id="rId38">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xtenk6l9e8jc" w:id="17"/>
      <w:bookmarkEnd w:id="17"/>
      <w:r w:rsidDel="00000000" w:rsidR="00000000" w:rsidRPr="00000000">
        <w:rPr>
          <w:b w:val="1"/>
          <w:bCs w:val="1"/>
          <w:sz w:val="46"/>
          <w:szCs w:val="46"/>
          <w:rtl w:val="0"/>
        </w:rPr>
        <w:t xml:space="preserve">Checklists (use these before anything goes live)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tvjb0r1trgfc" w:id="18"/>
      <w:bookmarkEnd w:id="18"/>
      <w:r w:rsidDel="00000000" w:rsidR="00000000" w:rsidRPr="00000000">
        <w:rPr>
          <w:b w:val="1"/>
          <w:bCs w:val="1"/>
          <w:color w:val="000000"/>
          <w:sz w:val="26"/>
          <w:szCs w:val="26"/>
          <w:rtl w:val="0"/>
        </w:rPr>
        <w:t xml:space="preserve">A) Creator “Go/No‑Go” (60‑second pass)</w:t>
      </w:r>
    </w:p>
    <w:p w:rsidR="00000000" w:rsidDel="00000000" w:rsidP="00000000" w:rsidRDefault="00000000" w:rsidRPr="00000000" w14:paraId="0000004B">
      <w:pPr>
        <w:numPr>
          <w:ilvl w:val="0"/>
          <w:numId w:val="18"/>
        </w:numPr>
        <w:spacing w:after="0" w:afterAutospacing="0" w:before="240" w:lineRule="auto"/>
        <w:ind w:left="720" w:hanging="360"/>
      </w:pPr>
      <w:r w:rsidDel="00000000" w:rsidR="00000000" w:rsidRPr="00000000">
        <w:rPr>
          <w:b w:val="1"/>
          <w:bCs w:val="1"/>
          <w:rtl w:val="0"/>
        </w:rPr>
        <w:t xml:space="preserve">Is this about a therapeutic good?</w:t>
      </w:r>
      <w:r w:rsidDel="00000000" w:rsidR="00000000" w:rsidRPr="00000000">
        <w:rPr>
          <w:rFonts w:ascii="Arial Unicode MS" w:cs="Arial Unicode MS" w:eastAsia="Arial Unicode MS" w:hAnsi="Arial Unicode MS"/>
          <w:rtl w:val="0"/>
        </w:rPr>
        <w:t xml:space="preserve"> If yes → Code applies. (</w:t>
      </w:r>
      <w:hyperlink r:id="rId39">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rtl w:val="0"/>
        </w:rPr>
        <w:t xml:space="preserve">Does it </w:t>
      </w:r>
      <w:r w:rsidDel="00000000" w:rsidR="00000000" w:rsidRPr="00000000">
        <w:rPr>
          <w:b w:val="1"/>
          <w:bCs w:val="1"/>
          <w:rtl w:val="0"/>
        </w:rPr>
        <w:t xml:space="preserve">mention</w:t>
      </w:r>
      <w:r w:rsidDel="00000000" w:rsidR="00000000" w:rsidRPr="00000000">
        <w:rPr>
          <w:rtl w:val="0"/>
        </w:rPr>
        <w:t xml:space="preserve"> or </w:t>
      </w:r>
      <w:r w:rsidDel="00000000" w:rsidR="00000000" w:rsidRPr="00000000">
        <w:rPr>
          <w:b w:val="1"/>
          <w:bCs w:val="1"/>
          <w:rtl w:val="0"/>
        </w:rPr>
        <w:t xml:space="preserve">imply</w:t>
      </w:r>
      <w:r w:rsidDel="00000000" w:rsidR="00000000" w:rsidRPr="00000000">
        <w:rPr>
          <w:rtl w:val="0"/>
        </w:rPr>
        <w:t xml:space="preserve"> any </w:t>
      </w:r>
      <w:r w:rsidDel="00000000" w:rsidR="00000000" w:rsidRPr="00000000">
        <w:rPr>
          <w:b w:val="1"/>
          <w:bCs w:val="1"/>
          <w:rtl w:val="0"/>
        </w:rPr>
        <w:t xml:space="preserve">S4/S8/unapproved/biological/vape</w:t>
      </w:r>
      <w:r w:rsidDel="00000000" w:rsidR="00000000" w:rsidRPr="00000000">
        <w:rPr>
          <w:rFonts w:ascii="Arial Unicode MS" w:cs="Arial Unicode MS" w:eastAsia="Arial Unicode MS" w:hAnsi="Arial Unicode MS"/>
          <w:rtl w:val="0"/>
        </w:rPr>
        <w:t xml:space="preserve">? If yes → </w:t>
      </w:r>
      <w:r w:rsidDel="00000000" w:rsidR="00000000" w:rsidRPr="00000000">
        <w:rPr>
          <w:b w:val="1"/>
          <w:bCs w:val="1"/>
          <w:rtl w:val="0"/>
        </w:rPr>
        <w:t xml:space="preserve">Stop</w:t>
      </w:r>
      <w:r w:rsidDel="00000000" w:rsidR="00000000" w:rsidRPr="00000000">
        <w:rPr>
          <w:rtl w:val="0"/>
        </w:rPr>
        <w:t xml:space="preserve"> (public advertising prohibited). (</w:t>
      </w:r>
      <w:hyperlink r:id="rId40">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claims</w:t>
      </w:r>
      <w:r w:rsidDel="00000000" w:rsidR="00000000" w:rsidRPr="00000000">
        <w:rPr>
          <w:rtl w:val="0"/>
        </w:rPr>
        <w:t xml:space="preserve"> consistent with the </w:t>
      </w:r>
      <w:r w:rsidDel="00000000" w:rsidR="00000000" w:rsidRPr="00000000">
        <w:rPr>
          <w:b w:val="1"/>
          <w:bCs w:val="1"/>
          <w:rtl w:val="0"/>
        </w:rPr>
        <w:t xml:space="preserve">ARTG entry</w:t>
      </w:r>
      <w:r w:rsidDel="00000000" w:rsidR="00000000" w:rsidRPr="00000000">
        <w:rPr>
          <w:rtl w:val="0"/>
        </w:rPr>
        <w:t xml:space="preserve"> (indications/intended purpose)? Do we have </w:t>
      </w:r>
      <w:r w:rsidDel="00000000" w:rsidR="00000000" w:rsidRPr="00000000">
        <w:rPr>
          <w:b w:val="1"/>
          <w:bCs w:val="1"/>
          <w:rtl w:val="0"/>
        </w:rPr>
        <w:t xml:space="preserve">evidence</w:t>
      </w:r>
      <w:r w:rsidDel="00000000" w:rsidR="00000000" w:rsidRPr="00000000">
        <w:rPr>
          <w:rtl w:val="0"/>
        </w:rPr>
        <w:t xml:space="preserve"> for scientific/clinical claims? (</w:t>
      </w:r>
      <w:hyperlink r:id="rId41">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warnings/qualifiers</w:t>
      </w:r>
      <w:r w:rsidDel="00000000" w:rsidR="00000000" w:rsidRPr="00000000">
        <w:rPr>
          <w:rtl w:val="0"/>
        </w:rPr>
        <w:t xml:space="preserve"> </w:t>
      </w:r>
      <w:r w:rsidDel="00000000" w:rsidR="00000000" w:rsidRPr="00000000">
        <w:rPr>
          <w:b w:val="1"/>
          <w:bCs w:val="1"/>
          <w:rtl w:val="0"/>
        </w:rPr>
        <w:t xml:space="preserve">prominent</w:t>
      </w:r>
      <w:r w:rsidDel="00000000" w:rsidR="00000000" w:rsidRPr="00000000">
        <w:rPr>
          <w:rtl w:val="0"/>
        </w:rPr>
        <w:t xml:space="preserve"> on the </w:t>
      </w:r>
      <w:r w:rsidDel="00000000" w:rsidR="00000000" w:rsidRPr="00000000">
        <w:rPr>
          <w:b w:val="1"/>
          <w:bCs w:val="1"/>
          <w:rtl w:val="0"/>
        </w:rPr>
        <w:t xml:space="preserve">first screen</w:t>
      </w:r>
      <w:r w:rsidDel="00000000" w:rsidR="00000000" w:rsidRPr="00000000">
        <w:rPr>
          <w:rtl w:val="0"/>
        </w:rPr>
        <w:t xml:space="preserve"> (no “see more”)? (</w:t>
      </w:r>
      <w:hyperlink r:id="rId42">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Any </w:t>
      </w:r>
      <w:r w:rsidDel="00000000" w:rsidR="00000000" w:rsidRPr="00000000">
        <w:rPr>
          <w:b w:val="1"/>
          <w:bCs w:val="1"/>
          <w:rtl w:val="0"/>
        </w:rPr>
        <w:t xml:space="preserve">testimonials/endorsements</w:t>
      </w:r>
      <w:r w:rsidDel="00000000" w:rsidR="00000000" w:rsidRPr="00000000">
        <w:rPr>
          <w:rtl w:val="0"/>
        </w:rPr>
        <w:t xml:space="preserve"> (including in comments), </w:t>
      </w:r>
      <w:r w:rsidDel="00000000" w:rsidR="00000000" w:rsidRPr="00000000">
        <w:rPr>
          <w:b w:val="1"/>
          <w:bCs w:val="1"/>
          <w:rtl w:val="0"/>
        </w:rPr>
        <w:t xml:space="preserve">before/after</w:t>
      </w:r>
      <w:r w:rsidDel="00000000" w:rsidR="00000000" w:rsidRPr="00000000">
        <w:rPr>
          <w:rtl w:val="0"/>
        </w:rPr>
        <w:t xml:space="preserve">, </w:t>
      </w:r>
      <w:r w:rsidDel="00000000" w:rsidR="00000000" w:rsidRPr="00000000">
        <w:rPr>
          <w:b w:val="1"/>
          <w:bCs w:val="1"/>
          <w:rtl w:val="0"/>
        </w:rPr>
        <w:t xml:space="preserve">superlatives</w:t>
      </w:r>
      <w:r w:rsidDel="00000000" w:rsidR="00000000" w:rsidRPr="00000000">
        <w:rPr>
          <w:rtl w:val="0"/>
        </w:rPr>
        <w:t xml:space="preserve"> (“best”, “guaranteed”), or </w:t>
      </w:r>
      <w:r w:rsidDel="00000000" w:rsidR="00000000" w:rsidRPr="00000000">
        <w:rPr>
          <w:b w:val="1"/>
          <w:bCs w:val="1"/>
          <w:rtl w:val="0"/>
        </w:rPr>
        <w:t xml:space="preserve">unrealistic results</w:t>
      </w:r>
      <w:r w:rsidDel="00000000" w:rsidR="00000000" w:rsidRPr="00000000">
        <w:rPr>
          <w:rFonts w:ascii="Arial Unicode MS" w:cs="Arial Unicode MS" w:eastAsia="Arial Unicode MS" w:hAnsi="Arial Unicode MS"/>
          <w:rtl w:val="0"/>
        </w:rPr>
        <w:t xml:space="preserve">? If yes → </w:t>
      </w:r>
      <w:r w:rsidDel="00000000" w:rsidR="00000000" w:rsidRPr="00000000">
        <w:rPr>
          <w:b w:val="1"/>
          <w:bCs w:val="1"/>
          <w:rtl w:val="0"/>
        </w:rPr>
        <w:t xml:space="preserve">Remove/rewrite</w:t>
      </w:r>
      <w:r w:rsidDel="00000000" w:rsidR="00000000" w:rsidRPr="00000000">
        <w:rPr>
          <w:rtl w:val="0"/>
        </w:rPr>
        <w:t xml:space="preserve">. (</w:t>
      </w:r>
      <w:hyperlink r:id="rId43">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price info</w:t>
      </w:r>
      <w:r w:rsidDel="00000000" w:rsidR="00000000" w:rsidRPr="00000000">
        <w:rPr>
          <w:rFonts w:ascii="Arial Unicode MS" w:cs="Arial Unicode MS" w:eastAsia="Arial Unicode MS" w:hAnsi="Arial Unicode MS"/>
          <w:rtl w:val="0"/>
        </w:rPr>
        <w:t xml:space="preserve"> for S4/S3(P) pharmacy content → does it meet the exact </w:t>
      </w:r>
      <w:r w:rsidDel="00000000" w:rsidR="00000000" w:rsidRPr="00000000">
        <w:rPr>
          <w:b w:val="1"/>
          <w:bCs w:val="1"/>
          <w:rtl w:val="0"/>
        </w:rPr>
        <w:t xml:space="preserve">price‑list</w:t>
      </w:r>
      <w:r w:rsidDel="00000000" w:rsidR="00000000" w:rsidRPr="00000000">
        <w:rPr>
          <w:rFonts w:ascii="Arial Unicode MS" w:cs="Arial Unicode MS" w:eastAsia="Arial Unicode MS" w:hAnsi="Arial Unicode MS"/>
          <w:rtl w:val="0"/>
        </w:rPr>
        <w:t xml:space="preserve"> rules? If unsure → </w:t>
      </w:r>
      <w:r w:rsidDel="00000000" w:rsidR="00000000" w:rsidRPr="00000000">
        <w:rPr>
          <w:b w:val="1"/>
          <w:bCs w:val="1"/>
          <w:rtl w:val="0"/>
        </w:rPr>
        <w:t xml:space="preserve">don’t post</w:t>
      </w:r>
      <w:r w:rsidDel="00000000" w:rsidR="00000000" w:rsidRPr="00000000">
        <w:rPr>
          <w:rtl w:val="0"/>
        </w:rPr>
        <w:t xml:space="preserve">.</w:t>
        <w:br w:type="textWrapping"/>
      </w:r>
    </w:p>
    <w:p w:rsidR="00000000" w:rsidDel="00000000" w:rsidP="00000000" w:rsidRDefault="00000000" w:rsidRPr="00000000" w14:paraId="00000051">
      <w:pPr>
        <w:numPr>
          <w:ilvl w:val="0"/>
          <w:numId w:val="18"/>
        </w:numPr>
        <w:spacing w:after="240" w:before="0" w:beforeAutospacing="0" w:lineRule="auto"/>
        <w:ind w:left="720" w:hanging="360"/>
      </w:pPr>
      <w:r w:rsidDel="00000000" w:rsidR="00000000" w:rsidRPr="00000000">
        <w:rPr>
          <w:b w:val="1"/>
          <w:bCs w:val="1"/>
          <w:rtl w:val="0"/>
        </w:rPr>
        <w:t xml:space="preserve">Audience</w:t>
      </w:r>
      <w:r w:rsidDel="00000000" w:rsidR="00000000" w:rsidRPr="00000000">
        <w:rPr>
          <w:rFonts w:ascii="Arial Unicode MS" w:cs="Arial Unicode MS" w:eastAsia="Arial Unicode MS" w:hAnsi="Arial Unicode MS"/>
          <w:rtl w:val="0"/>
        </w:rPr>
        <w:t xml:space="preserve">: Are children likely to see this? If so, is the product even allowed for advertising to ≥12s? If not → </w:t>
      </w:r>
      <w:r w:rsidDel="00000000" w:rsidR="00000000" w:rsidRPr="00000000">
        <w:rPr>
          <w:b w:val="1"/>
          <w:bCs w:val="1"/>
          <w:rtl w:val="0"/>
        </w:rPr>
        <w:t xml:space="preserve">don’t post</w:t>
      </w:r>
      <w:r w:rsidDel="00000000" w:rsidR="00000000" w:rsidRPr="00000000">
        <w:rPr>
          <w:rtl w:val="0"/>
        </w:rPr>
        <w:t xml:space="preserve">. (</w:t>
      </w:r>
      <w:hyperlink r:id="rId44">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p7gohkddiks" w:id="19"/>
      <w:bookmarkEnd w:id="19"/>
      <w:r w:rsidDel="00000000" w:rsidR="00000000" w:rsidRPr="00000000">
        <w:rPr>
          <w:b w:val="1"/>
          <w:bCs w:val="1"/>
          <w:color w:val="000000"/>
          <w:sz w:val="26"/>
          <w:szCs w:val="26"/>
          <w:rtl w:val="0"/>
        </w:rPr>
        <w:t xml:space="preserve">B) Community management SOP</w:t>
      </w:r>
    </w:p>
    <w:p w:rsidR="00000000" w:rsidDel="00000000" w:rsidP="00000000" w:rsidRDefault="00000000" w:rsidRPr="00000000" w14:paraId="00000053">
      <w:pPr>
        <w:numPr>
          <w:ilvl w:val="0"/>
          <w:numId w:val="23"/>
        </w:numPr>
        <w:spacing w:after="0" w:afterAutospacing="0" w:before="240" w:lineRule="auto"/>
        <w:ind w:left="720" w:hanging="360"/>
      </w:pPr>
      <w:r w:rsidDel="00000000" w:rsidR="00000000" w:rsidRPr="00000000">
        <w:rPr>
          <w:b w:val="1"/>
          <w:bCs w:val="1"/>
          <w:rtl w:val="0"/>
        </w:rPr>
        <w:t xml:space="preserve">Pre‑block keywords</w:t>
      </w:r>
      <w:r w:rsidDel="00000000" w:rsidR="00000000" w:rsidRPr="00000000">
        <w:rPr>
          <w:rtl w:val="0"/>
        </w:rPr>
        <w:t xml:space="preserve"> (testimonials, “cured”, drug names, “wrinkle filler”, “Oz…”, “Moun…” etc.).</w:t>
        <w:br w:type="textWrapping"/>
      </w:r>
    </w:p>
    <w:p w:rsidR="00000000" w:rsidDel="00000000" w:rsidP="00000000" w:rsidRDefault="00000000" w:rsidRPr="00000000" w14:paraId="00000054">
      <w:pPr>
        <w:numPr>
          <w:ilvl w:val="0"/>
          <w:numId w:val="23"/>
        </w:numPr>
        <w:spacing w:after="0" w:afterAutospacing="0" w:before="0" w:beforeAutospacing="0" w:lineRule="auto"/>
        <w:ind w:left="720" w:hanging="360"/>
      </w:pPr>
      <w:r w:rsidDel="00000000" w:rsidR="00000000" w:rsidRPr="00000000">
        <w:rPr>
          <w:b w:val="1"/>
          <w:bCs w:val="1"/>
          <w:rtl w:val="0"/>
        </w:rPr>
        <w:t xml:space="preserve">Monitor daily</w:t>
      </w:r>
      <w:r w:rsidDel="00000000" w:rsidR="00000000" w:rsidRPr="00000000">
        <w:rPr>
          <w:rtl w:val="0"/>
        </w:rPr>
        <w:t xml:space="preserve">; </w:t>
      </w:r>
      <w:r w:rsidDel="00000000" w:rsidR="00000000" w:rsidRPr="00000000">
        <w:rPr>
          <w:b w:val="1"/>
          <w:bCs w:val="1"/>
          <w:rtl w:val="0"/>
        </w:rPr>
        <w:t xml:space="preserve">hide/remove</w:t>
      </w:r>
      <w:r w:rsidDel="00000000" w:rsidR="00000000" w:rsidRPr="00000000">
        <w:rPr>
          <w:rtl w:val="0"/>
        </w:rPr>
        <w:t xml:space="preserve"> non‑compliant comments </w:t>
      </w:r>
      <w:r w:rsidDel="00000000" w:rsidR="00000000" w:rsidRPr="00000000">
        <w:rPr>
          <w:b w:val="1"/>
          <w:bCs w:val="1"/>
          <w:rtl w:val="0"/>
        </w:rPr>
        <w:t xml:space="preserve">as soon as practicable</w:t>
      </w:r>
      <w:r w:rsidDel="00000000" w:rsidR="00000000" w:rsidRPr="00000000">
        <w:rPr>
          <w:rtl w:val="0"/>
        </w:rPr>
        <w:t xml:space="preserve">. Escalate anything borderline. (</w:t>
      </w:r>
      <w:hyperlink r:id="rId45">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55">
      <w:pPr>
        <w:numPr>
          <w:ilvl w:val="0"/>
          <w:numId w:val="23"/>
        </w:numPr>
        <w:spacing w:after="240" w:before="0" w:beforeAutospacing="0" w:lineRule="auto"/>
        <w:ind w:left="720" w:hanging="360"/>
      </w:pPr>
      <w:r w:rsidDel="00000000" w:rsidR="00000000" w:rsidRPr="00000000">
        <w:rPr>
          <w:rtl w:val="0"/>
        </w:rPr>
        <w:t xml:space="preserve">If a post is pulled or edited after a TGA contact, </w:t>
      </w:r>
      <w:r w:rsidDel="00000000" w:rsidR="00000000" w:rsidRPr="00000000">
        <w:rPr>
          <w:b w:val="1"/>
          <w:bCs w:val="1"/>
          <w:rtl w:val="0"/>
        </w:rPr>
        <w:t xml:space="preserve">don’t re‑post variants</w:t>
      </w:r>
      <w:r w:rsidDel="00000000" w:rsidR="00000000" w:rsidRPr="00000000">
        <w:rPr>
          <w:rtl w:val="0"/>
        </w:rPr>
        <w:t xml:space="preserve">. Keep a record of removals and reasons. (</w:t>
      </w:r>
      <w:hyperlink r:id="rId46">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ws0ssva3hcr" w:id="20"/>
      <w:bookmarkEnd w:id="20"/>
      <w:r w:rsidDel="00000000" w:rsidR="00000000" w:rsidRPr="00000000">
        <w:rPr>
          <w:b w:val="1"/>
          <w:bCs w:val="1"/>
          <w:color w:val="000000"/>
          <w:sz w:val="26"/>
          <w:szCs w:val="26"/>
          <w:rtl w:val="0"/>
        </w:rPr>
        <w:t xml:space="preserve">C) Influencer brief &amp; contract (non‑negotiables)</w:t>
      </w:r>
    </w:p>
    <w:p w:rsidR="00000000" w:rsidDel="00000000" w:rsidP="00000000" w:rsidRDefault="00000000" w:rsidRPr="00000000" w14:paraId="00000057">
      <w:pPr>
        <w:numPr>
          <w:ilvl w:val="0"/>
          <w:numId w:val="20"/>
        </w:numPr>
        <w:spacing w:after="0" w:afterAutospacing="0" w:before="240" w:lineRule="auto"/>
        <w:ind w:left="720" w:hanging="360"/>
      </w:pPr>
      <w:r w:rsidDel="00000000" w:rsidR="00000000" w:rsidRPr="00000000">
        <w:rPr>
          <w:b w:val="1"/>
          <w:bCs w:val="1"/>
          <w:rtl w:val="0"/>
        </w:rPr>
        <w:t xml:space="preserve">No testimonials</w:t>
      </w:r>
      <w:r w:rsidDel="00000000" w:rsidR="00000000" w:rsidRPr="00000000">
        <w:rPr>
          <w:rtl w:val="0"/>
        </w:rPr>
        <w:t xml:space="preserve"> (no personal use stories), </w:t>
      </w:r>
      <w:r w:rsidDel="00000000" w:rsidR="00000000" w:rsidRPr="00000000">
        <w:rPr>
          <w:b w:val="1"/>
          <w:bCs w:val="1"/>
          <w:rtl w:val="0"/>
        </w:rPr>
        <w:t xml:space="preserve">no before/after</w:t>
      </w:r>
      <w:r w:rsidDel="00000000" w:rsidR="00000000" w:rsidRPr="00000000">
        <w:rPr>
          <w:rtl w:val="0"/>
        </w:rPr>
        <w:t xml:space="preserve">, </w:t>
      </w:r>
      <w:r w:rsidDel="00000000" w:rsidR="00000000" w:rsidRPr="00000000">
        <w:rPr>
          <w:b w:val="1"/>
          <w:bCs w:val="1"/>
          <w:rtl w:val="0"/>
        </w:rPr>
        <w:t xml:space="preserve">no S4/S8 mentions</w:t>
      </w:r>
      <w:r w:rsidDel="00000000" w:rsidR="00000000" w:rsidRPr="00000000">
        <w:rPr>
          <w:rtl w:val="0"/>
        </w:rPr>
        <w:t xml:space="preserve">, </w:t>
      </w:r>
      <w:r w:rsidDel="00000000" w:rsidR="00000000" w:rsidRPr="00000000">
        <w:rPr>
          <w:b w:val="1"/>
          <w:bCs w:val="1"/>
          <w:rtl w:val="0"/>
        </w:rPr>
        <w:t xml:space="preserve">no “TGA‑approved”</w:t>
      </w:r>
      <w:r w:rsidDel="00000000" w:rsidR="00000000" w:rsidRPr="00000000">
        <w:rPr>
          <w:rtl w:val="0"/>
        </w:rPr>
        <w:t xml:space="preserve"> language, </w:t>
      </w:r>
      <w:r w:rsidDel="00000000" w:rsidR="00000000" w:rsidRPr="00000000">
        <w:rPr>
          <w:b w:val="1"/>
          <w:bCs w:val="1"/>
          <w:rtl w:val="0"/>
        </w:rPr>
        <w:t xml:space="preserve">no health professional endorsements</w:t>
      </w:r>
      <w:r w:rsidDel="00000000" w:rsidR="00000000" w:rsidRPr="00000000">
        <w:rPr>
          <w:rtl w:val="0"/>
        </w:rPr>
        <w:t xml:space="preserve">. (</w:t>
      </w:r>
      <w:hyperlink r:id="rId47">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58">
      <w:pPr>
        <w:numPr>
          <w:ilvl w:val="0"/>
          <w:numId w:val="20"/>
        </w:numPr>
        <w:spacing w:after="0" w:afterAutospacing="0" w:before="0" w:beforeAutospacing="0" w:lineRule="auto"/>
        <w:ind w:left="720" w:hanging="360"/>
      </w:pPr>
      <w:r w:rsidDel="00000000" w:rsidR="00000000" w:rsidRPr="00000000">
        <w:rPr>
          <w:b w:val="1"/>
          <w:bCs w:val="1"/>
          <w:rtl w:val="0"/>
        </w:rPr>
        <w:t xml:space="preserve">Clear ad disclosure</w:t>
      </w:r>
      <w:r w:rsidDel="00000000" w:rsidR="00000000" w:rsidRPr="00000000">
        <w:rPr>
          <w:rtl w:val="0"/>
        </w:rPr>
        <w:t xml:space="preserve">, pre‑approval of scripts/visuals, 30‑day takedown clause, comment‑moderation obligations, indemnity for breaches.</w:t>
        <w:br w:type="textWrapping"/>
      </w:r>
    </w:p>
    <w:p w:rsidR="00000000" w:rsidDel="00000000" w:rsidP="00000000" w:rsidRDefault="00000000" w:rsidRPr="00000000" w14:paraId="00000059">
      <w:pPr>
        <w:numPr>
          <w:ilvl w:val="0"/>
          <w:numId w:val="20"/>
        </w:numPr>
        <w:spacing w:after="240" w:before="0" w:beforeAutospacing="0" w:lineRule="auto"/>
        <w:ind w:left="720" w:hanging="360"/>
      </w:pPr>
      <w:r w:rsidDel="00000000" w:rsidR="00000000" w:rsidRPr="00000000">
        <w:rPr>
          <w:rtl w:val="0"/>
        </w:rPr>
        <w:t xml:space="preserve">Provide the </w:t>
      </w:r>
      <w:r w:rsidDel="00000000" w:rsidR="00000000" w:rsidRPr="00000000">
        <w:rPr>
          <w:b w:val="1"/>
          <w:bCs w:val="1"/>
          <w:rtl w:val="0"/>
        </w:rPr>
        <w:t xml:space="preserve">exact mandatory statements</w:t>
      </w:r>
      <w:r w:rsidDel="00000000" w:rsidR="00000000" w:rsidRPr="00000000">
        <w:rPr>
          <w:rtl w:val="0"/>
        </w:rPr>
        <w:t xml:space="preserve"> and </w:t>
      </w:r>
      <w:r w:rsidDel="00000000" w:rsidR="00000000" w:rsidRPr="00000000">
        <w:rPr>
          <w:b w:val="1"/>
          <w:bCs w:val="1"/>
          <w:rtl w:val="0"/>
        </w:rPr>
        <w:t xml:space="preserve">on‑screen placement</w:t>
      </w:r>
      <w:r w:rsidDel="00000000" w:rsidR="00000000" w:rsidRPr="00000000">
        <w:rPr>
          <w:rtl w:val="0"/>
        </w:rPr>
        <w:t xml:space="preserve"> requirements (first visible screen).</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nmfppeqqbldm" w:id="21"/>
      <w:bookmarkEnd w:id="21"/>
      <w:r w:rsidDel="00000000" w:rsidR="00000000" w:rsidRPr="00000000">
        <w:rPr>
          <w:b w:val="1"/>
          <w:bCs w:val="1"/>
          <w:sz w:val="46"/>
          <w:szCs w:val="46"/>
          <w:rtl w:val="0"/>
        </w:rPr>
        <w:t xml:space="preserve">Templates (edit to suit product category)</w:t>
      </w:r>
    </w:p>
    <w:p w:rsidR="00000000" w:rsidDel="00000000" w:rsidP="00000000" w:rsidRDefault="00000000" w:rsidRPr="00000000" w14:paraId="0000005C">
      <w:pPr>
        <w:spacing w:after="240" w:before="240" w:lineRule="auto"/>
        <w:ind w:left="600" w:right="600" w:firstLine="0"/>
        <w:rPr/>
      </w:pPr>
      <w:r w:rsidDel="00000000" w:rsidR="00000000" w:rsidRPr="00000000">
        <w:rPr>
          <w:b w:val="1"/>
          <w:bCs w:val="1"/>
          <w:rtl w:val="0"/>
        </w:rPr>
        <w:t xml:space="preserve">IMPORTANT:</w:t>
      </w:r>
      <w:r w:rsidDel="00000000" w:rsidR="00000000" w:rsidRPr="00000000">
        <w:rPr>
          <w:rtl w:val="0"/>
        </w:rPr>
        <w:t xml:space="preserve"> Warnings vary by product/category. These are examples. Validate against the product’s ARTG entry and any category‑specific guidance (e.g., analgesics, sunscreens). (</w:t>
      </w:r>
      <w:hyperlink r:id="rId48">
        <w:r w:rsidDel="00000000" w:rsidR="00000000" w:rsidRPr="00000000">
          <w:rPr>
            <w:color w:val="1155cc"/>
            <w:u w:val="single"/>
            <w:rtl w:val="0"/>
          </w:rPr>
          <w:t xml:space="preserve">Therapeutic Goods Administration (TGA)</w:t>
        </w:r>
      </w:hyperlink>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General OTC device/medicine (example copy):</w:t>
        <w:br w:type="textWrapping"/>
      </w:r>
      <w:r w:rsidDel="00000000" w:rsidR="00000000" w:rsidRPr="00000000">
        <w:rPr>
          <w:rtl w:val="0"/>
        </w:rPr>
        <w:t xml:space="preserve"> “Always follow the directions for use. Read the label. If symptoms persist, talk to your health professional.”</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Disease‑education footer (product‑agnostic):</w:t>
        <w:br w:type="textWrapping"/>
      </w:r>
      <w:r w:rsidDel="00000000" w:rsidR="00000000" w:rsidRPr="00000000">
        <w:rPr>
          <w:rtl w:val="0"/>
        </w:rPr>
        <w:t xml:space="preserve"> “This information is general and not a substitute for professional advice. Speak to your health professional for personalised guidance.” (</w:t>
      </w:r>
      <w:hyperlink r:id="rId49">
        <w:r w:rsidDel="00000000" w:rsidR="00000000" w:rsidRPr="00000000">
          <w:rPr>
            <w:color w:val="1155cc"/>
            <w:u w:val="single"/>
            <w:rtl w:val="0"/>
          </w:rPr>
          <w:t xml:space="preserve">Therapeutic Goods Administration (TGA)</w:t>
        </w:r>
      </w:hyperlink>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HCP‑only gate (landing screen):</w:t>
        <w:br w:type="textWrapping"/>
      </w:r>
      <w:r w:rsidDel="00000000" w:rsidR="00000000" w:rsidRPr="00000000">
        <w:rPr>
          <w:rtl w:val="0"/>
        </w:rPr>
        <w:t xml:space="preserve"> “</w:t>
      </w:r>
      <w:r w:rsidDel="00000000" w:rsidR="00000000" w:rsidRPr="00000000">
        <w:rPr>
          <w:b w:val="1"/>
          <w:bCs w:val="1"/>
          <w:rtl w:val="0"/>
        </w:rPr>
        <w:t xml:space="preserve">For health professionals only.</w:t>
      </w:r>
      <w:r w:rsidDel="00000000" w:rsidR="00000000" w:rsidRPr="00000000">
        <w:rPr>
          <w:rtl w:val="0"/>
        </w:rPr>
        <w:t xml:space="preserve"> Not for the general public. By continuing you confirm you are a registered health professional.” (</w:t>
      </w:r>
      <w:hyperlink r:id="rId50">
        <w:r w:rsidDel="00000000" w:rsidR="00000000" w:rsidRPr="00000000">
          <w:rPr>
            <w:color w:val="1155cc"/>
            <w:u w:val="single"/>
            <w:rtl w:val="0"/>
          </w:rPr>
          <w:t xml:space="preserve">Therapeutic Goods Administration (TGA)</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yoigthehpfxt" w:id="22"/>
      <w:bookmarkEnd w:id="22"/>
      <w:r w:rsidDel="00000000" w:rsidR="00000000" w:rsidRPr="00000000">
        <w:rPr>
          <w:b w:val="1"/>
          <w:bCs w:val="1"/>
          <w:sz w:val="46"/>
          <w:szCs w:val="46"/>
          <w:rtl w:val="0"/>
        </w:rPr>
        <w:t xml:space="preserve">Examples of common pitfalls (and what to do instead)</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“Modern medical </w:t>
      </w:r>
      <w:r w:rsidDel="00000000" w:rsidR="00000000" w:rsidRPr="00000000">
        <w:rPr>
          <w:b w:val="1"/>
          <w:bCs w:val="1"/>
          <w:rtl w:val="0"/>
        </w:rPr>
        <w:t xml:space="preserve">weight‑loss treatments</w:t>
      </w:r>
      <w:r w:rsidDel="00000000" w:rsidR="00000000" w:rsidRPr="00000000">
        <w:rPr>
          <w:rFonts w:ascii="Arial Unicode MS" w:cs="Arial Unicode MS" w:eastAsia="Arial Unicode MS" w:hAnsi="Arial Unicode MS"/>
          <w:rtl w:val="0"/>
        </w:rPr>
        <w:t xml:space="preserve">” with images suggesting GLP‑1s → </w:t>
      </w:r>
      <w:r w:rsidDel="00000000" w:rsidR="00000000" w:rsidRPr="00000000">
        <w:rPr>
          <w:b w:val="1"/>
          <w:bCs w:val="1"/>
          <w:rtl w:val="0"/>
        </w:rPr>
        <w:t xml:space="preserve">No.</w:t>
      </w:r>
      <w:r w:rsidDel="00000000" w:rsidR="00000000" w:rsidRPr="00000000">
        <w:rPr>
          <w:rtl w:val="0"/>
        </w:rPr>
        <w:t xml:space="preserve"> Advertise </w:t>
      </w:r>
      <w:r w:rsidDel="00000000" w:rsidR="00000000" w:rsidRPr="00000000">
        <w:rPr>
          <w:b w:val="1"/>
          <w:bCs w:val="1"/>
          <w:rtl w:val="0"/>
        </w:rPr>
        <w:t xml:space="preserve">consultations</w:t>
      </w:r>
      <w:r w:rsidDel="00000000" w:rsidR="00000000" w:rsidRPr="00000000">
        <w:rPr>
          <w:rtl w:val="0"/>
        </w:rPr>
        <w:t xml:space="preserve"> for weight management; remove any Rx‑implied language. (</w:t>
      </w:r>
      <w:hyperlink r:id="rId51">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Wrinkle‑reducing injections</w:t>
      </w:r>
      <w:r w:rsidDel="00000000" w:rsidR="00000000" w:rsidRPr="00000000">
        <w:rPr>
          <w:rtl w:val="0"/>
        </w:rPr>
        <w:t xml:space="preserve">,” “</w:t>
      </w:r>
      <w:r w:rsidDel="00000000" w:rsidR="00000000" w:rsidRPr="00000000">
        <w:rPr>
          <w:b w:val="1"/>
          <w:bCs w:val="1"/>
          <w:rtl w:val="0"/>
        </w:rPr>
        <w:t xml:space="preserve">dermal fillers</w:t>
      </w:r>
      <w:r w:rsidDel="00000000" w:rsidR="00000000" w:rsidRPr="00000000">
        <w:rPr>
          <w:rFonts w:ascii="Arial Unicode MS" w:cs="Arial Unicode MS" w:eastAsia="Arial Unicode MS" w:hAnsi="Arial Unicode MS"/>
          <w:rtl w:val="0"/>
        </w:rPr>
        <w:t xml:space="preserve">,” or euphemisms → </w:t>
      </w:r>
      <w:r w:rsidDel="00000000" w:rsidR="00000000" w:rsidRPr="00000000">
        <w:rPr>
          <w:b w:val="1"/>
          <w:bCs w:val="1"/>
          <w:rtl w:val="0"/>
        </w:rPr>
        <w:t xml:space="preserve">No.</w:t>
      </w:r>
      <w:r w:rsidDel="00000000" w:rsidR="00000000" w:rsidRPr="00000000">
        <w:rPr>
          <w:rtl w:val="0"/>
        </w:rPr>
        <w:t xml:space="preserve"> Focus on </w:t>
      </w:r>
      <w:r w:rsidDel="00000000" w:rsidR="00000000" w:rsidRPr="00000000">
        <w:rPr>
          <w:b w:val="1"/>
          <w:bCs w:val="1"/>
          <w:rtl w:val="0"/>
        </w:rPr>
        <w:t xml:space="preserve">consultations</w:t>
      </w:r>
      <w:r w:rsidDel="00000000" w:rsidR="00000000" w:rsidRPr="00000000">
        <w:rPr>
          <w:rtl w:val="0"/>
        </w:rPr>
        <w:t xml:space="preserve"> without referencing Rx goods. (</w:t>
      </w:r>
      <w:hyperlink r:id="rId52">
        <w:r w:rsidDel="00000000" w:rsidR="00000000" w:rsidRPr="00000000">
          <w:rPr>
            <w:color w:val="1155cc"/>
            <w:u w:val="single"/>
            <w:rtl w:val="0"/>
          </w:rPr>
          <w:t xml:space="preserve">HWLE Lawyers</w:t>
        </w:r>
      </w:hyperlink>
      <w:r w:rsidDel="00000000" w:rsidR="00000000" w:rsidRPr="00000000">
        <w:rPr>
          <w:rtl w:val="0"/>
        </w:rPr>
        <w:t xml:space="preserve">)</w:t>
        <w:br w:type="textWrapping"/>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Clinically proven</w:t>
      </w:r>
      <w:r w:rsidDel="00000000" w:rsidR="00000000" w:rsidRPr="00000000">
        <w:rPr>
          <w:rFonts w:ascii="Arial Unicode MS" w:cs="Arial Unicode MS" w:eastAsia="Arial Unicode MS" w:hAnsi="Arial Unicode MS"/>
          <w:rtl w:val="0"/>
        </w:rPr>
        <w:t xml:space="preserve"> to double results” → Only if you’ve got strong evidence aligned to the ARTG indication and you present it fairly. Otherwise </w:t>
      </w:r>
      <w:r w:rsidDel="00000000" w:rsidR="00000000" w:rsidRPr="00000000">
        <w:rPr>
          <w:b w:val="1"/>
          <w:bCs w:val="1"/>
          <w:rtl w:val="0"/>
        </w:rPr>
        <w:t xml:space="preserve">strip it</w:t>
      </w:r>
      <w:r w:rsidDel="00000000" w:rsidR="00000000" w:rsidRPr="00000000">
        <w:rPr>
          <w:rtl w:val="0"/>
        </w:rPr>
        <w:t xml:space="preserve">. (</w:t>
      </w:r>
      <w:hyperlink r:id="rId53">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Hiding warnings in </w:t>
      </w:r>
      <w:r w:rsidDel="00000000" w:rsidR="00000000" w:rsidRPr="00000000">
        <w:rPr>
          <w:b w:val="1"/>
          <w:bCs w:val="1"/>
          <w:rtl w:val="0"/>
        </w:rPr>
        <w:t xml:space="preserve">story text</w:t>
      </w:r>
      <w:r w:rsidDel="00000000" w:rsidR="00000000" w:rsidRPr="00000000">
        <w:rPr>
          <w:rFonts w:ascii="Arial Unicode MS" w:cs="Arial Unicode MS" w:eastAsia="Arial Unicode MS" w:hAnsi="Arial Unicode MS"/>
          <w:rtl w:val="0"/>
        </w:rPr>
        <w:t xml:space="preserve"> that flashes by → </w:t>
      </w:r>
      <w:r w:rsidDel="00000000" w:rsidR="00000000" w:rsidRPr="00000000">
        <w:rPr>
          <w:b w:val="1"/>
          <w:bCs w:val="1"/>
          <w:rtl w:val="0"/>
        </w:rPr>
        <w:t xml:space="preserve">Non‑compliant</w:t>
      </w:r>
      <w:r w:rsidDel="00000000" w:rsidR="00000000" w:rsidRPr="00000000">
        <w:rPr>
          <w:rtl w:val="0"/>
        </w:rPr>
        <w:t xml:space="preserve">. Put warnings </w:t>
      </w:r>
      <w:r w:rsidDel="00000000" w:rsidR="00000000" w:rsidRPr="00000000">
        <w:rPr>
          <w:b w:val="1"/>
          <w:bCs w:val="1"/>
          <w:rtl w:val="0"/>
        </w:rPr>
        <w:t xml:space="preserve">big and clear</w:t>
      </w:r>
      <w:r w:rsidDel="00000000" w:rsidR="00000000" w:rsidRPr="00000000">
        <w:rPr>
          <w:rtl w:val="0"/>
        </w:rPr>
        <w:t xml:space="preserve"> on the first frame/screen. (</w:t>
      </w:r>
      <w:hyperlink r:id="rId54">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3g8hq48za2nl" w:id="23"/>
      <w:bookmarkEnd w:id="23"/>
      <w:r w:rsidDel="00000000" w:rsidR="00000000" w:rsidRPr="00000000">
        <w:rPr>
          <w:b w:val="1"/>
          <w:bCs w:val="1"/>
          <w:sz w:val="46"/>
          <w:szCs w:val="46"/>
          <w:rtl w:val="0"/>
        </w:rPr>
        <w:t xml:space="preserve">Governance (how we stay out of trouble)</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b w:val="1"/>
          <w:bCs w:val="1"/>
          <w:rtl w:val="0"/>
        </w:rPr>
        <w:t xml:space="preserve">Claim mapping file</w:t>
      </w:r>
      <w:r w:rsidDel="00000000" w:rsidR="00000000" w:rsidRPr="00000000">
        <w:rPr>
          <w:rtl w:val="0"/>
        </w:rPr>
        <w:t xml:space="preserve">: each claim mapped to </w:t>
      </w:r>
      <w:r w:rsidDel="00000000" w:rsidR="00000000" w:rsidRPr="00000000">
        <w:rPr>
          <w:b w:val="1"/>
          <w:bCs w:val="1"/>
          <w:rtl w:val="0"/>
        </w:rPr>
        <w:t xml:space="preserve">ARTG entry</w:t>
      </w:r>
      <w:r w:rsidDel="00000000" w:rsidR="00000000" w:rsidRPr="00000000">
        <w:rPr>
          <w:rtl w:val="0"/>
        </w:rPr>
        <w:t xml:space="preserve"> / intended purpose and </w:t>
      </w:r>
      <w:r w:rsidDel="00000000" w:rsidR="00000000" w:rsidRPr="00000000">
        <w:rPr>
          <w:b w:val="1"/>
          <w:bCs w:val="1"/>
          <w:rtl w:val="0"/>
        </w:rPr>
        <w:t xml:space="preserve">evidence</w:t>
      </w:r>
      <w:r w:rsidDel="00000000" w:rsidR="00000000" w:rsidRPr="00000000">
        <w:rPr>
          <w:rtl w:val="0"/>
        </w:rPr>
        <w:t xml:space="preserve">. (</w:t>
      </w:r>
      <w:hyperlink r:id="rId55">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b w:val="1"/>
          <w:bCs w:val="1"/>
          <w:rtl w:val="0"/>
        </w:rPr>
        <w:t xml:space="preserve">Pre‑clear checklist</w:t>
      </w:r>
      <w:r w:rsidDel="00000000" w:rsidR="00000000" w:rsidRPr="00000000">
        <w:rPr>
          <w:rtl w:val="0"/>
        </w:rPr>
        <w:t xml:space="preserve"> (above) attached to every ad ticket.</w:t>
        <w:br w:type="textWrapping"/>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UGC moderation log</w:t>
      </w:r>
      <w:r w:rsidDel="00000000" w:rsidR="00000000" w:rsidRPr="00000000">
        <w:rPr>
          <w:rtl w:val="0"/>
        </w:rPr>
        <w:t xml:space="preserve"> (date/time, action taken). (</w:t>
      </w:r>
      <w:hyperlink r:id="rId56">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b w:val="1"/>
          <w:bCs w:val="1"/>
          <w:rtl w:val="0"/>
        </w:rPr>
        <w:t xml:space="preserve">Influencer pack</w:t>
      </w:r>
      <w:r w:rsidDel="00000000" w:rsidR="00000000" w:rsidRPr="00000000">
        <w:rPr>
          <w:rtl w:val="0"/>
        </w:rPr>
        <w:t xml:space="preserve">: do/don’t, scripts, mandatory statements, placement specs, escalation contacts.</w:t>
        <w:br w:type="textWrapping"/>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b w:val="1"/>
          <w:bCs w:val="1"/>
          <w:rtl w:val="0"/>
        </w:rPr>
        <w:t xml:space="preserve">HCP‑only content</w:t>
      </w:r>
      <w:r w:rsidDel="00000000" w:rsidR="00000000" w:rsidRPr="00000000">
        <w:rPr>
          <w:rtl w:val="0"/>
        </w:rPr>
        <w:t xml:space="preserve"> behind login + statement on the gate screen. (</w:t>
      </w:r>
      <w:hyperlink r:id="rId57">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jgle17fosxeg" w:id="24"/>
      <w:bookmarkEnd w:id="24"/>
      <w:r w:rsidDel="00000000" w:rsidR="00000000" w:rsidRPr="00000000">
        <w:rPr>
          <w:b w:val="1"/>
          <w:bCs w:val="1"/>
          <w:sz w:val="34"/>
          <w:szCs w:val="34"/>
          <w:rtl w:val="0"/>
        </w:rPr>
        <w:t xml:space="preserve">TL;DR (cut‑through)</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b w:val="1"/>
          <w:bCs w:val="1"/>
          <w:rtl w:val="0"/>
        </w:rPr>
        <w:t xml:space="preserve">Don’t advertise S4/S8, unapproved, biologicals, or vapes to the public.</w:t>
      </w:r>
      <w:r w:rsidDel="00000000" w:rsidR="00000000" w:rsidRPr="00000000">
        <w:rPr>
          <w:rtl w:val="0"/>
        </w:rPr>
        <w:t xml:space="preserve"> Period. (</w:t>
      </w:r>
      <w:hyperlink r:id="rId58">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b w:val="1"/>
          <w:bCs w:val="1"/>
          <w:rtl w:val="0"/>
        </w:rPr>
        <w:t xml:space="preserve">Social posts are ads.</w:t>
      </w:r>
      <w:r w:rsidDel="00000000" w:rsidR="00000000" w:rsidRPr="00000000">
        <w:rPr>
          <w:rtl w:val="0"/>
        </w:rPr>
        <w:t xml:space="preserve"> Warnings must be </w:t>
      </w:r>
      <w:r w:rsidDel="00000000" w:rsidR="00000000" w:rsidRPr="00000000">
        <w:rPr>
          <w:b w:val="1"/>
          <w:bCs w:val="1"/>
          <w:rtl w:val="0"/>
        </w:rPr>
        <w:t xml:space="preserve">prominent on the first screen</w:t>
      </w:r>
      <w:r w:rsidDel="00000000" w:rsidR="00000000" w:rsidRPr="00000000">
        <w:rPr>
          <w:rtl w:val="0"/>
        </w:rPr>
        <w:t xml:space="preserve">; moderate comments; </w:t>
      </w:r>
      <w:r w:rsidDel="00000000" w:rsidR="00000000" w:rsidRPr="00000000">
        <w:rPr>
          <w:i w:val="1"/>
          <w:iCs w:val="1"/>
          <w:rtl w:val="0"/>
        </w:rPr>
        <w:t xml:space="preserve">no testimonials</w:t>
      </w:r>
      <w:r w:rsidDel="00000000" w:rsidR="00000000" w:rsidRPr="00000000">
        <w:rPr>
          <w:rtl w:val="0"/>
        </w:rPr>
        <w:t xml:space="preserve">. (</w:t>
      </w:r>
      <w:hyperlink r:id="rId59">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b w:val="1"/>
          <w:bCs w:val="1"/>
          <w:rtl w:val="0"/>
        </w:rPr>
        <w:t xml:space="preserve">No “TGA‑approved.”</w:t>
      </w:r>
      <w:r w:rsidDel="00000000" w:rsidR="00000000" w:rsidRPr="00000000">
        <w:rPr>
          <w:rtl w:val="0"/>
        </w:rPr>
        <w:t xml:space="preserve"> ARTG numbers may be shown but don’t imply endorsement. (</w:t>
      </w:r>
      <w:hyperlink r:id="rId60">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rtl w:val="0"/>
        </w:rPr>
        <w:t xml:space="preserve">Restricted/prohibited disease claims</w:t>
      </w:r>
      <w:r w:rsidDel="00000000" w:rsidR="00000000" w:rsidRPr="00000000">
        <w:rPr>
          <w:rtl w:val="0"/>
        </w:rPr>
        <w:t xml:space="preserve"> need prior TGA permission.</w:t>
        <w:br w:type="textWrapping"/>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b w:val="1"/>
          <w:bCs w:val="1"/>
          <w:rtl w:val="0"/>
        </w:rPr>
        <w:t xml:space="preserve">Clinically‑proven = evidence.</w:t>
      </w:r>
      <w:r w:rsidDel="00000000" w:rsidR="00000000" w:rsidRPr="00000000">
        <w:rPr>
          <w:rtl w:val="0"/>
        </w:rPr>
        <w:t xml:space="preserve"> Keep it aligned to the ARTG. (</w:t>
      </w:r>
      <w:hyperlink r:id="rId61">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kucywqqlelk" w:id="25"/>
      <w:bookmarkEnd w:id="25"/>
      <w:r w:rsidDel="00000000" w:rsidR="00000000" w:rsidRPr="00000000">
        <w:rPr>
          <w:b w:val="1"/>
          <w:bCs w:val="1"/>
          <w:sz w:val="34"/>
          <w:szCs w:val="34"/>
          <w:rtl w:val="0"/>
        </w:rPr>
        <w:t xml:space="preserve">Corrections to your original draft (straight talk)</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b w:val="1"/>
          <w:bCs w:val="1"/>
          <w:rtl w:val="0"/>
        </w:rPr>
        <w:t xml:space="preserve">ARTG numbers</w:t>
      </w:r>
      <w:r w:rsidDel="00000000" w:rsidR="00000000" w:rsidRPr="00000000">
        <w:rPr>
          <w:rtl w:val="0"/>
        </w:rPr>
        <w:t xml:space="preserve">: not mandatory in public ads (helpful but optional). </w:t>
      </w:r>
      <w:r w:rsidDel="00000000" w:rsidR="00000000" w:rsidRPr="00000000">
        <w:rPr>
          <w:b w:val="1"/>
          <w:bCs w:val="1"/>
          <w:rtl w:val="0"/>
        </w:rPr>
        <w:t xml:space="preserve">Never</w:t>
      </w:r>
      <w:r w:rsidDel="00000000" w:rsidR="00000000" w:rsidRPr="00000000">
        <w:rPr>
          <w:rtl w:val="0"/>
        </w:rPr>
        <w:t xml:space="preserve"> claim “TGA‑approved/registered.” (</w:t>
      </w:r>
      <w:hyperlink r:id="rId62">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“Short‑form” excuse</w:t>
      </w:r>
      <w:r w:rsidDel="00000000" w:rsidR="00000000" w:rsidRPr="00000000">
        <w:rPr>
          <w:rtl w:val="0"/>
        </w:rPr>
        <w:t xml:space="preserve">: Social stories/reels still need warnings </w:t>
      </w:r>
      <w:r w:rsidDel="00000000" w:rsidR="00000000" w:rsidRPr="00000000">
        <w:rPr>
          <w:b w:val="1"/>
          <w:bCs w:val="1"/>
          <w:rtl w:val="0"/>
        </w:rPr>
        <w:t xml:space="preserve">prominently displayed</w:t>
      </w:r>
      <w:r w:rsidDel="00000000" w:rsidR="00000000" w:rsidRPr="00000000">
        <w:rPr>
          <w:rtl w:val="0"/>
        </w:rPr>
        <w:t xml:space="preserve">; don’t bury in “see more.” (</w:t>
      </w:r>
      <w:hyperlink r:id="rId63">
        <w:r w:rsidDel="00000000" w:rsidR="00000000" w:rsidRPr="00000000">
          <w:rPr>
            <w:color w:val="1155cc"/>
            <w:u w:val="single"/>
            <w:rtl w:val="0"/>
          </w:rPr>
          <w:t xml:space="preserve">Therapeutic Goods Administration (TGA)</w:t>
        </w:r>
      </w:hyperlink>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guild.org.au</w:t>
        </w:r>
      </w:hyperlink>
      <w:r w:rsidDel="00000000" w:rsidR="00000000" w:rsidRPr="00000000">
        <w:rPr>
          <w:rtl w:val="0"/>
        </w:rPr>
        <w:t xml:space="preserve">)</w:t>
        <w:br w:type="textWrapping"/>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b w:val="1"/>
          <w:bCs w:val="1"/>
          <w:rtl w:val="0"/>
        </w:rPr>
        <w:t xml:space="preserve">Enforcement stats</w:t>
      </w:r>
      <w:r w:rsidDel="00000000" w:rsidR="00000000" w:rsidRPr="00000000">
        <w:rPr>
          <w:rtl w:val="0"/>
        </w:rPr>
        <w:t xml:space="preserve">: Keep it general (takedowns, infringements, civil actions) — numbers shift; point to the TGA enforcement hub rather than hardcoding counts. (</w:t>
      </w:r>
      <w:hyperlink r:id="rId66">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fo1p4boi1pjl" w:id="26"/>
      <w:bookmarkEnd w:id="26"/>
      <w:r w:rsidDel="00000000" w:rsidR="00000000" w:rsidRPr="00000000">
        <w:rPr>
          <w:b w:val="1"/>
          <w:bCs w:val="1"/>
          <w:sz w:val="34"/>
          <w:szCs w:val="34"/>
          <w:rtl w:val="0"/>
        </w:rPr>
        <w:t xml:space="preserve">Optional add‑ons to your PDF</w:t>
      </w:r>
    </w:p>
    <w:p w:rsidR="00000000" w:rsidDel="00000000" w:rsidP="00000000" w:rsidRDefault="00000000" w:rsidRPr="00000000" w14:paraId="0000007B">
      <w:pPr>
        <w:numPr>
          <w:ilvl w:val="0"/>
          <w:numId w:val="24"/>
        </w:numPr>
        <w:spacing w:after="0" w:afterAutospacing="0" w:before="240" w:lineRule="auto"/>
        <w:ind w:left="720" w:hanging="360"/>
      </w:pPr>
      <w:r w:rsidDel="00000000" w:rsidR="00000000" w:rsidRPr="00000000">
        <w:rPr>
          <w:b w:val="1"/>
          <w:bCs w:val="1"/>
          <w:rtl w:val="0"/>
        </w:rPr>
        <w:t xml:space="preserve">One‑page “Go/No‑Go” flowchart</w:t>
      </w:r>
      <w:r w:rsidDel="00000000" w:rsidR="00000000" w:rsidRPr="00000000">
        <w:rPr>
          <w:rtl w:val="0"/>
        </w:rPr>
        <w:t xml:space="preserve"> (use the checklist).</w:t>
        <w:br w:type="textWrapping"/>
      </w:r>
    </w:p>
    <w:p w:rsidR="00000000" w:rsidDel="00000000" w:rsidP="00000000" w:rsidRDefault="00000000" w:rsidRPr="00000000" w14:paraId="0000007C">
      <w:pPr>
        <w:numPr>
          <w:ilvl w:val="0"/>
          <w:numId w:val="24"/>
        </w:numPr>
        <w:spacing w:after="0" w:afterAutospacing="0" w:before="0" w:beforeAutospacing="0" w:lineRule="auto"/>
        <w:ind w:left="720" w:hanging="360"/>
      </w:pPr>
      <w:r w:rsidDel="00000000" w:rsidR="00000000" w:rsidRPr="00000000">
        <w:rPr>
          <w:b w:val="1"/>
          <w:bCs w:val="1"/>
          <w:rtl w:val="0"/>
        </w:rPr>
        <w:t xml:space="preserve">Influencer clause pack</w:t>
      </w:r>
      <w:r w:rsidDel="00000000" w:rsidR="00000000" w:rsidRPr="00000000">
        <w:rPr>
          <w:rtl w:val="0"/>
        </w:rPr>
        <w:t xml:space="preserve"> (ban testimonials, before/after; require ad labelling; 30‑day yank rights).</w:t>
        <w:br w:type="textWrapping"/>
      </w:r>
    </w:p>
    <w:p w:rsidR="00000000" w:rsidDel="00000000" w:rsidP="00000000" w:rsidRDefault="00000000" w:rsidRPr="00000000" w14:paraId="0000007D">
      <w:pPr>
        <w:numPr>
          <w:ilvl w:val="0"/>
          <w:numId w:val="24"/>
        </w:numPr>
        <w:spacing w:after="240" w:before="0" w:beforeAutospacing="0" w:lineRule="auto"/>
        <w:ind w:left="720" w:hanging="360"/>
      </w:pPr>
      <w:r w:rsidDel="00000000" w:rsidR="00000000" w:rsidRPr="00000000">
        <w:rPr>
          <w:b w:val="1"/>
          <w:bCs w:val="1"/>
          <w:rtl w:val="0"/>
        </w:rPr>
        <w:t xml:space="preserve">UGC Moderation SOP</w:t>
      </w:r>
      <w:r w:rsidDel="00000000" w:rsidR="00000000" w:rsidRPr="00000000">
        <w:rPr>
          <w:rtl w:val="0"/>
        </w:rPr>
        <w:t xml:space="preserve"> (keywords to block, response times). (</w:t>
      </w:r>
      <w:hyperlink r:id="rId67">
        <w:r w:rsidDel="00000000" w:rsidR="00000000" w:rsidRPr="00000000">
          <w:rPr>
            <w:color w:val="1155cc"/>
            <w:u w:val="single"/>
            <w:rtl w:val="0"/>
          </w:rPr>
          <w:t xml:space="preserve">Therapeutic Goods Administration (TGA)</w:t>
        </w:r>
      </w:hyperlink>
      <w:r w:rsidDel="00000000" w:rsidR="00000000" w:rsidRPr="00000000">
        <w:rPr>
          <w:rtl w:val="0"/>
        </w:rPr>
        <w:t xml:space="preserve">)</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cuhqztyljkr6" w:id="27"/>
      <w:bookmarkEnd w:id="27"/>
      <w:r w:rsidDel="00000000" w:rsidR="00000000" w:rsidRPr="00000000">
        <w:rPr>
          <w:b w:val="1"/>
          <w:bCs w:val="1"/>
          <w:color w:val="000000"/>
          <w:sz w:val="26"/>
          <w:szCs w:val="26"/>
          <w:rtl w:val="0"/>
        </w:rPr>
        <w:t xml:space="preserve">Recent enforcement &amp; context (skim these headlines)</w:t>
      </w:r>
    </w:p>
    <w:p w:rsidR="00000000" w:rsidDel="00000000" w:rsidP="00000000" w:rsidRDefault="00000000" w:rsidRPr="00000000" w14:paraId="00000080">
      <w:pPr>
        <w:numPr>
          <w:ilvl w:val="0"/>
          <w:numId w:val="25"/>
        </w:numPr>
        <w:spacing w:after="0" w:afterAutospacing="0" w:before="240" w:lineRule="auto"/>
        <w:ind w:left="720" w:hanging="360"/>
      </w:pPr>
      <w:hyperlink r:id="rId68">
        <w:r w:rsidDel="00000000" w:rsidR="00000000" w:rsidRPr="00000000">
          <w:rPr>
            <w:color w:val="1155cc"/>
            <w:u w:val="single"/>
            <w:rtl w:val="0"/>
          </w:rPr>
          <w:t xml:space="preserve">The Australian</w:t>
        </w:r>
      </w:hyperlink>
      <w:r w:rsidDel="00000000" w:rsidR="00000000" w:rsidRPr="00000000">
        <w:rPr>
          <w:rtl w:val="0"/>
        </w:rPr>
      </w:r>
    </w:p>
    <w:p w:rsidR="00000000" w:rsidDel="00000000" w:rsidP="00000000" w:rsidRDefault="00000000" w:rsidRPr="00000000" w14:paraId="00000081">
      <w:pPr>
        <w:numPr>
          <w:ilvl w:val="0"/>
          <w:numId w:val="25"/>
        </w:numPr>
        <w:spacing w:after="0" w:afterAutospacing="0" w:before="0" w:beforeAutospacing="0" w:lineRule="auto"/>
        <w:ind w:left="720" w:hanging="360"/>
      </w:pPr>
      <w:hyperlink r:id="rId69">
        <w:r w:rsidDel="00000000" w:rsidR="00000000" w:rsidRPr="00000000">
          <w:rPr>
            <w:color w:val="1155cc"/>
            <w:u w:val="single"/>
            <w:rtl w:val="0"/>
          </w:rPr>
          <w:t xml:space="preserve">The Guardian</w:t>
        </w:r>
      </w:hyperlink>
      <w:r w:rsidDel="00000000" w:rsidR="00000000" w:rsidRPr="00000000">
        <w:rPr>
          <w:rtl w:val="0"/>
        </w:rPr>
      </w:r>
    </w:p>
    <w:p w:rsidR="00000000" w:rsidDel="00000000" w:rsidP="00000000" w:rsidRDefault="00000000" w:rsidRPr="00000000" w14:paraId="00000082">
      <w:pPr>
        <w:numPr>
          <w:ilvl w:val="0"/>
          <w:numId w:val="25"/>
        </w:numPr>
        <w:spacing w:after="0" w:afterAutospacing="0" w:before="0" w:beforeAutospacing="0" w:lineRule="auto"/>
        <w:ind w:left="720" w:hanging="360"/>
      </w:pPr>
      <w:hyperlink r:id="rId70">
        <w:r w:rsidDel="00000000" w:rsidR="00000000" w:rsidRPr="00000000">
          <w:rPr>
            <w:color w:val="1155cc"/>
            <w:u w:val="single"/>
            <w:rtl w:val="0"/>
          </w:rPr>
          <w:t xml:space="preserve">The Courier-Mail</w:t>
        </w:r>
      </w:hyperlink>
      <w:r w:rsidDel="00000000" w:rsidR="00000000" w:rsidRPr="00000000">
        <w:rPr>
          <w:rtl w:val="0"/>
        </w:rPr>
      </w:r>
    </w:p>
    <w:p w:rsidR="00000000" w:rsidDel="00000000" w:rsidP="00000000" w:rsidRDefault="00000000" w:rsidRPr="00000000" w14:paraId="00000083">
      <w:pPr>
        <w:numPr>
          <w:ilvl w:val="0"/>
          <w:numId w:val="25"/>
        </w:numPr>
        <w:spacing w:after="0" w:afterAutospacing="0" w:before="0" w:beforeAutospacing="0" w:lineRule="auto"/>
        <w:ind w:left="720" w:hanging="360"/>
      </w:pPr>
      <w:hyperlink r:id="rId71">
        <w:r w:rsidDel="00000000" w:rsidR="00000000" w:rsidRPr="00000000">
          <w:rPr>
            <w:color w:val="1155cc"/>
            <w:u w:val="single"/>
            <w:rtl w:val="0"/>
          </w:rPr>
          <w:t xml:space="preserve">Daily Telegraph</w:t>
        </w:r>
      </w:hyperlink>
      <w:r w:rsidDel="00000000" w:rsidR="00000000" w:rsidRPr="00000000">
        <w:rPr>
          <w:rtl w:val="0"/>
        </w:rPr>
      </w:r>
    </w:p>
    <w:p w:rsidR="00000000" w:rsidDel="00000000" w:rsidP="00000000" w:rsidRDefault="00000000" w:rsidRPr="00000000" w14:paraId="00000084">
      <w:pPr>
        <w:numPr>
          <w:ilvl w:val="0"/>
          <w:numId w:val="25"/>
        </w:numPr>
        <w:spacing w:after="240" w:before="0" w:beforeAutospacing="0" w:lineRule="auto"/>
        <w:ind w:left="720" w:hanging="360"/>
      </w:pPr>
      <w:hyperlink r:id="rId72">
        <w:r w:rsidDel="00000000" w:rsidR="00000000" w:rsidRPr="00000000">
          <w:rPr>
            <w:color w:val="1155cc"/>
            <w:u w:val="single"/>
            <w:rtl w:val="0"/>
          </w:rPr>
          <w:t xml:space="preserve">Daily Telegraph</w:t>
        </w:r>
      </w:hyperlink>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tgqrj3p06t9r" w:id="28"/>
      <w:bookmarkEnd w:id="28"/>
      <w:r w:rsidDel="00000000" w:rsidR="00000000" w:rsidRPr="00000000">
        <w:rPr>
          <w:rFonts w:ascii="Arial Unicode MS" w:cs="Arial Unicode MS" w:eastAsia="Arial Unicode MS" w:hAnsi="Arial Unicode MS"/>
          <w:b w:val="1"/>
          <w:bCs w:val="1"/>
          <w:sz w:val="46"/>
          <w:szCs w:val="46"/>
          <w:rtl w:val="0"/>
        </w:rPr>
        <w:t xml:space="preserve">✅ Good vs ❌ Bad Post Examples (Balanced Tone)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921nvb6vimb9" w:id="29"/>
      <w:bookmarkEnd w:id="29"/>
      <w:r w:rsidDel="00000000" w:rsidR="00000000" w:rsidRPr="00000000">
        <w:rPr>
          <w:b w:val="1"/>
          <w:bCs w:val="1"/>
          <w:sz w:val="34"/>
          <w:szCs w:val="34"/>
          <w:rtl w:val="0"/>
        </w:rPr>
        <w:t xml:space="preserve">A) </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mwgbmro6g497" w:id="30"/>
      <w:bookmarkEnd w:id="30"/>
      <w:r w:rsidDel="00000000" w:rsidR="00000000" w:rsidRPr="00000000">
        <w:rPr>
          <w:b w:val="1"/>
          <w:bCs w:val="1"/>
          <w:sz w:val="34"/>
          <w:szCs w:val="34"/>
          <w:rtl w:val="0"/>
        </w:rPr>
        <w:t xml:space="preserve">BPC-157</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4z63vi97421t"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Good Examples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Instagram Post (Carousel Caption):</w:t>
      </w:r>
    </w:p>
    <w:p w:rsidR="00000000" w:rsidDel="00000000" w:rsidP="00000000" w:rsidRDefault="00000000" w:rsidRPr="00000000" w14:paraId="0000008F">
      <w:pPr>
        <w:spacing w:after="240" w:before="240" w:lineRule="auto"/>
        <w:rPr/>
      </w:pPr>
      <w:r w:rsidDel="00000000" w:rsidR="00000000" w:rsidRPr="00000000">
        <w:rPr>
          <w:rtl w:val="0"/>
        </w:rPr>
        <w:t xml:space="preserve">“Meet BPC-157 — a small peptide made up of 15 amino acids.</w:t>
      </w:r>
    </w:p>
    <w:p w:rsidR="00000000" w:rsidDel="00000000" w:rsidP="00000000" w:rsidRDefault="00000000" w:rsidRPr="00000000" w14:paraId="00000090">
      <w:pPr>
        <w:spacing w:after="240" w:before="240" w:lineRule="auto"/>
        <w:rPr/>
      </w:pPr>
      <w:r w:rsidDel="00000000" w:rsidR="00000000" w:rsidRPr="00000000">
        <w:rPr>
          <w:rtl w:val="0"/>
        </w:rPr>
        <w:t xml:space="preserve">In lab and animal studies, researchers have been exploring its potential links to tissue repair, gut health, and even nerve pathways.</w:t>
      </w:r>
    </w:p>
    <w:p w:rsidR="00000000" w:rsidDel="00000000" w:rsidP="00000000" w:rsidRDefault="00000000" w:rsidRPr="00000000" w14:paraId="00000091">
      <w:pPr>
        <w:spacing w:after="240" w:before="240" w:lineRule="auto"/>
        <w:rPr/>
      </w:pPr>
      <w:r w:rsidDel="00000000" w:rsidR="00000000" w:rsidRPr="00000000">
        <w:rPr>
          <w:rtl w:val="0"/>
        </w:rPr>
        <w:t xml:space="preserve">What makes it so fascinating is how many different systems it appears to influence.</w:t>
      </w:r>
    </w:p>
    <w:p w:rsidR="00000000" w:rsidDel="00000000" w:rsidP="00000000" w:rsidRDefault="00000000" w:rsidRPr="00000000" w14:paraId="00000092">
      <w:pPr>
        <w:spacing w:after="240" w:before="240" w:lineRule="auto"/>
        <w:rPr/>
      </w:pPr>
      <w:r w:rsidDel="00000000" w:rsidR="00000000" w:rsidRPr="00000000">
        <w:rPr>
          <w:rtl w:val="0"/>
        </w:rPr>
        <w:t xml:space="preserve">It’s one of those molecules that has scientists curious — and the story is only just beginning.”</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LinkedIn Post:</w:t>
      </w:r>
    </w:p>
    <w:p w:rsidR="00000000" w:rsidDel="00000000" w:rsidP="00000000" w:rsidRDefault="00000000" w:rsidRPr="00000000" w14:paraId="00000094">
      <w:pPr>
        <w:spacing w:after="240" w:before="240" w:lineRule="auto"/>
        <w:rPr/>
      </w:pPr>
      <w:r w:rsidDel="00000000" w:rsidR="00000000" w:rsidRPr="00000000">
        <w:rPr>
          <w:rtl w:val="0"/>
        </w:rPr>
        <w:t xml:space="preserve">“BPC-157 is a peptide that keeps showing up in conversations about recovery and performance science.</w:t>
      </w:r>
    </w:p>
    <w:p w:rsidR="00000000" w:rsidDel="00000000" w:rsidP="00000000" w:rsidRDefault="00000000" w:rsidRPr="00000000" w14:paraId="00000095">
      <w:pPr>
        <w:spacing w:after="240" w:before="240" w:lineRule="auto"/>
        <w:rPr/>
      </w:pPr>
      <w:r w:rsidDel="00000000" w:rsidR="00000000" w:rsidRPr="00000000">
        <w:rPr>
          <w:rtl w:val="0"/>
        </w:rPr>
        <w:t xml:space="preserve">Lab research suggests it may play a role in processes like tendon healing and gut protection, but the human side of the story is still unfolding.</w:t>
      </w:r>
    </w:p>
    <w:p w:rsidR="00000000" w:rsidDel="00000000" w:rsidP="00000000" w:rsidRDefault="00000000" w:rsidRPr="00000000" w14:paraId="00000096">
      <w:pPr>
        <w:spacing w:after="240" w:before="240" w:lineRule="auto"/>
        <w:rPr/>
      </w:pPr>
      <w:r w:rsidDel="00000000" w:rsidR="00000000" w:rsidRPr="00000000">
        <w:rPr>
          <w:rtl w:val="0"/>
        </w:rPr>
        <w:t xml:space="preserve">For now, it’s one of the most intriguing areas of peptide research — and one worth watching closely as science evolves.”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kw2shtaci78x"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Bad Examples</w:t>
      </w:r>
    </w:p>
    <w:p w:rsidR="00000000" w:rsidDel="00000000" w:rsidP="00000000" w:rsidRDefault="00000000" w:rsidRPr="00000000" w14:paraId="00000099">
      <w:pPr>
        <w:numPr>
          <w:ilvl w:val="0"/>
          <w:numId w:val="15"/>
        </w:numPr>
        <w:spacing w:after="0" w:afterAutospacing="0" w:before="240" w:lineRule="auto"/>
        <w:ind w:left="720" w:hanging="360"/>
      </w:pPr>
      <w:r w:rsidDel="00000000" w:rsidR="00000000" w:rsidRPr="00000000">
        <w:rPr>
          <w:rtl w:val="0"/>
        </w:rPr>
        <w:t xml:space="preserve">“BPC-157 will heal your injuries in weeks — guaranteed.”</w:t>
        <w:br w:type="textWrapping"/>
      </w:r>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tl w:val="0"/>
        </w:rPr>
        <w:t xml:space="preserve">“Click here to buy BPC-157 directly from us today.”</w:t>
        <w:br w:type="textWrapping"/>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tl w:val="0"/>
        </w:rPr>
        <w:t xml:space="preserve">“My knee pain disappeared thanks to BPC-157 — miracle peptide!”</w:t>
        <w:br w:type="textWrapping"/>
      </w:r>
    </w:p>
    <w:p w:rsidR="00000000" w:rsidDel="00000000" w:rsidP="00000000" w:rsidRDefault="00000000" w:rsidRPr="00000000" w14:paraId="0000009C">
      <w:pPr>
        <w:numPr>
          <w:ilvl w:val="0"/>
          <w:numId w:val="15"/>
        </w:numPr>
        <w:spacing w:after="240" w:before="0" w:beforeAutospacing="0" w:lineRule="auto"/>
        <w:ind w:left="720" w:hanging="360"/>
      </w:pPr>
      <w:r w:rsidDel="00000000" w:rsidR="00000000" w:rsidRPr="00000000">
        <w:rPr>
          <w:rtl w:val="0"/>
        </w:rPr>
        <w:t xml:space="preserve">Before/after images showing muscle or injury recovery attributed to BPC-157.</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k300p7i3gf7" w:id="33"/>
      <w:bookmarkEnd w:id="33"/>
      <w:r w:rsidDel="00000000" w:rsidR="00000000" w:rsidRPr="00000000">
        <w:rPr>
          <w:b w:val="1"/>
          <w:bCs w:val="1"/>
          <w:sz w:val="34"/>
          <w:szCs w:val="34"/>
          <w:rtl w:val="0"/>
        </w:rPr>
        <w:t xml:space="preserve">B) </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rpal4v56ccxm" w:id="34"/>
      <w:bookmarkEnd w:id="34"/>
      <w:r w:rsidDel="00000000" w:rsidR="00000000" w:rsidRPr="00000000">
        <w:rPr>
          <w:b w:val="1"/>
          <w:bCs w:val="1"/>
          <w:sz w:val="34"/>
          <w:szCs w:val="34"/>
          <w:rtl w:val="0"/>
        </w:rPr>
        <w:t xml:space="preserve">Sleep (with peptide mention)</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9wkfirbcnrts"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Good Examples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Instagram Carousel:</w:t>
      </w:r>
    </w:p>
    <w:p w:rsidR="00000000" w:rsidDel="00000000" w:rsidP="00000000" w:rsidRDefault="00000000" w:rsidRPr="00000000" w14:paraId="000000A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“Why Sleep is the Real Recovery Superpower”</w:t>
      </w:r>
    </w:p>
    <w:p w:rsidR="00000000" w:rsidDel="00000000" w:rsidP="00000000" w:rsidRDefault="00000000" w:rsidRPr="00000000" w14:paraId="000000A3">
      <w:pPr>
        <w:numPr>
          <w:ilvl w:val="0"/>
          <w:numId w:val="14"/>
        </w:numPr>
        <w:spacing w:after="0" w:afterAutospacing="0" w:before="240" w:lineRule="auto"/>
        <w:ind w:left="720" w:hanging="360"/>
      </w:pPr>
      <w:r w:rsidDel="00000000" w:rsidR="00000000" w:rsidRPr="00000000">
        <w:rPr>
          <w:rtl w:val="0"/>
        </w:rPr>
        <w:t xml:space="preserve">Sleep drives muscle growth, memory, and hormone balance.</w:t>
        <w:br w:type="textWrapping"/>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rtl w:val="0"/>
        </w:rPr>
        <w:t xml:space="preserve">The basics still matter most: bedtime consistency, low light exposure, managing stress.</w:t>
        <w:br w:type="textWrapping"/>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At the same time, researchers are looking into new frontiers — including peptides — that might influence sleep cycles.</w:t>
        <w:br w:type="textWrapping"/>
      </w:r>
    </w:p>
    <w:p w:rsidR="00000000" w:rsidDel="00000000" w:rsidP="00000000" w:rsidRDefault="00000000" w:rsidRPr="00000000" w14:paraId="000000A6">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It’s early science, but exciting to see where it could lead.</w:t>
        <w:br w:type="textWrapping"/>
        <w:br w:type="textWrapping"/>
        <w:t xml:space="preserve"> ✨ Takeaway: Master the fundamentals now, while keeping an eye on what’s ahead.</w:t>
        <w:br w:type="textWrapping"/>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LinkedIn Post:</w:t>
      </w:r>
    </w:p>
    <w:p w:rsidR="00000000" w:rsidDel="00000000" w:rsidP="00000000" w:rsidRDefault="00000000" w:rsidRPr="00000000" w14:paraId="000000A8">
      <w:pPr>
        <w:spacing w:after="240" w:before="240" w:lineRule="auto"/>
        <w:rPr/>
      </w:pPr>
      <w:r w:rsidDel="00000000" w:rsidR="00000000" w:rsidRPr="00000000">
        <w:rPr>
          <w:rtl w:val="0"/>
        </w:rPr>
        <w:t xml:space="preserve">“Sleep is still the number one performance enhancer — and it doesn’t cost a thing.</w:t>
      </w:r>
    </w:p>
    <w:p w:rsidR="00000000" w:rsidDel="00000000" w:rsidP="00000000" w:rsidRDefault="00000000" w:rsidRPr="00000000" w14:paraId="000000A9">
      <w:pPr>
        <w:spacing w:after="240" w:before="240" w:lineRule="auto"/>
        <w:rPr/>
      </w:pPr>
      <w:r w:rsidDel="00000000" w:rsidR="00000000" w:rsidRPr="00000000">
        <w:rPr>
          <w:rtl w:val="0"/>
        </w:rPr>
        <w:t xml:space="preserve">When you nail your routine, environment, and recovery habits, everything else improves.</w:t>
      </w:r>
    </w:p>
    <w:p w:rsidR="00000000" w:rsidDel="00000000" w:rsidP="00000000" w:rsidRDefault="00000000" w:rsidRPr="00000000" w14:paraId="000000AA">
      <w:pPr>
        <w:spacing w:after="240" w:before="240" w:lineRule="auto"/>
        <w:rPr/>
      </w:pPr>
      <w:r w:rsidDel="00000000" w:rsidR="00000000" w:rsidRPr="00000000">
        <w:rPr>
          <w:rtl w:val="0"/>
        </w:rPr>
        <w:t xml:space="preserve">What’s fascinating is that researchers are also exploring molecules like peptides that could one day help regulate sleep cycles. It’s not mainstream yet, but it shows just how seriously science is taking the power of sleep.”</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2mk0rw210hsi"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Bad Examples</w:t>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“Struggling with insomnia? Our sleep peptide fixes it instantly.”</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“Buy our peptide today — guaranteed deepest sleep of your life.”</w:t>
        <w:br w:type="textWrapping"/>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Influencer video: “This peptide changed my sleep completely. Here’s my dose and where I get it.”</w:t>
        <w:br w:type="textWrapping"/>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tl w:val="0"/>
        </w:rPr>
        <w:t xml:space="preserve">Meme post: “Who needs melatonin? This peptide does it all.”</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r05ojcj2dkis" w:id="37"/>
      <w:bookmarkEnd w:id="37"/>
      <w:r w:rsidDel="00000000" w:rsidR="00000000" w:rsidRPr="00000000">
        <w:rPr>
          <w:b w:val="1"/>
          <w:bCs w:val="1"/>
          <w:sz w:val="46"/>
          <w:szCs w:val="46"/>
          <w:rtl w:val="0"/>
        </w:rPr>
        <w:t xml:space="preserve">📌 Training Takeaway for Your Team</w:t>
      </w:r>
    </w:p>
    <w:p w:rsidR="00000000" w:rsidDel="00000000" w:rsidP="00000000" w:rsidRDefault="00000000" w:rsidRPr="00000000" w14:paraId="000000B3">
      <w:pPr>
        <w:numPr>
          <w:ilvl w:val="0"/>
          <w:numId w:val="27"/>
        </w:numPr>
        <w:spacing w:after="0" w:afterAutospacing="0" w:before="240" w:lineRule="auto"/>
        <w:ind w:left="720" w:hanging="360"/>
      </w:pPr>
      <w:r w:rsidDel="00000000" w:rsidR="00000000" w:rsidRPr="00000000">
        <w:rPr>
          <w:b w:val="1"/>
          <w:bCs w:val="1"/>
          <w:rtl w:val="0"/>
        </w:rPr>
        <w:t xml:space="preserve">Good posts</w:t>
      </w:r>
      <w:r w:rsidDel="00000000" w:rsidR="00000000" w:rsidRPr="00000000">
        <w:rPr>
          <w:rtl w:val="0"/>
        </w:rPr>
        <w:t xml:space="preserve">: educate, explain mechanisms, highlight why science is interested, and inspire curiosity.</w:t>
        <w:br w:type="textWrapping"/>
      </w:r>
    </w:p>
    <w:p w:rsidR="00000000" w:rsidDel="00000000" w:rsidP="00000000" w:rsidRDefault="00000000" w:rsidRPr="00000000" w14:paraId="000000B4">
      <w:pPr>
        <w:numPr>
          <w:ilvl w:val="0"/>
          <w:numId w:val="27"/>
        </w:numPr>
        <w:spacing w:after="240" w:before="0" w:beforeAutospacing="0" w:lineRule="auto"/>
        <w:ind w:left="720" w:hanging="360"/>
      </w:pPr>
      <w:r w:rsidDel="00000000" w:rsidR="00000000" w:rsidRPr="00000000">
        <w:rPr>
          <w:b w:val="1"/>
          <w:bCs w:val="1"/>
          <w:rtl w:val="0"/>
        </w:rPr>
        <w:t xml:space="preserve">Bad posts</w:t>
      </w:r>
      <w:r w:rsidDel="00000000" w:rsidR="00000000" w:rsidRPr="00000000">
        <w:rPr>
          <w:rtl w:val="0"/>
        </w:rPr>
        <w:t xml:space="preserve">: over-promise, make therapeutic claims, give access details, or use testimonials/visual proofs.</w:t>
        <w:br w:type="textWrapping"/>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ga.gov.au/how-we-regulate/advertising/advertising-basics/what-can-and-cannot-be-advertised-general-public" TargetMode="External"/><Relationship Id="rId42" Type="http://schemas.openxmlformats.org/officeDocument/2006/relationships/hyperlink" Target="https://www.tga.gov.au/how-we-regulate/advertising/applying-advertising-code/advertising-price-lists-pharmacy-and-prescription-only-medicines" TargetMode="External"/><Relationship Id="rId41" Type="http://schemas.openxmlformats.org/officeDocument/2006/relationships/hyperlink" Target="https://www.tga.gov.au/how-we-regulate/advertising/applying-advertising-code/using-scientific-or-clinical-representations-advertising" TargetMode="External"/><Relationship Id="rId44" Type="http://schemas.openxmlformats.org/officeDocument/2006/relationships/hyperlink" Target="https://www.tga.gov.au/how-we-regulate/advertising/applying-advertising-code/general-requirements-advertising-therapeutic-goods-public?utm_source=chatgpt.com" TargetMode="External"/><Relationship Id="rId43" Type="http://schemas.openxmlformats.org/officeDocument/2006/relationships/hyperlink" Target="https://www.tga.gov.au/resources/guidance/applying-advertising-code-rules-general-requirements?utm_source=chatgpt.com" TargetMode="External"/><Relationship Id="rId46" Type="http://schemas.openxmlformats.org/officeDocument/2006/relationships/hyperlink" Target="https://www.tga.gov.au/how-we-regulate/compliance-and-enforcement-hub/compliance-actions-and-outcomes/infringement-notices?utm_source=chatgpt.com" TargetMode="External"/><Relationship Id="rId45" Type="http://schemas.openxmlformats.org/officeDocument/2006/relationships/hyperlink" Target="https://www.tga.gov.au/sites/default/files/2022-07/guidance-applying-advertising-code-rules-pt-4-5.pdf?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ga.gov.au/resources/guidance/understanding-activities-represent-advertising" TargetMode="External"/><Relationship Id="rId48" Type="http://schemas.openxmlformats.org/officeDocument/2006/relationships/hyperlink" Target="https://www.tga.gov.au/resources/guidance/applying-advertising-code-rules-general-requirements?utm_source=chatgpt.com" TargetMode="External"/><Relationship Id="rId47" Type="http://schemas.openxmlformats.org/officeDocument/2006/relationships/hyperlink" Target="https://www.tga.gov.au/how-we-regulate/advertising/specialised-advertising-issues-and-topics/claim-tga-approved-must-not-be-used-advertising?utm_source=chatgpt.com" TargetMode="External"/><Relationship Id="rId49" Type="http://schemas.openxmlformats.org/officeDocument/2006/relationships/hyperlink" Target="https://www.tga.gov.au/resources/guidance/advertising-requirements-disease-education-activities?utm_source=chatgpt.com" TargetMode="External"/><Relationship Id="rId5" Type="http://schemas.openxmlformats.org/officeDocument/2006/relationships/styles" Target="styles.xml"/><Relationship Id="rId6" Type="http://schemas.openxmlformats.org/officeDocument/2006/relationships/hyperlink" Target="https://www.tga.gov.au/resources/guidance/understanding-activities-represent-advertising" TargetMode="External"/><Relationship Id="rId7" Type="http://schemas.openxmlformats.org/officeDocument/2006/relationships/hyperlink" Target="https://www.tga.gov.au/resources/guidance/applying-advertising-code-rules-general-requirements?utm_source=chatgpt.com" TargetMode="External"/><Relationship Id="rId8" Type="http://schemas.openxmlformats.org/officeDocument/2006/relationships/hyperlink" Target="https://www.accc.gov.au/consumers/advertising-and-promotions/false-or-misleading-claims?utm_source=chatgpt.com" TargetMode="External"/><Relationship Id="rId72" Type="http://schemas.openxmlformats.org/officeDocument/2006/relationships/hyperlink" Target="https://www.dailytelegraph.com.au/entertainment/sydney-confidential/i-do-not-give-you-permission-influencers-management-response-to-tga-backlash/news-story/b91923ab3d07d73d08f82a813bf67959?utm_source=chatgpt.com" TargetMode="External"/><Relationship Id="rId31" Type="http://schemas.openxmlformats.org/officeDocument/2006/relationships/hyperlink" Target="https://www.tga.gov.au/how-we-regulate/advertising/applying-advertising-code/using-scientific-or-clinical-representations-advertising" TargetMode="External"/><Relationship Id="rId30" Type="http://schemas.openxmlformats.org/officeDocument/2006/relationships/hyperlink" Target="https://www.tga.gov.au/how-we-regulate/advertising/specialised-advertising-issues-and-topics/claim-tga-approved-must-not-be-used-advertising?utm_source=chatgpt.com" TargetMode="External"/><Relationship Id="rId33" Type="http://schemas.openxmlformats.org/officeDocument/2006/relationships/hyperlink" Target="https://www.tga.gov.au/resources/guidance/applying-advertising-code-rules-samples-and-incentives" TargetMode="External"/><Relationship Id="rId32" Type="http://schemas.openxmlformats.org/officeDocument/2006/relationships/hyperlink" Target="https://www.tga.gov.au/resources/guidance/applying-advertising-code-rules-samples-and-incentives" TargetMode="External"/><Relationship Id="rId35" Type="http://schemas.openxmlformats.org/officeDocument/2006/relationships/hyperlink" Target="https://www.reuters.com/business/healthcare-pharmaceuticals/australian-regulator-initiates-legal-action-against-firms-advertising-medicinal-2025-06-20/?utm_source=chatgpt.com" TargetMode="External"/><Relationship Id="rId34" Type="http://schemas.openxmlformats.org/officeDocument/2006/relationships/hyperlink" Target="https://www.tga.gov.au/how-we-regulate/compliance-and-enforcement-hub/compliance-actions-and-outcomes/infringement-notices?utm_source=chatgpt.com" TargetMode="External"/><Relationship Id="rId71" Type="http://schemas.openxmlformats.org/officeDocument/2006/relationships/hyperlink" Target="https://www.dailytelegraph.com.au/lifestyle/health/facebook-vaping-posts-under-investigation/news-story/72e6affefe9ce2667ea8a7c2850a31f9?utm_source=chatgpt.com" TargetMode="External"/><Relationship Id="rId70" Type="http://schemas.openxmlformats.org/officeDocument/2006/relationships/hyperlink" Target="https://www.couriermail.com.au/news/queensland/bundaberg/bundaberg-tobacconist-raided-by-tga/news-story/b9dfc2bf08ad40f7b344645dff466655?utm_source=chatgpt.com" TargetMode="External"/><Relationship Id="rId37" Type="http://schemas.openxmlformats.org/officeDocument/2006/relationships/hyperlink" Target="https://www.tga.gov.au/resources/guidance/understanding-activities-represent-advertising" TargetMode="External"/><Relationship Id="rId36" Type="http://schemas.openxmlformats.org/officeDocument/2006/relationships/hyperlink" Target="https://www.reuters.com/business/healthcare-pharmaceuticals/australian-regulator-initiates-legal-action-against-firms-advertising-medicinal-2025-06-20/?utm_source=chatgpt.com" TargetMode="External"/><Relationship Id="rId39" Type="http://schemas.openxmlformats.org/officeDocument/2006/relationships/hyperlink" Target="https://www.tga.gov.au/resources/guidance/understanding-activities-represent-advertising" TargetMode="External"/><Relationship Id="rId38" Type="http://schemas.openxmlformats.org/officeDocument/2006/relationships/hyperlink" Target="https://www.tga.gov.au/resources/guidance/applying-advertising-code-rules-general-requirements?utm_source=chatgpt.com" TargetMode="External"/><Relationship Id="rId62" Type="http://schemas.openxmlformats.org/officeDocument/2006/relationships/hyperlink" Target="https://www.tga.gov.au/how-we-regulate/advertising/specialised-advertising-issues-and-topics/claim-tga-approved-must-not-be-used-advertising?utm_source=chatgpt.com" TargetMode="External"/><Relationship Id="rId61" Type="http://schemas.openxmlformats.org/officeDocument/2006/relationships/hyperlink" Target="https://www.tga.gov.au/how-we-regulate/advertising/applying-advertising-code/using-scientific-or-clinical-representations-advertising" TargetMode="External"/><Relationship Id="rId20" Type="http://schemas.openxmlformats.org/officeDocument/2006/relationships/hyperlink" Target="https://www.tga.gov.au/resources/guidance/applying-advertising-code-rules-general-requirements?utm_source=chatgpt.com" TargetMode="External"/><Relationship Id="rId64" Type="http://schemas.openxmlformats.org/officeDocument/2006/relationships/hyperlink" Target="https://www.guild.org.au/resources/business-operations/Advertising-of-therapeutic-goods-and-health-services-by-pharmacies?utm_source=chatgpt.com" TargetMode="External"/><Relationship Id="rId63" Type="http://schemas.openxmlformats.org/officeDocument/2006/relationships/hyperlink" Target="https://www.tga.gov.au/how-we-regulate/advertising/applying-advertising-code/advertising-price-lists-pharmacy-and-prescription-only-medicines" TargetMode="External"/><Relationship Id="rId22" Type="http://schemas.openxmlformats.org/officeDocument/2006/relationships/hyperlink" Target="https://www.tga.gov.au/how-we-regulate/advertising/applying-advertising-code/general-requirements-advertising-therapeutic-goods-public?utm_source=chatgpt.com" TargetMode="External"/><Relationship Id="rId66" Type="http://schemas.openxmlformats.org/officeDocument/2006/relationships/hyperlink" Target="https://www.tga.gov.au/how-we-regulate/compliance-and-enforcement-hub/compliance-actions-and-outcomes/infringement-notices?utm_source=chatgpt.com" TargetMode="External"/><Relationship Id="rId21" Type="http://schemas.openxmlformats.org/officeDocument/2006/relationships/hyperlink" Target="https://www.tga.gov.au/resources/guidance/advertising-requirements-disease-education-activities?utm_source=chatgpt.com" TargetMode="External"/><Relationship Id="rId65" Type="http://schemas.openxmlformats.org/officeDocument/2006/relationships/hyperlink" Target="https://www.guild.org.au/resources/business-operations/Advertising-of-therapeutic-goods-and-health-services-by-pharmacies?utm_source=chatgpt.com" TargetMode="External"/><Relationship Id="rId24" Type="http://schemas.openxmlformats.org/officeDocument/2006/relationships/hyperlink" Target="https://www.parliament.wa.gov.au/publications/tabledpapers.nsf/displaypaper/4113086a26b27dd429cfc80e48258b9500167d13/%24file/tp%2B3086%2B%282024%29%2Btherapeutic%2Bgoods%2B%E2%80%93%2Btherapeutic%2Bgoods%2B%28vaping%2Bgoods-advertising%29%2Bauthorisation%2B2024.pdf?utm_source=chatgpt.com" TargetMode="External"/><Relationship Id="rId68" Type="http://schemas.openxmlformats.org/officeDocument/2006/relationships/hyperlink" Target="https://www.theaustralian.com.au/health/medical/100-websites-tens-of-thousands-of-alleged-breaches-of-cosmetic-advertising-laws/news-story/bc3691fe8585da12b6b9f77920b35ed2?utm_source=chatgpt.com" TargetMode="External"/><Relationship Id="rId23" Type="http://schemas.openxmlformats.org/officeDocument/2006/relationships/hyperlink" Target="https://www.tga.gov.au/products/unapproved-therapeutic-goods/vaping-hub/vapes-advertising-and-promotion?utm_source=chatgpt.com" TargetMode="External"/><Relationship Id="rId67" Type="http://schemas.openxmlformats.org/officeDocument/2006/relationships/hyperlink" Target="https://www.tga.gov.au/sites/default/files/2022-07/guidance-applying-advertising-code-rules-pt-4-5.pdf?utm_source=chatgpt.com" TargetMode="External"/><Relationship Id="rId60" Type="http://schemas.openxmlformats.org/officeDocument/2006/relationships/hyperlink" Target="https://www.tga.gov.au/how-we-regulate/advertising/specialised-advertising-issues-and-topics/claim-tga-approved-must-not-be-used-advertising?utm_source=chatgpt.com" TargetMode="External"/><Relationship Id="rId26" Type="http://schemas.openxmlformats.org/officeDocument/2006/relationships/hyperlink" Target="https://www.tga.gov.au/resources/guidance/advertising-medicinal-cannabis-products-prohibited?utm_source=chatgpt.com" TargetMode="External"/><Relationship Id="rId25" Type="http://schemas.openxmlformats.org/officeDocument/2006/relationships/hyperlink" Target="https://www.parliament.wa.gov.au/publications/tabledpapers.nsf/displaypaper/4113086a26b27dd429cfc80e48258b9500167d13/%24file/tp%2B3086%2B%282024%29%2Btherapeutic%2Bgoods%2B%E2%80%93%2Btherapeutic%2Bgoods%2B%28vaping%2Bgoods-advertising%29%2Bauthorisation%2B2024.pdf?utm_source=chatgpt.com" TargetMode="External"/><Relationship Id="rId69" Type="http://schemas.openxmlformats.org/officeDocument/2006/relationships/hyperlink" Target="https://www.theguardian.com/australia-news/2024/nov/18/ads-prescription-drugs-weight-loss-ozempic-legal-australia-ntwnfb?utm_source=chatgpt.com" TargetMode="External"/><Relationship Id="rId28" Type="http://schemas.openxmlformats.org/officeDocument/2006/relationships/hyperlink" Target="https://www.tga.gov.au/how-we-regulate/advertising/applying-advertising-code/advertising-price-lists-pharmacy-and-prescription-only-medicines" TargetMode="External"/><Relationship Id="rId27" Type="http://schemas.openxmlformats.org/officeDocument/2006/relationships/hyperlink" Target="https://hwlebsworth.com.au/the-new-tga-advertising-code-what-you-need-to-know/?utm_source=chatgpt.com" TargetMode="External"/><Relationship Id="rId29" Type="http://schemas.openxmlformats.org/officeDocument/2006/relationships/hyperlink" Target="https://www.guild.org.au/resources/business-operations/Advertising-of-therapeutic-goods-and-health-services-by-pharmacies?utm_source=chatgpt.com" TargetMode="External"/><Relationship Id="rId51" Type="http://schemas.openxmlformats.org/officeDocument/2006/relationships/hyperlink" Target="https://www.tga.gov.au/how-we-regulate/advertising/advertising-basics/what-can-and-cannot-be-advertised-general-public" TargetMode="External"/><Relationship Id="rId50" Type="http://schemas.openxmlformats.org/officeDocument/2006/relationships/hyperlink" Target="https://www.tga.gov.au/resources/guidance/applying-advertising-code-rules-general-requirements?utm_source=chatgpt.com" TargetMode="External"/><Relationship Id="rId53" Type="http://schemas.openxmlformats.org/officeDocument/2006/relationships/hyperlink" Target="https://www.tga.gov.au/how-we-regulate/advertising/applying-advertising-code/using-scientific-or-clinical-representations-advertising" TargetMode="External"/><Relationship Id="rId52" Type="http://schemas.openxmlformats.org/officeDocument/2006/relationships/hyperlink" Target="https://hwlebsworth.com.au/the-new-tga-advertising-code-what-you-need-to-know/?utm_source=chatgpt.com" TargetMode="External"/><Relationship Id="rId11" Type="http://schemas.openxmlformats.org/officeDocument/2006/relationships/hyperlink" Target="https://www.tga.gov.au/how-we-regulate/advertising/advertising-basics/what-can-and-cannot-be-advertised-general-public" TargetMode="External"/><Relationship Id="rId55" Type="http://schemas.openxmlformats.org/officeDocument/2006/relationships/hyperlink" Target="https://www.tga.gov.au/resources/guidance/applying-advertising-code-rules-general-requirements?utm_source=chatgpt.com" TargetMode="External"/><Relationship Id="rId10" Type="http://schemas.openxmlformats.org/officeDocument/2006/relationships/hyperlink" Target="https://www.ahpra.gov.au/Resources/Advertising-hub/Advertising-guidelines-and-other-guidance/Advertising-guidelines.aspx?utm_source=chatgpt.com" TargetMode="External"/><Relationship Id="rId54" Type="http://schemas.openxmlformats.org/officeDocument/2006/relationships/hyperlink" Target="https://www.tga.gov.au/how-we-regulate/advertising/applying-advertising-code/advertising-price-lists-pharmacy-and-prescription-only-medicines" TargetMode="External"/><Relationship Id="rId13" Type="http://schemas.openxmlformats.org/officeDocument/2006/relationships/hyperlink" Target="https://www.tga.gov.au/products/unapproved-therapeutic-goods/vaping-hub/vapes-advertising-and-promotion?utm_source=chatgpt.com" TargetMode="External"/><Relationship Id="rId57" Type="http://schemas.openxmlformats.org/officeDocument/2006/relationships/hyperlink" Target="https://www.tga.gov.au/resources/guidance/applying-advertising-code-rules-general-requirements?utm_source=chatgpt.com" TargetMode="External"/><Relationship Id="rId12" Type="http://schemas.openxmlformats.org/officeDocument/2006/relationships/hyperlink" Target="https://www.tga.gov.au/how-we-regulate/advertising/advertising-basics/what-can-and-cannot-be-advertised-general-public" TargetMode="External"/><Relationship Id="rId56" Type="http://schemas.openxmlformats.org/officeDocument/2006/relationships/hyperlink" Target="https://www.tga.gov.au/sites/default/files/2022-07/guidance-applying-advertising-code-rules-pt-4-5.pdf?utm_source=chatgpt.com" TargetMode="External"/><Relationship Id="rId15" Type="http://schemas.openxmlformats.org/officeDocument/2006/relationships/hyperlink" Target="https://www.parliament.wa.gov.au/publications/tabledpapers.nsf/displaypaper/4113086a26b27dd429cfc80e48258b9500167d13/%24file/tp%2B3086%2B%282024%29%2Btherapeutic%2Bgoods%2B%E2%80%93%2Btherapeutic%2Bgoods%2B%28vaping%2Bgoods-advertising%29%2Bauthorisation%2B2024.pdf?utm_source=chatgpt.com" TargetMode="External"/><Relationship Id="rId59" Type="http://schemas.openxmlformats.org/officeDocument/2006/relationships/hyperlink" Target="https://www.tga.gov.au/how-we-regulate/advertising/applying-advertising-code/advertising-price-lists-pharmacy-and-prescription-only-medicines" TargetMode="External"/><Relationship Id="rId14" Type="http://schemas.openxmlformats.org/officeDocument/2006/relationships/hyperlink" Target="https://www.parliament.wa.gov.au/publications/tabledpapers.nsf/displaypaper/4113086a26b27dd429cfc80e48258b9500167d13/%24file/tp%2B3086%2B%282024%29%2Btherapeutic%2Bgoods%2B%E2%80%93%2Btherapeutic%2Bgoods%2B%28vaping%2Bgoods-advertising%29%2Bauthorisation%2B2024.pdf?utm_source=chatgpt.com" TargetMode="External"/><Relationship Id="rId58" Type="http://schemas.openxmlformats.org/officeDocument/2006/relationships/hyperlink" Target="https://www.tga.gov.au/how-we-regulate/advertising/advertising-basics/what-can-and-cannot-be-advertised-general-public" TargetMode="External"/><Relationship Id="rId17" Type="http://schemas.openxmlformats.org/officeDocument/2006/relationships/hyperlink" Target="https://www.tga.gov.au/how-we-regulate/advertising/specialised-advertising-issues-and-topics/claim-tga-approved-must-not-be-used-advertising?utm_source=chatgpt.com" TargetMode="External"/><Relationship Id="rId16" Type="http://schemas.openxmlformats.org/officeDocument/2006/relationships/hyperlink" Target="https://www.tga.gov.au/resources/guidance/applying-advertising-code-rules-general-requirements?utm_source=chatgpt.com" TargetMode="External"/><Relationship Id="rId19" Type="http://schemas.openxmlformats.org/officeDocument/2006/relationships/hyperlink" Target="https://www.tga.gov.au/how-we-regulate/advertising/applying-advertising-code/advertising-price-lists-pharmacy-and-prescription-only-medicines" TargetMode="External"/><Relationship Id="rId18" Type="http://schemas.openxmlformats.org/officeDocument/2006/relationships/hyperlink" Target="https://www.tga.gov.au/resources/guidance/understanding-activities-represent-adverti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