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B354" w14:textId="40E440C4" w:rsidR="00E624FA" w:rsidRPr="00E624FA" w:rsidRDefault="00E624FA" w:rsidP="00E624FA">
      <w:pPr>
        <w:pStyle w:val="Ttulo1"/>
      </w:pPr>
      <w:r w:rsidRPr="00E624FA">
        <w:t xml:space="preserve">Slide 1: La Travesía de Pagos </w:t>
      </w:r>
    </w:p>
    <w:p w14:paraId="113B6214" w14:textId="1AADD880" w:rsidR="00E624FA" w:rsidRPr="00E624FA" w:rsidRDefault="00E624FA" w:rsidP="00E624FA">
      <w:r w:rsidRPr="00E624FA">
        <w:t xml:space="preserve">Buenos días. Hoy no vengo a hablarles de un simple despliegue técnico. Vengo a presentarles la Travesía de Pagos Offline. </w:t>
      </w:r>
      <w:proofErr w:type="gramStart"/>
      <w:r w:rsidRPr="00E624FA">
        <w:t xml:space="preserve">Estamos aquí para orquestar el próximo gran hito de </w:t>
      </w:r>
      <w:proofErr w:type="spellStart"/>
      <w:r w:rsidRPr="00E624FA">
        <w:t>deuna</w:t>
      </w:r>
      <w:proofErr w:type="spellEnd"/>
      <w:r w:rsidRPr="00E624FA">
        <w:t>!</w:t>
      </w:r>
      <w:proofErr w:type="gramEnd"/>
      <w:r w:rsidRPr="00E624FA">
        <w:t>: permitir que nuestros usuarios paguen en cualquier lugar, sin importar la conexión. Mi nombre es Kevin Viteri, y mi compromiso es liderar la sincronización de este ecosistema para que este desafío se convierta en un éxito operativo medible en 12 semanas."</w:t>
      </w:r>
    </w:p>
    <w:p w14:paraId="2E2E5476" w14:textId="77777777" w:rsidR="00E624FA" w:rsidRPr="00E624FA" w:rsidRDefault="00E624FA" w:rsidP="00E624FA">
      <w:pPr>
        <w:pStyle w:val="Ttulo1"/>
      </w:pPr>
      <w:r w:rsidRPr="00E624FA">
        <w:t>Slide 2: El Ecosistema (El Reto)</w:t>
      </w:r>
    </w:p>
    <w:p w14:paraId="426AF960" w14:textId="29407377" w:rsidR="00E624FA" w:rsidRPr="00015BD0" w:rsidRDefault="00E624FA" w:rsidP="00E624FA">
      <w:r w:rsidRPr="00015BD0">
        <w:t xml:space="preserve">Este proyecto es un organismo vivo con alta interdependencia. Estamos coordinando a siete tripulaciones especializadas: desde </w:t>
      </w:r>
      <w:proofErr w:type="spellStart"/>
      <w:r w:rsidRPr="00015BD0">
        <w:t>Backend</w:t>
      </w:r>
      <w:proofErr w:type="spellEnd"/>
      <w:r w:rsidRPr="00015BD0">
        <w:t xml:space="preserve"> e Infraestructura hasta Marketing y Soporte. Tenemos una ventana de 3 meses para salir al mercado. Mi rol es asegurar que, a pesar de los cambios de alcance o la falta de claridad en prioridades, el foco en la entrega de valor se mantenga inalterable."</w:t>
      </w:r>
    </w:p>
    <w:p w14:paraId="1CEDAECB" w14:textId="77777777" w:rsidR="00E624FA" w:rsidRPr="00E624FA" w:rsidRDefault="00E624FA" w:rsidP="00015BD0">
      <w:pPr>
        <w:pStyle w:val="Ttulo1"/>
      </w:pPr>
      <w:r w:rsidRPr="00E624FA">
        <w:t>Slide 3: Transparencia Radical (Orquestación)</w:t>
      </w:r>
    </w:p>
    <w:p w14:paraId="65577032" w14:textId="012473E9" w:rsidR="00E624FA" w:rsidRPr="00015BD0" w:rsidRDefault="00E624FA" w:rsidP="00E624FA">
      <w:r w:rsidRPr="00015BD0">
        <w:t xml:space="preserve">Para navegar con éxito, hemos instalado un Centro de Control Visual o 'Vidrio de Pecera'. No navegamos a ciegas. Implementamos un </w:t>
      </w:r>
      <w:proofErr w:type="spellStart"/>
      <w:r w:rsidRPr="00015BD0">
        <w:t>Dependency</w:t>
      </w:r>
      <w:proofErr w:type="spellEnd"/>
      <w:r w:rsidRPr="00015BD0">
        <w:t xml:space="preserve"> Board para anticipar bloqueos entre equipos y realizamos una Sincronización de Facilitadores (Scrum </w:t>
      </w:r>
      <w:proofErr w:type="spellStart"/>
      <w:r w:rsidRPr="00015BD0">
        <w:t>of</w:t>
      </w:r>
      <w:proofErr w:type="spellEnd"/>
      <w:r w:rsidRPr="00015BD0">
        <w:t xml:space="preserve"> Scrums) diaria de solo 15 minutos. Además, unificamos los criterios de 'Listo' y 'Hecho' (DoR/DoD) para que la calidad fluya sin reprocesos desde el primer día."</w:t>
      </w:r>
    </w:p>
    <w:p w14:paraId="66780ED2" w14:textId="77777777" w:rsidR="00E624FA" w:rsidRPr="00E624FA" w:rsidRDefault="00E624FA" w:rsidP="00015BD0">
      <w:pPr>
        <w:pStyle w:val="Ttulo1"/>
      </w:pPr>
      <w:r w:rsidRPr="00E624FA">
        <w:t>Slide 4: El Arte de la Mediación (Gestión de Fricciones)</w:t>
      </w:r>
    </w:p>
    <w:p w14:paraId="18C236B6" w14:textId="77777777" w:rsidR="00E624FA" w:rsidRPr="00E624FA" w:rsidRDefault="00E624FA" w:rsidP="00E624FA">
      <w:pPr>
        <w:numPr>
          <w:ilvl w:val="0"/>
          <w:numId w:val="9"/>
        </w:numPr>
      </w:pPr>
      <w:r w:rsidRPr="00E624FA">
        <w:rPr>
          <w:b/>
          <w:bCs/>
        </w:rPr>
        <w:t>Seguridad:</w:t>
      </w:r>
      <w:r w:rsidRPr="00E624FA">
        <w:t xml:space="preserve"> Cuando QA exige protocolos extra, no decimos 'no'; facilitamos una negociación basada en riesgos para proteger la marca sin detener el motor.</w:t>
      </w:r>
    </w:p>
    <w:p w14:paraId="6DB9AE12" w14:textId="77777777" w:rsidR="00E624FA" w:rsidRPr="00E624FA" w:rsidRDefault="00E624FA" w:rsidP="00E624FA">
      <w:pPr>
        <w:numPr>
          <w:ilvl w:val="0"/>
          <w:numId w:val="9"/>
        </w:numPr>
      </w:pPr>
      <w:r w:rsidRPr="00E624FA">
        <w:rPr>
          <w:b/>
          <w:bCs/>
        </w:rPr>
        <w:t>Marketing:</w:t>
      </w:r>
      <w:r w:rsidRPr="00E624FA">
        <w:t xml:space="preserve"> Si necesitan visibilidad temprana, creamos una 'Demo controlada' para que puedan vender el sueño sin interrumpir a los desarrolladores.</w:t>
      </w:r>
    </w:p>
    <w:p w14:paraId="0757CD19" w14:textId="77777777" w:rsidR="00E624FA" w:rsidRPr="00E624FA" w:rsidRDefault="00E624FA" w:rsidP="00E624FA">
      <w:pPr>
        <w:numPr>
          <w:ilvl w:val="0"/>
          <w:numId w:val="9"/>
        </w:numPr>
      </w:pPr>
      <w:proofErr w:type="spellStart"/>
      <w:r w:rsidRPr="00E624FA">
        <w:rPr>
          <w:b/>
          <w:bCs/>
        </w:rPr>
        <w:t>Backend</w:t>
      </w:r>
      <w:proofErr w:type="spellEnd"/>
      <w:r w:rsidRPr="00E624FA">
        <w:rPr>
          <w:b/>
          <w:bCs/>
        </w:rPr>
        <w:t>:</w:t>
      </w:r>
      <w:r w:rsidRPr="00E624FA">
        <w:t xml:space="preserve"> Si perdemos potencia, aplicamos el </w:t>
      </w:r>
      <w:r w:rsidRPr="00E624FA">
        <w:rPr>
          <w:b/>
          <w:bCs/>
        </w:rPr>
        <w:t>Diagrama de Ishikawa</w:t>
      </w:r>
      <w:r w:rsidRPr="00E624FA">
        <w:t xml:space="preserve"> para atacar la causa raíz, no el síntoma.</w:t>
      </w:r>
    </w:p>
    <w:p w14:paraId="4E63E291" w14:textId="77777777" w:rsidR="00E624FA" w:rsidRPr="00E624FA" w:rsidRDefault="00E624FA" w:rsidP="00E624FA">
      <w:pPr>
        <w:numPr>
          <w:ilvl w:val="0"/>
          <w:numId w:val="9"/>
        </w:numPr>
      </w:pPr>
      <w:r w:rsidRPr="00E624FA">
        <w:rPr>
          <w:b/>
          <w:bCs/>
        </w:rPr>
        <w:t>UX/</w:t>
      </w:r>
      <w:proofErr w:type="spellStart"/>
      <w:r w:rsidRPr="00E624FA">
        <w:rPr>
          <w:b/>
          <w:bCs/>
        </w:rPr>
        <w:t>Frontend</w:t>
      </w:r>
      <w:proofErr w:type="spellEnd"/>
      <w:r w:rsidRPr="00E624FA">
        <w:rPr>
          <w:b/>
          <w:bCs/>
        </w:rPr>
        <w:t>:</w:t>
      </w:r>
      <w:r w:rsidRPr="00E624FA">
        <w:t xml:space="preserve"> Si hay un embotellamiento en las aprobaciones, ajustamos el flujo de trabajo (WIP) para que el peaje de la autopista se abra nuevamente."</w:t>
      </w:r>
    </w:p>
    <w:p w14:paraId="68F7AE23" w14:textId="77777777" w:rsidR="00E624FA" w:rsidRPr="00E624FA" w:rsidRDefault="00E624FA" w:rsidP="00015BD0">
      <w:pPr>
        <w:pStyle w:val="Ttulo1"/>
      </w:pPr>
      <w:r w:rsidRPr="00E624FA">
        <w:t>Slide 5: Ingeniería de la Mejora (Cultura)</w:t>
      </w:r>
    </w:p>
    <w:p w14:paraId="00E07047" w14:textId="024D10E7" w:rsidR="00E624FA" w:rsidRPr="00015BD0" w:rsidRDefault="00E624FA" w:rsidP="00E624FA">
      <w:r w:rsidRPr="00015BD0">
        <w:t>La agilidad no es ir rápido, es aprender rápido. Usamos herramientas de calidad como los 5 Porqués para que la inestabilidad del alcance no sea un problema recurrente. A través de la dinámica del Velero, identificamos sistemáticamente las anclas que nos frenan y los vientos que nos impulsan, mientras que los Círculos de Influencia empoderan al equipo para resolver lo que está en sus manos y dejar que yo gestione los riesgos estratégicos."</w:t>
      </w:r>
    </w:p>
    <w:p w14:paraId="3D3FF510" w14:textId="77777777" w:rsidR="00E624FA" w:rsidRPr="00E624FA" w:rsidRDefault="00E624FA" w:rsidP="00015BD0">
      <w:pPr>
        <w:pStyle w:val="Ttulo1"/>
      </w:pPr>
      <w:r w:rsidRPr="00E624FA">
        <w:t>Slide 6: El Camino al Éxito (Roadmap y KPIs)</w:t>
      </w:r>
    </w:p>
    <w:p w14:paraId="59A9332A" w14:textId="6DEFA1B4" w:rsidR="00E624FA" w:rsidRPr="00015BD0" w:rsidRDefault="00E624FA" w:rsidP="00E624FA">
      <w:r w:rsidRPr="00015BD0">
        <w:t xml:space="preserve">Nuestro plan de 6 semanas tiene hitos claros. Las primeras cuatro semanas se centran en la alineación y estabilización del flujo de trabajo, cerrando con una demo del MVP en la semana </w:t>
      </w:r>
      <w:r w:rsidRPr="00015BD0">
        <w:lastRenderedPageBreak/>
        <w:t xml:space="preserve">seis. Pero lo más importante es que mediremos el éxito con datos: monitorearemos el Lead Time (velocidad real), el </w:t>
      </w:r>
      <w:proofErr w:type="spellStart"/>
      <w:r w:rsidRPr="00015BD0">
        <w:t>Throughput</w:t>
      </w:r>
      <w:proofErr w:type="spellEnd"/>
      <w:r w:rsidRPr="00015BD0">
        <w:t xml:space="preserve"> (entrega de valor) y el Team Health (salud del equipo) para garantizar una operación sostenible."</w:t>
      </w:r>
    </w:p>
    <w:p w14:paraId="4B1CBB15" w14:textId="77777777" w:rsidR="00E624FA" w:rsidRPr="00E624FA" w:rsidRDefault="00E624FA" w:rsidP="00015BD0">
      <w:pPr>
        <w:pStyle w:val="Ttulo1"/>
      </w:pPr>
      <w:r w:rsidRPr="00E624FA">
        <w:t>Slide 7: El Compromiso con el Valor (Cierre)</w:t>
      </w:r>
    </w:p>
    <w:p w14:paraId="2841F2E4" w14:textId="37A0F384" w:rsidR="00E624FA" w:rsidRPr="009C4712" w:rsidRDefault="00E624FA" w:rsidP="00E624FA">
      <w:proofErr w:type="gramStart"/>
      <w:r w:rsidRPr="009C4712">
        <w:t xml:space="preserve">No solo estamos gestionando tareas, estamos orquestando el valor que </w:t>
      </w:r>
      <w:proofErr w:type="spellStart"/>
      <w:r w:rsidRPr="009C4712">
        <w:t>deuna</w:t>
      </w:r>
      <w:proofErr w:type="spellEnd"/>
      <w:r w:rsidRPr="009C4712">
        <w:t>!</w:t>
      </w:r>
      <w:proofErr w:type="gramEnd"/>
      <w:r w:rsidRPr="009C4712">
        <w:t xml:space="preserve"> entrega a sus usuarios. Este plan asegura pagos offline activos, equipos alineados y un modelo de escalamiento que deja a la organización más fuerte que cuando empezamos. ¿Estamos listos para iniciar la primera sesión de sincronización? "</w:t>
      </w:r>
    </w:p>
    <w:p w14:paraId="2C8F376D" w14:textId="77777777" w:rsidR="00433116" w:rsidRPr="00E624FA" w:rsidRDefault="00433116" w:rsidP="00E624FA"/>
    <w:sectPr w:rsidR="00433116" w:rsidRPr="00E624FA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648BD" w14:textId="77777777" w:rsidR="000213E0" w:rsidRDefault="000213E0">
      <w:pPr>
        <w:spacing w:line="240" w:lineRule="auto"/>
      </w:pPr>
      <w:r>
        <w:separator/>
      </w:r>
    </w:p>
  </w:endnote>
  <w:endnote w:type="continuationSeparator" w:id="0">
    <w:p w14:paraId="715608C5" w14:textId="77777777" w:rsidR="000213E0" w:rsidRDefault="000213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F3773" w14:textId="77777777" w:rsidR="00433116" w:rsidRDefault="00000000">
    <w:pPr>
      <w:pStyle w:val="Piedepgina"/>
      <w:rPr>
        <w:rFonts w:ascii="Sans Serif Collection" w:hAnsi="Sans Serif Collection" w:cs="Sans Serif Collection"/>
        <w:b/>
        <w:bCs/>
        <w:sz w:val="24"/>
        <w:szCs w:val="28"/>
      </w:rPr>
    </w:pPr>
    <w:r>
      <w:rPr>
        <w:rFonts w:ascii="Sans Serif Collection" w:hAnsi="Sans Serif Collection" w:cs="Sans Serif Collection"/>
        <w:b/>
        <w:bCs/>
        <w:sz w:val="24"/>
        <w:szCs w:val="28"/>
      </w:rPr>
      <w:t>Kevin Viteri | Proceso de Selección 2026</w:t>
    </w:r>
    <w:r>
      <w:rPr>
        <w:rFonts w:ascii="Sans Serif Collection" w:hAnsi="Sans Serif Collection" w:cs="Sans Serif Collection"/>
        <w:b/>
        <w:bCs/>
        <w:sz w:val="24"/>
        <w:szCs w:val="28"/>
      </w:rPr>
      <w:tab/>
    </w:r>
    <w:r>
      <w:rPr>
        <w:rFonts w:ascii="Sans Serif Collection" w:hAnsi="Sans Serif Collection" w:cs="Sans Serif Collection"/>
        <w:b/>
        <w:bCs/>
        <w:sz w:val="24"/>
        <w:szCs w:val="28"/>
      </w:rPr>
      <w:fldChar w:fldCharType="begin"/>
    </w:r>
    <w:r>
      <w:rPr>
        <w:rFonts w:ascii="Sans Serif Collection" w:hAnsi="Sans Serif Collection" w:cs="Sans Serif Collection"/>
        <w:b/>
        <w:bCs/>
        <w:sz w:val="24"/>
        <w:szCs w:val="28"/>
      </w:rPr>
      <w:instrText xml:space="preserve"> PAGE   \* MERGEFORMAT </w:instrText>
    </w:r>
    <w:r>
      <w:rPr>
        <w:rFonts w:ascii="Sans Serif Collection" w:hAnsi="Sans Serif Collection" w:cs="Sans Serif Collection"/>
        <w:b/>
        <w:bCs/>
        <w:sz w:val="24"/>
        <w:szCs w:val="28"/>
      </w:rPr>
      <w:fldChar w:fldCharType="separate"/>
    </w:r>
    <w:r>
      <w:rPr>
        <w:rFonts w:ascii="Sans Serif Collection" w:hAnsi="Sans Serif Collection" w:cs="Sans Serif Collection"/>
        <w:b/>
        <w:bCs/>
        <w:sz w:val="24"/>
        <w:szCs w:val="28"/>
      </w:rPr>
      <w:t>1</w:t>
    </w:r>
    <w:r>
      <w:rPr>
        <w:rFonts w:ascii="Sans Serif Collection" w:hAnsi="Sans Serif Collection" w:cs="Sans Serif Collection"/>
        <w:b/>
        <w:bCs/>
        <w:sz w:val="24"/>
        <w:szCs w:val="28"/>
      </w:rPr>
      <w:fldChar w:fldCharType="end"/>
    </w:r>
    <w:r>
      <w:rPr>
        <w:rFonts w:ascii="Sans Serif Collection" w:hAnsi="Sans Serif Collection" w:cs="Sans Serif Collection"/>
        <w:b/>
        <w:bCs/>
        <w:sz w:val="24"/>
        <w:szCs w:val="28"/>
      </w:rPr>
      <w:t xml:space="preserve"> de </w:t>
    </w:r>
    <w:r>
      <w:rPr>
        <w:rFonts w:ascii="Sans Serif Collection" w:hAnsi="Sans Serif Collection" w:cs="Sans Serif Collection"/>
        <w:b/>
        <w:bCs/>
        <w:sz w:val="24"/>
        <w:szCs w:val="28"/>
      </w:rPr>
      <w:fldChar w:fldCharType="begin"/>
    </w:r>
    <w:r>
      <w:rPr>
        <w:rFonts w:ascii="Sans Serif Collection" w:hAnsi="Sans Serif Collection" w:cs="Sans Serif Collection"/>
        <w:b/>
        <w:bCs/>
        <w:sz w:val="24"/>
        <w:szCs w:val="28"/>
      </w:rPr>
      <w:instrText xml:space="preserve"> NUMPAGES   \* MERGEFORMAT </w:instrText>
    </w:r>
    <w:r>
      <w:rPr>
        <w:rFonts w:ascii="Sans Serif Collection" w:hAnsi="Sans Serif Collection" w:cs="Sans Serif Collection"/>
        <w:b/>
        <w:bCs/>
        <w:sz w:val="24"/>
        <w:szCs w:val="28"/>
      </w:rPr>
      <w:fldChar w:fldCharType="separate"/>
    </w:r>
    <w:r>
      <w:rPr>
        <w:rFonts w:ascii="Sans Serif Collection" w:hAnsi="Sans Serif Collection" w:cs="Sans Serif Collection"/>
        <w:b/>
        <w:bCs/>
        <w:sz w:val="24"/>
        <w:szCs w:val="28"/>
      </w:rPr>
      <w:t>5</w:t>
    </w:r>
    <w:r>
      <w:rPr>
        <w:rFonts w:ascii="Sans Serif Collection" w:hAnsi="Sans Serif Collection" w:cs="Sans Serif Collection"/>
        <w:b/>
        <w:bCs/>
        <w:sz w:val="24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A6360" w14:textId="77777777" w:rsidR="000213E0" w:rsidRDefault="000213E0">
      <w:pPr>
        <w:spacing w:after="0"/>
      </w:pPr>
      <w:r>
        <w:separator/>
      </w:r>
    </w:p>
  </w:footnote>
  <w:footnote w:type="continuationSeparator" w:id="0">
    <w:p w14:paraId="0E2CCC57" w14:textId="77777777" w:rsidR="000213E0" w:rsidRDefault="000213E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F3772" w14:textId="18A20691" w:rsidR="00433116" w:rsidRDefault="00000000">
    <w:pPr>
      <w:pStyle w:val="Encabezado"/>
      <w:rPr>
        <w:rFonts w:ascii="Sans Serif Collection" w:hAnsi="Sans Serif Collection" w:cs="Sans Serif Collection"/>
        <w:b/>
        <w:bCs/>
        <w:sz w:val="24"/>
        <w:szCs w:val="28"/>
      </w:rPr>
    </w:pPr>
    <w:r>
      <w:rPr>
        <w:rFonts w:ascii="Sans Serif Collection" w:hAnsi="Sans Serif Collection" w:cs="Sans Serif Collection"/>
        <w:b/>
        <w:bCs/>
        <w:noProof/>
        <w:sz w:val="24"/>
        <w:szCs w:val="28"/>
      </w:rPr>
      <w:drawing>
        <wp:anchor distT="0" distB="0" distL="114300" distR="114300" simplePos="0" relativeHeight="251660288" behindDoc="0" locked="0" layoutInCell="1" allowOverlap="1" wp14:anchorId="2C8F3774" wp14:editId="2C8F3775">
          <wp:simplePos x="0" y="0"/>
          <wp:positionH relativeFrom="rightMargin">
            <wp:align>left</wp:align>
          </wp:positionH>
          <wp:positionV relativeFrom="paragraph">
            <wp:posOffset>3175</wp:posOffset>
          </wp:positionV>
          <wp:extent cx="952500" cy="285750"/>
          <wp:effectExtent l="0" t="0" r="0" b="0"/>
          <wp:wrapNone/>
          <wp:docPr id="19775200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7520047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C8F3776" wp14:editId="2C8F3777">
          <wp:simplePos x="0" y="0"/>
          <wp:positionH relativeFrom="page">
            <wp:posOffset>203200</wp:posOffset>
          </wp:positionH>
          <wp:positionV relativeFrom="paragraph">
            <wp:posOffset>-342265</wp:posOffset>
          </wp:positionV>
          <wp:extent cx="780415" cy="780415"/>
          <wp:effectExtent l="0" t="0" r="635" b="635"/>
          <wp:wrapNone/>
          <wp:docPr id="522260940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2260940" name="Imagen 1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539" cy="7805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Sans Serif Collection" w:hAnsi="Sans Serif Collection" w:cs="Sans Serif Collection"/>
        <w:b/>
        <w:bCs/>
        <w:sz w:val="24"/>
        <w:szCs w:val="28"/>
      </w:rPr>
      <w:t xml:space="preserve">Propuesta de Facilitación Ágil: </w:t>
    </w:r>
    <w:r w:rsidR="009C4712">
      <w:rPr>
        <w:rFonts w:ascii="Sans Serif Collection" w:hAnsi="Sans Serif Collection" w:cs="Sans Serif Collection"/>
        <w:b/>
        <w:bCs/>
        <w:sz w:val="24"/>
        <w:szCs w:val="28"/>
      </w:rPr>
      <w:t xml:space="preserve"> Guía de Presentación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8FA"/>
    <w:multiLevelType w:val="multilevel"/>
    <w:tmpl w:val="063728F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46171E1"/>
    <w:multiLevelType w:val="multilevel"/>
    <w:tmpl w:val="1304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E2A2F"/>
    <w:multiLevelType w:val="multilevel"/>
    <w:tmpl w:val="1D7E2A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0F6D71"/>
    <w:multiLevelType w:val="multilevel"/>
    <w:tmpl w:val="580F6D7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BC4456B"/>
    <w:multiLevelType w:val="multilevel"/>
    <w:tmpl w:val="5BC445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0B36EF"/>
    <w:multiLevelType w:val="multilevel"/>
    <w:tmpl w:val="5D0B36E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75D34"/>
    <w:multiLevelType w:val="multilevel"/>
    <w:tmpl w:val="5DD75D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7A32A4"/>
    <w:multiLevelType w:val="multilevel"/>
    <w:tmpl w:val="5E7A32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CC1AF9"/>
    <w:multiLevelType w:val="multilevel"/>
    <w:tmpl w:val="65CC1A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785"/>
        </w:tabs>
        <w:ind w:left="785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7753120">
    <w:abstractNumId w:val="3"/>
  </w:num>
  <w:num w:numId="2" w16cid:durableId="330328126">
    <w:abstractNumId w:val="2"/>
  </w:num>
  <w:num w:numId="3" w16cid:durableId="1967392607">
    <w:abstractNumId w:val="5"/>
  </w:num>
  <w:num w:numId="4" w16cid:durableId="531456717">
    <w:abstractNumId w:val="7"/>
  </w:num>
  <w:num w:numId="5" w16cid:durableId="240065657">
    <w:abstractNumId w:val="8"/>
  </w:num>
  <w:num w:numId="6" w16cid:durableId="30348195">
    <w:abstractNumId w:val="4"/>
  </w:num>
  <w:num w:numId="7" w16cid:durableId="1331835934">
    <w:abstractNumId w:val="6"/>
  </w:num>
  <w:num w:numId="8" w16cid:durableId="1213036443">
    <w:abstractNumId w:val="0"/>
  </w:num>
  <w:num w:numId="9" w16cid:durableId="970862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ED"/>
    <w:rsid w:val="0000545D"/>
    <w:rsid w:val="00015BD0"/>
    <w:rsid w:val="000213E0"/>
    <w:rsid w:val="00053AEA"/>
    <w:rsid w:val="00093BC4"/>
    <w:rsid w:val="000C67D6"/>
    <w:rsid w:val="000D1A82"/>
    <w:rsid w:val="00130D96"/>
    <w:rsid w:val="0015202F"/>
    <w:rsid w:val="001905AC"/>
    <w:rsid w:val="0019379B"/>
    <w:rsid w:val="001A288C"/>
    <w:rsid w:val="001B5EDB"/>
    <w:rsid w:val="001C4C86"/>
    <w:rsid w:val="002734B8"/>
    <w:rsid w:val="002B7B64"/>
    <w:rsid w:val="002F5386"/>
    <w:rsid w:val="002F70C5"/>
    <w:rsid w:val="00305DED"/>
    <w:rsid w:val="003139D3"/>
    <w:rsid w:val="0032049C"/>
    <w:rsid w:val="003261FC"/>
    <w:rsid w:val="00381514"/>
    <w:rsid w:val="003907B9"/>
    <w:rsid w:val="00391FF5"/>
    <w:rsid w:val="003B1AF8"/>
    <w:rsid w:val="003D49F6"/>
    <w:rsid w:val="00406568"/>
    <w:rsid w:val="00433116"/>
    <w:rsid w:val="0044731F"/>
    <w:rsid w:val="00454844"/>
    <w:rsid w:val="00471EF2"/>
    <w:rsid w:val="00475EE0"/>
    <w:rsid w:val="004802E5"/>
    <w:rsid w:val="00491E75"/>
    <w:rsid w:val="004E4436"/>
    <w:rsid w:val="004F46F8"/>
    <w:rsid w:val="004F716F"/>
    <w:rsid w:val="00556BFD"/>
    <w:rsid w:val="00562D65"/>
    <w:rsid w:val="0058000F"/>
    <w:rsid w:val="00582038"/>
    <w:rsid w:val="005B0294"/>
    <w:rsid w:val="005C100B"/>
    <w:rsid w:val="006024E0"/>
    <w:rsid w:val="00605A8F"/>
    <w:rsid w:val="00614643"/>
    <w:rsid w:val="006B1BBD"/>
    <w:rsid w:val="006C1952"/>
    <w:rsid w:val="006C5B27"/>
    <w:rsid w:val="00747B9D"/>
    <w:rsid w:val="0077032B"/>
    <w:rsid w:val="00775C46"/>
    <w:rsid w:val="007F039A"/>
    <w:rsid w:val="007F19CE"/>
    <w:rsid w:val="00812CFC"/>
    <w:rsid w:val="00814F79"/>
    <w:rsid w:val="008B7F3D"/>
    <w:rsid w:val="00981FEA"/>
    <w:rsid w:val="00983008"/>
    <w:rsid w:val="0099080C"/>
    <w:rsid w:val="00992B75"/>
    <w:rsid w:val="009C40D1"/>
    <w:rsid w:val="009C4712"/>
    <w:rsid w:val="009C5428"/>
    <w:rsid w:val="009F0116"/>
    <w:rsid w:val="00A37D25"/>
    <w:rsid w:val="00A54D08"/>
    <w:rsid w:val="00A560D7"/>
    <w:rsid w:val="00A63889"/>
    <w:rsid w:val="00AA1D20"/>
    <w:rsid w:val="00AC4F8E"/>
    <w:rsid w:val="00AD2299"/>
    <w:rsid w:val="00B102F8"/>
    <w:rsid w:val="00B35B73"/>
    <w:rsid w:val="00B51111"/>
    <w:rsid w:val="00B7018C"/>
    <w:rsid w:val="00B751D1"/>
    <w:rsid w:val="00B91BE6"/>
    <w:rsid w:val="00B91FC6"/>
    <w:rsid w:val="00BE6B7C"/>
    <w:rsid w:val="00C47310"/>
    <w:rsid w:val="00C51F13"/>
    <w:rsid w:val="00CA5673"/>
    <w:rsid w:val="00CB2EE1"/>
    <w:rsid w:val="00CB7711"/>
    <w:rsid w:val="00D078AA"/>
    <w:rsid w:val="00D1383D"/>
    <w:rsid w:val="00D16567"/>
    <w:rsid w:val="00D52A19"/>
    <w:rsid w:val="00E624FA"/>
    <w:rsid w:val="00E715F6"/>
    <w:rsid w:val="00E75F88"/>
    <w:rsid w:val="00EB7B80"/>
    <w:rsid w:val="00EC7A32"/>
    <w:rsid w:val="00EE444E"/>
    <w:rsid w:val="00F01AFF"/>
    <w:rsid w:val="00F14F7B"/>
    <w:rsid w:val="00FA0CC3"/>
    <w:rsid w:val="00FD7B4F"/>
    <w:rsid w:val="00FE2B44"/>
    <w:rsid w:val="272875BE"/>
    <w:rsid w:val="5201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F36F8"/>
  <w15:docId w15:val="{6AC7FBCD-2A92-4091-91BD-63CE3E56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jc w:val="both"/>
    </w:pPr>
    <w:rPr>
      <w:rFonts w:ascii="Times New Roman" w:hAnsi="Times New Roman"/>
      <w:color w:val="262626" w:themeColor="text1" w:themeTint="D9"/>
      <w:kern w:val="2"/>
      <w:sz w:val="22"/>
      <w:szCs w:val="24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pPr>
      <w:keepNext/>
      <w:keepLines/>
      <w:spacing w:before="360" w:after="80"/>
      <w:ind w:left="708"/>
      <w:jc w:val="center"/>
      <w:outlineLvl w:val="0"/>
    </w:pPr>
    <w:rPr>
      <w:rFonts w:eastAsiaTheme="majorEastAsia" w:cstheme="majorBidi"/>
      <w:b/>
      <w:sz w:val="24"/>
      <w:szCs w:val="40"/>
      <w:lang w:val="af-ZA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b/>
      <w:bCs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156082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156082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es-EC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moderna">
    <w:name w:val="Table Contemporary"/>
    <w:basedOn w:val="Tablanormal"/>
    <w:uiPriority w:val="99"/>
    <w:semiHidden/>
    <w:unhideWhenUsed/>
    <w:pPr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Times New Roman" w:eastAsiaTheme="majorEastAsia" w:hAnsi="Times New Roman" w:cstheme="majorBidi"/>
      <w:b/>
      <w:szCs w:val="40"/>
      <w:lang w:val="af-ZA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Times New Roman" w:eastAsiaTheme="majorEastAsia" w:hAnsi="Times New Roman" w:cstheme="majorBidi"/>
      <w:b/>
      <w:bCs/>
      <w:color w:val="262626" w:themeColor="text1" w:themeTint="D9"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9"/>
    <w:qFormat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eastAsiaTheme="majorEastAsia" w:cstheme="majorBidi"/>
      <w:i/>
      <w:iCs/>
      <w:color w:val="262626" w:themeColor="text1" w:themeTint="D9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eastAsiaTheme="majorEastAsia" w:cstheme="majorBidi"/>
      <w:color w:val="262626" w:themeColor="text1" w:themeTint="D9"/>
      <w:sz w:val="2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rFonts w:ascii="Calibri" w:hAnsi="Calibri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56082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="Calibri" w:hAnsi="Calibri"/>
      <w:i/>
      <w:iCs/>
      <w:color w:val="0F4761" w:themeColor="accent1" w:themeShade="BF"/>
      <w:sz w:val="22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Estilo1">
    <w:name w:val="Estilo1"/>
    <w:basedOn w:val="Tablamoderna"/>
    <w:uiPriority w:val="99"/>
    <w:rPr>
      <w:rFonts w:ascii="Times New Roman" w:hAnsi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5F5F5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citation-778">
    <w:name w:val="citation-778"/>
    <w:basedOn w:val="Fuentedeprrafopredeter"/>
  </w:style>
  <w:style w:type="character" w:customStyle="1" w:styleId="EncabezadoCar">
    <w:name w:val="Encabezado Car"/>
    <w:basedOn w:val="Fuentedeprrafopredeter"/>
    <w:link w:val="Encabezado"/>
    <w:uiPriority w:val="99"/>
    <w:rPr>
      <w:rFonts w:ascii="Times New Roman" w:hAnsi="Times New Roman"/>
      <w:color w:val="262626" w:themeColor="text1" w:themeTint="D9"/>
      <w:sz w:val="22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Times New Roman" w:hAnsi="Times New Roman"/>
      <w:color w:val="262626" w:themeColor="text1" w:themeTint="D9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B94FA-A0C2-4D4E-8B40-8B70C9B89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</Pages>
  <Words>500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VITERI</dc:creator>
  <cp:lastModifiedBy>KEVIN VITERI</cp:lastModifiedBy>
  <cp:revision>76</cp:revision>
  <cp:lastPrinted>2026-01-30T01:12:00Z</cp:lastPrinted>
  <dcterms:created xsi:type="dcterms:W3CDTF">2026-01-29T10:28:00Z</dcterms:created>
  <dcterms:modified xsi:type="dcterms:W3CDTF">2026-01-30T01:12:00Z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D3BDE925786840368903B56F63BDA7F6_13</vt:lpwstr>
  </property>
</Properties>
</file>