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494F" w14:textId="77777777" w:rsidR="00887869" w:rsidRDefault="00887869" w:rsidP="00887869">
      <w:pPr>
        <w:rPr>
          <w:b/>
          <w:bCs/>
        </w:rPr>
      </w:pPr>
      <w:r>
        <w:rPr>
          <w:b/>
          <w:bCs/>
        </w:rPr>
        <w:t>CSOCSÓ játékszabályok</w:t>
      </w:r>
    </w:p>
    <w:p w14:paraId="4A620F1A" w14:textId="77777777" w:rsidR="00887869" w:rsidRDefault="00887869" w:rsidP="00887869">
      <w:r>
        <w:rPr>
          <w:b/>
          <w:bCs/>
        </w:rPr>
        <w:t>Csapat:</w:t>
      </w:r>
      <w:r>
        <w:t xml:space="preserve"> 2 fős csapatok játszanak egymás ellen.</w:t>
      </w:r>
    </w:p>
    <w:p w14:paraId="2EEA2326" w14:textId="77777777" w:rsidR="00887869" w:rsidRDefault="00887869" w:rsidP="00887869">
      <w:r>
        <w:rPr>
          <w:b/>
          <w:bCs/>
        </w:rPr>
        <w:t>A mérkőzés hivatalos személye:</w:t>
      </w:r>
      <w:r>
        <w:t xml:space="preserve"> 1 </w:t>
      </w:r>
      <w:proofErr w:type="spellStart"/>
      <w:r>
        <w:t>fő</w:t>
      </w:r>
      <w:proofErr w:type="spellEnd"/>
      <w:r>
        <w:t xml:space="preserve"> játékvezető</w:t>
      </w:r>
    </w:p>
    <w:p w14:paraId="67534650" w14:textId="77777777" w:rsidR="00887869" w:rsidRDefault="00887869" w:rsidP="00887869">
      <w:pPr>
        <w:rPr>
          <w:b/>
          <w:bCs/>
        </w:rPr>
      </w:pPr>
      <w:r>
        <w:rPr>
          <w:b/>
          <w:bCs/>
        </w:rPr>
        <w:t>A játék szabályai:</w:t>
      </w:r>
    </w:p>
    <w:p w14:paraId="00BD5F48" w14:textId="77777777" w:rsidR="00887869" w:rsidRDefault="00887869" w:rsidP="00887869">
      <w:r>
        <w:t>A mérkőzés érmedobással kezdődik. Az érmedobás győztese választhat oldalt. A játék akkor kezdődik, ha mindkét fél jelezte, hogy készen áll a játékra. A kezdés a középpályánál kezdődik, a labdát a kezdőkörön belül kell elhelyezni. Amint a labda elhagyja a játékterületet a játék a középpályás kezdéssel folytatódik. Egy labda, mely a kapuban volt, az gólnak számít, akkor is, ha esetleg kipattan utána. A rudak pörgetése tilos.</w:t>
      </w:r>
    </w:p>
    <w:p w14:paraId="7BFCF610" w14:textId="77777777" w:rsidR="00887869" w:rsidRDefault="00887869" w:rsidP="00887869">
      <w:pPr>
        <w:rPr>
          <w:b/>
          <w:bCs/>
        </w:rPr>
      </w:pPr>
      <w:r>
        <w:rPr>
          <w:b/>
          <w:bCs/>
        </w:rPr>
        <w:t>Lebonyolítás:</w:t>
      </w:r>
    </w:p>
    <w:p w14:paraId="3278CAC3" w14:textId="77777777" w:rsidR="00887869" w:rsidRDefault="00887869" w:rsidP="00887869">
      <w:r>
        <w:t>A játék 10 gólig vagy 10 percig tart (amelyik előbb bekövetkezik), döntetlen esetén utolsó gólig. Minden fordulóból a győztes csapat jut tovább a versenyben. (Egyenes kiesés)</w:t>
      </w:r>
    </w:p>
    <w:p w14:paraId="5F075F19" w14:textId="77777777" w:rsidR="00887869" w:rsidRDefault="00887869" w:rsidP="00887869">
      <w:r>
        <w:t>A versenyen mindenki saját felelősségére vesz részt.</w:t>
      </w:r>
    </w:p>
    <w:p w14:paraId="38D82E21" w14:textId="77777777" w:rsidR="00887869" w:rsidRDefault="00887869" w:rsidP="00887869">
      <w:r>
        <w:t>Amelyik csapat nincs jelen (1 perces türelmi idő) vagy hiányos létszámban jelent meg, az elvesztette a mérkőzést.</w:t>
      </w:r>
    </w:p>
    <w:p w14:paraId="220A389B" w14:textId="7D2A487A" w:rsidR="00887869" w:rsidRDefault="00887869" w:rsidP="00FB3566">
      <w:pPr>
        <w:rPr>
          <w:lang w:val="hu-HU"/>
        </w:rPr>
      </w:pPr>
    </w:p>
    <w:p w14:paraId="5A2B7D09" w14:textId="77777777" w:rsidR="00887869" w:rsidRPr="00751DDA" w:rsidRDefault="00887869" w:rsidP="00FB3566">
      <w:pPr>
        <w:rPr>
          <w:lang w:val="hu-HU"/>
        </w:rPr>
      </w:pPr>
      <w:bookmarkStart w:id="0" w:name="_GoBack"/>
      <w:bookmarkEnd w:id="0"/>
    </w:p>
    <w:sectPr w:rsidR="00887869" w:rsidRPr="00751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A"/>
    <w:rsid w:val="001207B0"/>
    <w:rsid w:val="00194E3B"/>
    <w:rsid w:val="00751DDA"/>
    <w:rsid w:val="00887869"/>
    <w:rsid w:val="00A947CF"/>
    <w:rsid w:val="00BC3F3F"/>
    <w:rsid w:val="00D73914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CC6"/>
  <w15:chartTrackingRefBased/>
  <w15:docId w15:val="{3252C3B5-500C-4E77-86A1-93048FF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805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Árpád Szaniszló</cp:lastModifiedBy>
  <cp:revision>7</cp:revision>
  <dcterms:created xsi:type="dcterms:W3CDTF">2024-07-30T11:57:00Z</dcterms:created>
  <dcterms:modified xsi:type="dcterms:W3CDTF">2024-07-31T09:53:00Z</dcterms:modified>
</cp:coreProperties>
</file>