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EE65" w14:textId="275427B8" w:rsidR="006A7A0A" w:rsidRPr="00C7572F" w:rsidRDefault="004D54EB" w:rsidP="006A7A0A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Felsőoktatás-pedagógiai kihívások </w:t>
      </w:r>
      <w:r w:rsidR="006A7A0A" w:rsidRPr="00C7572F">
        <w:rPr>
          <w:b/>
          <w:bCs/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 xml:space="preserve">tömegesedő </w:t>
      </w:r>
      <w:r w:rsidR="006A7A0A" w:rsidRPr="00C7572F">
        <w:rPr>
          <w:b/>
          <w:bCs/>
          <w:sz w:val="32"/>
          <w:szCs w:val="32"/>
        </w:rPr>
        <w:t xml:space="preserve">felsőoktatás </w:t>
      </w:r>
      <w:r>
        <w:rPr>
          <w:b/>
          <w:bCs/>
          <w:sz w:val="32"/>
          <w:szCs w:val="32"/>
        </w:rPr>
        <w:t>korában</w:t>
      </w:r>
    </w:p>
    <w:p w14:paraId="78897D14" w14:textId="77777777" w:rsidR="006A7A0A" w:rsidRDefault="006A7A0A" w:rsidP="006A7A0A">
      <w:pPr>
        <w:spacing w:line="276" w:lineRule="auto"/>
        <w:jc w:val="both"/>
      </w:pPr>
    </w:p>
    <w:p w14:paraId="54FC105C" w14:textId="77777777" w:rsidR="0007196A" w:rsidRPr="00390DF6" w:rsidRDefault="0007196A" w:rsidP="0007196A">
      <w:pPr>
        <w:spacing w:line="276" w:lineRule="auto"/>
        <w:jc w:val="both"/>
      </w:pPr>
      <w:r>
        <w:t xml:space="preserve">A felsőoktatás társadalmi szerepe jelentősen </w:t>
      </w:r>
      <w:proofErr w:type="spellStart"/>
      <w:r>
        <w:t>átpozicionálódott</w:t>
      </w:r>
      <w:proofErr w:type="spellEnd"/>
      <w:r>
        <w:t xml:space="preserve"> az utóbbi évtizedekben, és ezt a társadalmi változást nem mindenben követte az egyetemek öndefiníciója és működési modellje. Bár a diplomások aránya 2020-ra a 25 és 65 év közötti populáció körében Európában 37%-</w:t>
      </w:r>
      <w:proofErr w:type="spellStart"/>
      <w:r>
        <w:t>ra</w:t>
      </w:r>
      <w:proofErr w:type="spellEnd"/>
      <w:r>
        <w:t>, Magyarországon 23%-</w:t>
      </w:r>
      <w:proofErr w:type="spellStart"/>
      <w:r>
        <w:t>ra</w:t>
      </w:r>
      <w:proofErr w:type="spellEnd"/>
      <w:r>
        <w:t xml:space="preserve"> nőtt, sokak fejében az egyetemi oktatás továbbra is a társadalom szűk szellemi élcsapatát érintő elitképzésként él. A tapasztalatok és a statisztikai adatok mást mutatnak. A felsőoktatásban bekövetkezett expanzió kikényszeríti a befogadó szemlélet változását is az egyetemeken </w:t>
      </w:r>
    </w:p>
    <w:p w14:paraId="0AF2614A" w14:textId="77777777" w:rsidR="007E7C4B" w:rsidRDefault="007E7C4B" w:rsidP="007E7C4B">
      <w:pPr>
        <w:spacing w:line="276" w:lineRule="auto"/>
        <w:jc w:val="both"/>
      </w:pPr>
      <w:r w:rsidRPr="00E77DAC">
        <w:t xml:space="preserve">A segítő pedagógiáról, az iskolai </w:t>
      </w:r>
      <w:proofErr w:type="spellStart"/>
      <w:r w:rsidRPr="00E77DAC">
        <w:t>méltányosságról</w:t>
      </w:r>
      <w:proofErr w:type="spellEnd"/>
      <w:r>
        <w:t xml:space="preserve"> jellemzően az általános és középiskolai oktatás vagy az óvodai nevelés jut </w:t>
      </w:r>
      <w:proofErr w:type="spellStart"/>
      <w:r>
        <w:t>eszünkbe</w:t>
      </w:r>
      <w:proofErr w:type="spellEnd"/>
      <w:r>
        <w:t xml:space="preserve">, noha a tömegesedő felsőoktatásban ugyanígy egyre erősödő kihívás a bármilyen szempontból atipikus hallgatók megjelenése. </w:t>
      </w:r>
    </w:p>
    <w:p w14:paraId="0AE3494D" w14:textId="36BA8BA2" w:rsidR="007E7C4B" w:rsidRDefault="007E7C4B" w:rsidP="007E7C4B">
      <w:r>
        <w:t xml:space="preserve">Az érintett </w:t>
      </w:r>
      <w:r w:rsidRPr="006A7A0A">
        <w:t>hallgatók személyre szabott képzésének komoly korlátja lehet, hogy – noha kutatások alapján a felsőoktatás-pedagógiai gyakorlatra az oktatók pedagógiai felkészültsége gyakorolja a legnagyobb hatást</w:t>
      </w:r>
      <w:r>
        <w:t xml:space="preserve"> (</w:t>
      </w:r>
      <w:proofErr w:type="spellStart"/>
      <w:r>
        <w:t>Korpics&amp;Bajnok</w:t>
      </w:r>
      <w:proofErr w:type="spellEnd"/>
      <w:r w:rsidR="001D6A81">
        <w:t>,</w:t>
      </w:r>
      <w:r>
        <w:t xml:space="preserve"> 2023)</w:t>
      </w:r>
      <w:r w:rsidRPr="006A7A0A">
        <w:t xml:space="preserve"> – az egyetemi oktatók közel felének nincs pedagógiai felkészültsége. Számukra az oktatás sokszor csak egyirányú ismeretátadást jelent, motivációs struktúrájuk eltér a felsőoktatás 21. századi elvárásaitól.</w:t>
      </w:r>
      <w:r>
        <w:t xml:space="preserve"> (</w:t>
      </w:r>
      <w:proofErr w:type="spellStart"/>
      <w:r>
        <w:t>Jármai&amp;Végh</w:t>
      </w:r>
      <w:proofErr w:type="spellEnd"/>
      <w:r w:rsidR="001D6A81">
        <w:t>,</w:t>
      </w:r>
      <w:r>
        <w:t xml:space="preserve"> 2017)</w:t>
      </w:r>
      <w:r w:rsidRPr="006A7A0A">
        <w:t xml:space="preserve"> </w:t>
      </w:r>
    </w:p>
    <w:p w14:paraId="5818F002" w14:textId="3FE04144" w:rsidR="007E7C4B" w:rsidRDefault="007E7C4B" w:rsidP="007E7C4B">
      <w:pPr>
        <w:spacing w:line="276" w:lineRule="auto"/>
        <w:jc w:val="both"/>
      </w:pPr>
      <w:r w:rsidRPr="00390DF6">
        <w:t>A 21. században a felsőoktatásban a kutatás, tanítás, szolgáltatás hármasából egyre inkább a tanítás-tanulás funkció, a felsőoktatás-pedagógia (</w:t>
      </w:r>
      <w:proofErr w:type="spellStart"/>
      <w:r w:rsidRPr="00390DF6">
        <w:t>Scholarship</w:t>
      </w:r>
      <w:proofErr w:type="spellEnd"/>
      <w:r w:rsidRPr="00390DF6">
        <w:t xml:space="preserve"> of </w:t>
      </w:r>
      <w:proofErr w:type="spellStart"/>
      <w:r w:rsidRPr="00390DF6">
        <w:t>Teaching</w:t>
      </w:r>
      <w:proofErr w:type="spellEnd"/>
      <w:r w:rsidRPr="00390DF6">
        <w:t xml:space="preserve"> and </w:t>
      </w:r>
      <w:proofErr w:type="spellStart"/>
      <w:r w:rsidRPr="00390DF6">
        <w:t>Learning</w:t>
      </w:r>
      <w:proofErr w:type="spellEnd"/>
      <w:r w:rsidRPr="00390DF6">
        <w:t xml:space="preserve">) felé terelődik a hangsúly. </w:t>
      </w:r>
      <w:r w:rsidRPr="001D6A81">
        <w:rPr>
          <w:rFonts w:cstheme="minorHAnsi"/>
        </w:rPr>
        <w:t>(Halász, 2021</w:t>
      </w:r>
      <w:r w:rsidRPr="001D6A81">
        <w:rPr>
          <w:smallCaps/>
        </w:rPr>
        <w:t>)</w:t>
      </w:r>
      <w:r w:rsidRPr="00390DF6">
        <w:t xml:space="preserve"> A felsőoktatási minőségmenedzsmentben sokáig az – elsősorban kutatási eredményességen alapuló – nemzetközi egyetemi rangsorok voltak a meghatározók, ám a Bologna-folyamat következtében a minőségbiztosításban is meghatározó szerepet kapott a tanítás-tanulás eredményessége, vagyis a felsőoktatás-pedagógiai eredményesség. </w:t>
      </w:r>
    </w:p>
    <w:p w14:paraId="4C551DA4" w14:textId="5F4762F0" w:rsidR="00BF18FA" w:rsidRDefault="006A7A0A" w:rsidP="00BF18FA">
      <w:pPr>
        <w:spacing w:line="276" w:lineRule="auto"/>
        <w:jc w:val="both"/>
        <w:rPr>
          <w:rFonts w:eastAsia="Aptos"/>
        </w:rPr>
      </w:pPr>
      <w:r>
        <w:t>Előadásunk egy</w:t>
      </w:r>
      <w:r w:rsidR="00581A8C">
        <w:t xml:space="preserve"> 2025-ben megjelent </w:t>
      </w:r>
      <w:r>
        <w:t xml:space="preserve">felsőoktatás-pedagógiai kézikönyv megállapításai mentén veti fel </w:t>
      </w:r>
      <w:r w:rsidR="00B44238">
        <w:t>felsőoktatás-pedagógiával</w:t>
      </w:r>
      <w:r>
        <w:t xml:space="preserve"> kapcsolatos legfontosabb kihívásokat és keresi a lehetséges válaszokat.</w:t>
      </w:r>
      <w:r w:rsidR="00BF18FA">
        <w:t xml:space="preserve"> Előadásunkban a</w:t>
      </w:r>
      <w:r w:rsidR="00BF18FA" w:rsidRPr="00390DF6">
        <w:rPr>
          <w:rFonts w:eastAsia="Aptos"/>
        </w:rPr>
        <w:t xml:space="preserve"> kockázatként vagy problémaforrásként említett jelenségek magukban hordozzák a változás esélyét is. Rámutatnak, hogy a különféle pszichés és tanulási nehézségek értő, differenciált kezelése nagy potenciált jelent a sikeres hallgatói életutak menedzselésében, a merev értékelési rendszerének rugalmasabbá tételével a kudarc a tanulás forrásává lehet, a változatos, </w:t>
      </w:r>
      <w:proofErr w:type="spellStart"/>
      <w:r w:rsidR="00BF18FA" w:rsidRPr="00390DF6">
        <w:rPr>
          <w:rFonts w:eastAsia="Aptos"/>
        </w:rPr>
        <w:t>unortodox</w:t>
      </w:r>
      <w:proofErr w:type="spellEnd"/>
      <w:r w:rsidR="00BF18FA" w:rsidRPr="00390DF6">
        <w:rPr>
          <w:rFonts w:eastAsia="Aptos"/>
        </w:rPr>
        <w:t xml:space="preserve"> tanulásszervezési módok pedig lehetőséget adhatnak olyan rétegeknek a felsőoktatásba való bekapcsol(ódás)ára, akik egyéni élethelyzetük miatt ma nem tudnák a siker esélyével megkezdeni egyetemi tanulmányaikat. </w:t>
      </w:r>
    </w:p>
    <w:p w14:paraId="15461DAE" w14:textId="63C4C9BE" w:rsidR="0007196A" w:rsidRPr="0007196A" w:rsidRDefault="0007196A" w:rsidP="00BF18FA">
      <w:pPr>
        <w:spacing w:line="276" w:lineRule="auto"/>
        <w:jc w:val="both"/>
        <w:rPr>
          <w:rFonts w:eastAsia="Aptos"/>
        </w:rPr>
      </w:pPr>
      <w:r>
        <w:rPr>
          <w:rFonts w:eastAsia="Aptos"/>
        </w:rPr>
        <w:lastRenderedPageBreak/>
        <w:t xml:space="preserve">Az előadást a konferencia </w:t>
      </w:r>
      <w:r w:rsidRPr="0007196A">
        <w:rPr>
          <w:rFonts w:eastAsia="Aptos"/>
          <w:b/>
          <w:bCs/>
        </w:rPr>
        <w:t>Az oktatói szerepek és pedagógiai modellek változása</w:t>
      </w:r>
      <w:r>
        <w:rPr>
          <w:rFonts w:eastAsia="Aptos"/>
          <w:b/>
          <w:bCs/>
        </w:rPr>
        <w:t xml:space="preserve"> </w:t>
      </w:r>
      <w:r w:rsidRPr="0007196A">
        <w:rPr>
          <w:rFonts w:eastAsia="Aptos"/>
        </w:rPr>
        <w:t xml:space="preserve">szekciójába szánom. </w:t>
      </w:r>
    </w:p>
    <w:p w14:paraId="4B97C37E" w14:textId="785EF118" w:rsidR="006A7A0A" w:rsidRDefault="006A7A0A" w:rsidP="006A7A0A"/>
    <w:p w14:paraId="7896C079" w14:textId="099101E5" w:rsidR="00C7572F" w:rsidRDefault="00C7572F" w:rsidP="006A7A0A">
      <w:r w:rsidRPr="00C7572F">
        <w:rPr>
          <w:b/>
          <w:bCs/>
        </w:rPr>
        <w:t>Kulcsszavak:</w:t>
      </w:r>
      <w:r>
        <w:t xml:space="preserve"> felsőoktatás-pedagógia; atipikus hallgatók; hallgatóközpontú felsőoktatás</w:t>
      </w:r>
    </w:p>
    <w:p w14:paraId="5B466A5F" w14:textId="77777777" w:rsidR="00B22D1F" w:rsidRPr="00B22D1F" w:rsidRDefault="00B22D1F" w:rsidP="00B22D1F">
      <w:pPr>
        <w:spacing w:line="276" w:lineRule="auto"/>
        <w:jc w:val="both"/>
        <w:rPr>
          <w:rFonts w:cs="Times New Roman"/>
          <w:b/>
          <w:bCs/>
        </w:rPr>
      </w:pPr>
      <w:r w:rsidRPr="00B22D1F">
        <w:rPr>
          <w:rFonts w:cs="Times New Roman"/>
          <w:b/>
          <w:bCs/>
        </w:rPr>
        <w:t>Bibliográfia:</w:t>
      </w:r>
    </w:p>
    <w:p w14:paraId="2A4D4FD8" w14:textId="03180007" w:rsidR="00A50C04" w:rsidRDefault="00A50C04" w:rsidP="00C35E49">
      <w:pPr>
        <w:spacing w:line="276" w:lineRule="auto"/>
        <w:rPr>
          <w:rFonts w:cs="Times New Roman"/>
          <w:smallCaps/>
        </w:rPr>
      </w:pPr>
      <w:r w:rsidRPr="00A50C04">
        <w:rPr>
          <w:rFonts w:cs="Times New Roman"/>
          <w:smallCaps/>
        </w:rPr>
        <w:t xml:space="preserve">HALÁSZ G. (2021): </w:t>
      </w:r>
      <w:r w:rsidRPr="00C35E49">
        <w:rPr>
          <w:rFonts w:cs="Times New Roman"/>
        </w:rPr>
        <w:t xml:space="preserve">A tanulás és tanítás minősége és eredményessége az egyetemeken. </w:t>
      </w:r>
      <w:r w:rsidRPr="00C35E49">
        <w:rPr>
          <w:rFonts w:cs="Times New Roman"/>
          <w:i/>
          <w:iCs/>
        </w:rPr>
        <w:t xml:space="preserve">Magyar Tudomány </w:t>
      </w:r>
      <w:r w:rsidRPr="00C35E49">
        <w:rPr>
          <w:rFonts w:cs="Times New Roman"/>
          <w:i/>
          <w:iCs/>
          <w:smallCaps/>
        </w:rPr>
        <w:t>182</w:t>
      </w:r>
      <w:r w:rsidRPr="00A50C04">
        <w:rPr>
          <w:rFonts w:cs="Times New Roman"/>
          <w:smallCaps/>
        </w:rPr>
        <w:t xml:space="preserve">(11) 1477–1487. </w:t>
      </w:r>
      <w:hyperlink r:id="rId10" w:history="1">
        <w:r w:rsidR="00660B39" w:rsidRPr="0093733B">
          <w:rPr>
            <w:rStyle w:val="Hiperhivatkozs"/>
            <w:rFonts w:cs="Times New Roman"/>
          </w:rPr>
          <w:t>https://doi.org/</w:t>
        </w:r>
        <w:r w:rsidR="00660B39" w:rsidRPr="0093733B">
          <w:rPr>
            <w:rStyle w:val="Hiperhivatkozs"/>
            <w:rFonts w:cs="Times New Roman"/>
            <w:smallCaps/>
          </w:rPr>
          <w:t>10.1556/2065.182.2021.11.7</w:t>
        </w:r>
      </w:hyperlink>
      <w:r w:rsidR="00660B39">
        <w:rPr>
          <w:rFonts w:cs="Times New Roman"/>
          <w:smallCaps/>
        </w:rPr>
        <w:t xml:space="preserve">  </w:t>
      </w:r>
      <w:r w:rsidR="00C35E49">
        <w:rPr>
          <w:rFonts w:cs="Times New Roman"/>
          <w:smallCaps/>
        </w:rPr>
        <w:t xml:space="preserve"> </w:t>
      </w:r>
    </w:p>
    <w:p w14:paraId="7DF68208" w14:textId="07B79EA2" w:rsidR="00B22D1F" w:rsidRPr="00B22D1F" w:rsidRDefault="00B22D1F" w:rsidP="00C35E49">
      <w:pPr>
        <w:spacing w:line="276" w:lineRule="auto"/>
        <w:rPr>
          <w:rFonts w:cs="Times New Roman"/>
        </w:rPr>
      </w:pPr>
      <w:r w:rsidRPr="00B22D1F">
        <w:rPr>
          <w:rFonts w:cs="Times New Roman"/>
          <w:smallCaps/>
        </w:rPr>
        <w:t xml:space="preserve">HRABÉCZY </w:t>
      </w:r>
      <w:r w:rsidRPr="00B22D1F">
        <w:rPr>
          <w:rFonts w:cs="Times New Roman"/>
        </w:rPr>
        <w:t>A</w:t>
      </w:r>
      <w:r>
        <w:rPr>
          <w:rFonts w:cs="Times New Roman"/>
        </w:rPr>
        <w:t>.</w:t>
      </w:r>
      <w:r w:rsidR="00A45D19">
        <w:rPr>
          <w:rFonts w:cs="Times New Roman"/>
        </w:rPr>
        <w:t xml:space="preserve"> </w:t>
      </w:r>
      <w:r>
        <w:rPr>
          <w:rFonts w:cs="Times New Roman"/>
        </w:rPr>
        <w:t>&amp;</w:t>
      </w:r>
      <w:r w:rsidR="00A45D19">
        <w:rPr>
          <w:rFonts w:cs="Times New Roman"/>
        </w:rPr>
        <w:t xml:space="preserve"> </w:t>
      </w:r>
      <w:r w:rsidRPr="00B22D1F">
        <w:rPr>
          <w:rFonts w:cs="Times New Roman"/>
          <w:smallCaps/>
        </w:rPr>
        <w:t xml:space="preserve">PUSZTAI </w:t>
      </w:r>
      <w:r w:rsidRPr="00B22D1F">
        <w:rPr>
          <w:rFonts w:cs="Times New Roman"/>
        </w:rPr>
        <w:t>G</w:t>
      </w:r>
      <w:r w:rsidR="00A45D19">
        <w:rPr>
          <w:rFonts w:cs="Times New Roman"/>
        </w:rPr>
        <w:t>.</w:t>
      </w:r>
      <w:r w:rsidRPr="00B22D1F">
        <w:rPr>
          <w:rFonts w:cs="Times New Roman"/>
        </w:rPr>
        <w:t>: Fogyatékossággal élő hallgatók tanulmányi pályafutása a felsőoktatási adminisztratív adatok tükrében. </w:t>
      </w:r>
      <w:r w:rsidRPr="00B22D1F">
        <w:rPr>
          <w:rFonts w:cs="Times New Roman"/>
          <w:i/>
          <w:iCs/>
        </w:rPr>
        <w:t>Iskolakultúra</w:t>
      </w:r>
      <w:r w:rsidRPr="00B22D1F">
        <w:rPr>
          <w:rFonts w:cs="Times New Roman"/>
        </w:rPr>
        <w:t>, </w:t>
      </w:r>
      <w:r w:rsidRPr="00B22D1F">
        <w:rPr>
          <w:rFonts w:cs="Times New Roman"/>
          <w:i/>
          <w:iCs/>
        </w:rPr>
        <w:t>30</w:t>
      </w:r>
      <w:r w:rsidRPr="00B22D1F">
        <w:rPr>
          <w:rFonts w:cs="Times New Roman"/>
        </w:rPr>
        <w:t xml:space="preserve">(11), 2020, 3–23. </w:t>
      </w:r>
      <w:hyperlink r:id="rId11" w:history="1">
        <w:r w:rsidRPr="00B22D1F">
          <w:rPr>
            <w:rStyle w:val="Hiperhivatkozs"/>
            <w:rFonts w:cs="Times New Roman"/>
          </w:rPr>
          <w:t>https://doi.org/10.14232/ISKKULT.2020.11.3</w:t>
        </w:r>
      </w:hyperlink>
      <w:r w:rsidRPr="00B22D1F">
        <w:rPr>
          <w:rFonts w:cs="Times New Roman"/>
        </w:rPr>
        <w:t xml:space="preserve"> </w:t>
      </w:r>
    </w:p>
    <w:p w14:paraId="6AE4B8DA" w14:textId="389F5467" w:rsidR="00B22D1F" w:rsidRPr="001D6A81" w:rsidRDefault="00B22D1F" w:rsidP="00C35E49">
      <w:pPr>
        <w:spacing w:line="276" w:lineRule="auto"/>
        <w:rPr>
          <w:rFonts w:cs="Times New Roman"/>
          <w:sz w:val="22"/>
          <w:szCs w:val="22"/>
        </w:rPr>
      </w:pPr>
      <w:r w:rsidRPr="00B22D1F">
        <w:rPr>
          <w:rFonts w:cs="Times New Roman"/>
          <w:smallCaps/>
        </w:rPr>
        <w:t xml:space="preserve">JÁRMAI </w:t>
      </w:r>
      <w:r w:rsidRPr="00B22D1F">
        <w:rPr>
          <w:rFonts w:cs="Times New Roman"/>
        </w:rPr>
        <w:t>E</w:t>
      </w:r>
      <w:r w:rsidR="00A45D19">
        <w:rPr>
          <w:rFonts w:cs="Times New Roman"/>
        </w:rPr>
        <w:t xml:space="preserve">. &amp; </w:t>
      </w:r>
      <w:r w:rsidRPr="00B22D1F">
        <w:rPr>
          <w:rFonts w:cs="Times New Roman"/>
          <w:sz w:val="22"/>
          <w:szCs w:val="22"/>
        </w:rPr>
        <w:t>V</w:t>
      </w:r>
      <w:r w:rsidRPr="00B22D1F">
        <w:rPr>
          <w:rFonts w:cs="Times New Roman"/>
          <w:smallCaps/>
        </w:rPr>
        <w:t xml:space="preserve">ÉGH </w:t>
      </w:r>
      <w:r w:rsidRPr="00B22D1F">
        <w:rPr>
          <w:rFonts w:cs="Times New Roman"/>
        </w:rPr>
        <w:t>Á</w:t>
      </w:r>
      <w:r w:rsidR="00A45D19">
        <w:rPr>
          <w:rFonts w:cs="Times New Roman"/>
        </w:rPr>
        <w:t>.</w:t>
      </w:r>
      <w:r w:rsidR="00C35E49">
        <w:rPr>
          <w:rFonts w:cs="Times New Roman"/>
        </w:rPr>
        <w:t xml:space="preserve"> (2017)</w:t>
      </w:r>
      <w:r w:rsidRPr="00B22D1F">
        <w:rPr>
          <w:rFonts w:cs="Times New Roman"/>
        </w:rPr>
        <w:t xml:space="preserve">: Motivációról a felsőoktatásban – az oktatói és tanulási motiváció kapcsolata, In: </w:t>
      </w:r>
      <w:proofErr w:type="spellStart"/>
      <w:r w:rsidRPr="00B22D1F">
        <w:rPr>
          <w:rFonts w:cs="Times New Roman"/>
        </w:rPr>
        <w:t>Bukor</w:t>
      </w:r>
      <w:proofErr w:type="spellEnd"/>
      <w:r w:rsidRPr="00B22D1F">
        <w:rPr>
          <w:rFonts w:cs="Times New Roman"/>
        </w:rPr>
        <w:t xml:space="preserve">, J., </w:t>
      </w:r>
      <w:proofErr w:type="spellStart"/>
      <w:r w:rsidRPr="00B22D1F">
        <w:rPr>
          <w:rFonts w:cs="Times New Roman"/>
        </w:rPr>
        <w:t>Strédl</w:t>
      </w:r>
      <w:proofErr w:type="spellEnd"/>
      <w:r w:rsidRPr="00B22D1F">
        <w:rPr>
          <w:rFonts w:cs="Times New Roman"/>
        </w:rPr>
        <w:t xml:space="preserve">, T., Nagy, M., Vass, V., </w:t>
      </w:r>
      <w:proofErr w:type="spellStart"/>
      <w:r w:rsidRPr="00B22D1F">
        <w:rPr>
          <w:rFonts w:cs="Times New Roman"/>
        </w:rPr>
        <w:t>Orsovics</w:t>
      </w:r>
      <w:proofErr w:type="spellEnd"/>
      <w:r w:rsidRPr="00B22D1F">
        <w:rPr>
          <w:rFonts w:cs="Times New Roman"/>
        </w:rPr>
        <w:t xml:space="preserve">, Y. &amp; </w:t>
      </w:r>
      <w:proofErr w:type="spellStart"/>
      <w:r w:rsidRPr="00B22D1F">
        <w:rPr>
          <w:rFonts w:cs="Times New Roman"/>
        </w:rPr>
        <w:t>Dobay</w:t>
      </w:r>
      <w:proofErr w:type="spellEnd"/>
      <w:r w:rsidRPr="00B22D1F">
        <w:rPr>
          <w:rFonts w:cs="Times New Roman"/>
        </w:rPr>
        <w:t xml:space="preserve">, B. (szerk.): </w:t>
      </w:r>
      <w:r w:rsidRPr="00B22D1F">
        <w:rPr>
          <w:rFonts w:cs="Times New Roman"/>
          <w:i/>
          <w:iCs/>
        </w:rPr>
        <w:t>A Selye János Egyetem 2017-es "Érték, minőség és versenyképesség - a 21. század kihívásai" Nemzetközi Tudományos Konferenciájának tanulmánykötete: Pedagógiai szekciók</w:t>
      </w:r>
      <w:r w:rsidRPr="00B22D1F">
        <w:rPr>
          <w:rFonts w:cs="Times New Roman"/>
        </w:rPr>
        <w:t xml:space="preserve">, </w:t>
      </w:r>
      <w:proofErr w:type="spellStart"/>
      <w:r w:rsidRPr="00B22D1F">
        <w:rPr>
          <w:rFonts w:cs="Times New Roman"/>
        </w:rPr>
        <w:t>Komarno</w:t>
      </w:r>
      <w:proofErr w:type="spellEnd"/>
      <w:r w:rsidRPr="00B22D1F">
        <w:rPr>
          <w:rFonts w:cs="Times New Roman"/>
        </w:rPr>
        <w:t xml:space="preserve">, Selye János Egyetem 63-83. </w:t>
      </w:r>
      <w:r w:rsidR="00F46F8C">
        <w:rPr>
          <w:rFonts w:cs="Times New Roman"/>
        </w:rPr>
        <w:t xml:space="preserve"> </w:t>
      </w:r>
      <w:hyperlink r:id="rId12" w:history="1">
        <w:r w:rsidR="00F46F8C" w:rsidRPr="001D6A81">
          <w:rPr>
            <w:rStyle w:val="Hiperhivatkozs"/>
            <w:rFonts w:cs="Times New Roman"/>
            <w:sz w:val="22"/>
            <w:szCs w:val="22"/>
          </w:rPr>
          <w:t>https://www.researchgate.net/publication/320011950_Motivaciorol_a_felsooktatasban_-_az_oktatoi_es_tanulasi_motivacio_kapcsolata_About_motivation_in_higher_education_-_Relationship_between_learning_and_teaching_motivation</w:t>
        </w:r>
      </w:hyperlink>
      <w:r w:rsidR="00F46F8C" w:rsidRPr="001D6A81">
        <w:rPr>
          <w:rFonts w:cs="Times New Roman"/>
          <w:sz w:val="22"/>
          <w:szCs w:val="22"/>
        </w:rPr>
        <w:t xml:space="preserve"> </w:t>
      </w:r>
    </w:p>
    <w:p w14:paraId="4ADAA580" w14:textId="3EC50531" w:rsidR="006269BA" w:rsidRDefault="00B22D1F" w:rsidP="00C35E49">
      <w:pPr>
        <w:spacing w:line="276" w:lineRule="auto"/>
      </w:pPr>
      <w:r w:rsidRPr="00B22D1F">
        <w:rPr>
          <w:rFonts w:cs="Times New Roman"/>
          <w:smallCaps/>
        </w:rPr>
        <w:t xml:space="preserve">KORPICS </w:t>
      </w:r>
      <w:r w:rsidRPr="00B22D1F">
        <w:rPr>
          <w:rFonts w:cs="Times New Roman"/>
        </w:rPr>
        <w:t>M</w:t>
      </w:r>
      <w:r w:rsidR="00A45D19">
        <w:rPr>
          <w:rFonts w:cs="Times New Roman"/>
        </w:rPr>
        <w:t>. K. &amp;</w:t>
      </w:r>
      <w:r w:rsidR="00AE6E81">
        <w:rPr>
          <w:rFonts w:cs="Times New Roman"/>
        </w:rPr>
        <w:t xml:space="preserve"> </w:t>
      </w:r>
      <w:r w:rsidRPr="00B22D1F">
        <w:rPr>
          <w:rFonts w:cs="Times New Roman"/>
          <w:smallCaps/>
        </w:rPr>
        <w:t xml:space="preserve">BAJNOK </w:t>
      </w:r>
      <w:r w:rsidRPr="00B22D1F">
        <w:rPr>
          <w:rFonts w:cs="Times New Roman"/>
        </w:rPr>
        <w:t>A</w:t>
      </w:r>
      <w:r w:rsidR="00AE6E81">
        <w:rPr>
          <w:rFonts w:cs="Times New Roman"/>
        </w:rPr>
        <w:t>.</w:t>
      </w:r>
      <w:r w:rsidR="00FB14BB">
        <w:rPr>
          <w:rFonts w:cs="Times New Roman"/>
        </w:rPr>
        <w:t xml:space="preserve"> (2023)</w:t>
      </w:r>
      <w:r w:rsidRPr="00B22D1F">
        <w:rPr>
          <w:rFonts w:cs="Times New Roman"/>
        </w:rPr>
        <w:t>: Változásmenedzsment a felsőoktatásban. Pedagógiai célú változások a Nemzeti Közszolgálati Egyetemen. </w:t>
      </w:r>
      <w:r w:rsidRPr="00B22D1F">
        <w:rPr>
          <w:rFonts w:cs="Times New Roman"/>
          <w:i/>
          <w:iCs/>
        </w:rPr>
        <w:t>Neveléstudomány | Oktatás – Kutatás – Innováció</w:t>
      </w:r>
      <w:r w:rsidRPr="00B22D1F">
        <w:rPr>
          <w:rFonts w:cs="Times New Roman"/>
        </w:rPr>
        <w:t>, </w:t>
      </w:r>
      <w:r w:rsidRPr="00B22D1F">
        <w:rPr>
          <w:rFonts w:cs="Times New Roman"/>
          <w:i/>
          <w:iCs/>
        </w:rPr>
        <w:t>11</w:t>
      </w:r>
      <w:r w:rsidRPr="00B22D1F">
        <w:rPr>
          <w:rFonts w:cs="Times New Roman"/>
        </w:rPr>
        <w:t xml:space="preserve">(2), 7–19. </w:t>
      </w:r>
      <w:hyperlink r:id="rId13" w:history="1">
        <w:r w:rsidRPr="00B22D1F">
          <w:rPr>
            <w:rStyle w:val="Hiperhivatkozs"/>
            <w:rFonts w:cs="Times New Roman"/>
          </w:rPr>
          <w:t>https://doi.org/10.21549/NTNY.41.2023.2.1</w:t>
        </w:r>
      </w:hyperlink>
    </w:p>
    <w:sectPr w:rsidR="00626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6C955" w14:textId="77777777" w:rsidR="00A83153" w:rsidRDefault="00A83153" w:rsidP="006A7A0A">
      <w:pPr>
        <w:spacing w:after="0" w:line="240" w:lineRule="auto"/>
      </w:pPr>
      <w:r>
        <w:separator/>
      </w:r>
    </w:p>
  </w:endnote>
  <w:endnote w:type="continuationSeparator" w:id="0">
    <w:p w14:paraId="462B5532" w14:textId="77777777" w:rsidR="00A83153" w:rsidRDefault="00A83153" w:rsidP="006A7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3D849" w14:textId="77777777" w:rsidR="00A83153" w:rsidRDefault="00A83153" w:rsidP="006A7A0A">
      <w:pPr>
        <w:spacing w:after="0" w:line="240" w:lineRule="auto"/>
      </w:pPr>
      <w:r>
        <w:separator/>
      </w:r>
    </w:p>
  </w:footnote>
  <w:footnote w:type="continuationSeparator" w:id="0">
    <w:p w14:paraId="4174E6E2" w14:textId="77777777" w:rsidR="00A83153" w:rsidRDefault="00A83153" w:rsidP="006A7A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C80"/>
    <w:multiLevelType w:val="multilevel"/>
    <w:tmpl w:val="7B7CA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21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0A"/>
    <w:rsid w:val="0007196A"/>
    <w:rsid w:val="000A3F80"/>
    <w:rsid w:val="001C275A"/>
    <w:rsid w:val="001D6A81"/>
    <w:rsid w:val="00270EC5"/>
    <w:rsid w:val="0031161B"/>
    <w:rsid w:val="004D54EB"/>
    <w:rsid w:val="00581A8C"/>
    <w:rsid w:val="005C7F3A"/>
    <w:rsid w:val="006269BA"/>
    <w:rsid w:val="00660B39"/>
    <w:rsid w:val="006A7A0A"/>
    <w:rsid w:val="007D21DE"/>
    <w:rsid w:val="007E0500"/>
    <w:rsid w:val="007E7C4B"/>
    <w:rsid w:val="00A45D19"/>
    <w:rsid w:val="00A50C04"/>
    <w:rsid w:val="00A83153"/>
    <w:rsid w:val="00AC4D21"/>
    <w:rsid w:val="00AE6E81"/>
    <w:rsid w:val="00B22D1F"/>
    <w:rsid w:val="00B44238"/>
    <w:rsid w:val="00BF18FA"/>
    <w:rsid w:val="00C35E49"/>
    <w:rsid w:val="00C7572F"/>
    <w:rsid w:val="00F46F8C"/>
    <w:rsid w:val="00F7515F"/>
    <w:rsid w:val="00FB14BB"/>
    <w:rsid w:val="00FC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34D71"/>
  <w15:chartTrackingRefBased/>
  <w15:docId w15:val="{E94008C6-AF5E-413C-B084-2C74CBCB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A7A0A"/>
  </w:style>
  <w:style w:type="paragraph" w:styleId="Cmsor1">
    <w:name w:val="heading 1"/>
    <w:basedOn w:val="Norml"/>
    <w:next w:val="Norml"/>
    <w:link w:val="Cmsor1Char"/>
    <w:uiPriority w:val="9"/>
    <w:qFormat/>
    <w:rsid w:val="006A7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A7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A7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A7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A7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A7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A7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A7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A7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A7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A7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A7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A7A0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A7A0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A7A0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A7A0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A7A0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A7A0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A7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A7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A7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A7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A7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A7A0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A7A0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A7A0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A7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A7A0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A7A0A"/>
    <w:rPr>
      <w:b/>
      <w:bCs/>
      <w:smallCaps/>
      <w:color w:val="0F4761" w:themeColor="accent1" w:themeShade="BF"/>
      <w:spacing w:val="5"/>
    </w:rPr>
  </w:style>
  <w:style w:type="character" w:styleId="Lbjegyzet-hivatkozs">
    <w:name w:val="footnote reference"/>
    <w:basedOn w:val="Bekezdsalapbettpusa"/>
    <w:uiPriority w:val="99"/>
    <w:semiHidden/>
    <w:unhideWhenUsed/>
    <w:rsid w:val="006A7A0A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6269BA"/>
    <w:rPr>
      <w:color w:val="467886" w:themeColor="hyperlink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7E7C4B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7E7C4B"/>
    <w:rPr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660B3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60B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i.org/10.21549/NTNY.41.2023.2.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researchgate.net/publication/320011950_Motivaciorol_a_felsooktatasban_-_az_oktatoi_es_tanulasi_motivacio_kapcsolata_About_motivation_in_higher_education_-_Relationship_between_learning_and_teaching_motivatio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i.org/10.14232/ISKKULT.2020.11.3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doi.org/10.1556/2065.182.2021.11.7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e5dbc9-0fe7-44e6-9753-b15f258c1e82" xsi:nil="true"/>
    <lcf76f155ced4ddcb4097134ff3c332f xmlns="5df65d83-7be0-494a-a555-a8b63b33447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9F219C589F21F4CB9640EDE51910B6F" ma:contentTypeVersion="14" ma:contentTypeDescription="Új dokumentum létrehozása." ma:contentTypeScope="" ma:versionID="6851d35dbd0fd3f4fc4e50793e22f8f5">
  <xsd:schema xmlns:xsd="http://www.w3.org/2001/XMLSchema" xmlns:xs="http://www.w3.org/2001/XMLSchema" xmlns:p="http://schemas.microsoft.com/office/2006/metadata/properties" xmlns:ns2="5df65d83-7be0-494a-a555-a8b63b33447a" xmlns:ns3="8be5dbc9-0fe7-44e6-9753-b15f258c1e82" targetNamespace="http://schemas.microsoft.com/office/2006/metadata/properties" ma:root="true" ma:fieldsID="e55e537a782c5cb06fd45cbe53fd592b" ns2:_="" ns3:_="">
    <xsd:import namespace="5df65d83-7be0-494a-a555-a8b63b33447a"/>
    <xsd:import namespace="8be5dbc9-0fe7-44e6-9753-b15f258c1e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65d83-7be0-494a-a555-a8b63b3344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b793b07b-0c18-4543-84a1-64c1aad86a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5dbc9-0fe7-44e6-9753-b15f258c1e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061cba-be61-4e19-b2b4-82d085628be2}" ma:internalName="TaxCatchAll" ma:showField="CatchAllData" ma:web="8be5dbc9-0fe7-44e6-9753-b15f258c1e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175E08-B37E-4E0A-A636-D491BA02589D}">
  <ds:schemaRefs>
    <ds:schemaRef ds:uri="http://schemas.microsoft.com/office/2006/metadata/properties"/>
    <ds:schemaRef ds:uri="http://schemas.microsoft.com/office/infopath/2007/PartnerControls"/>
    <ds:schemaRef ds:uri="8be5dbc9-0fe7-44e6-9753-b15f258c1e82"/>
    <ds:schemaRef ds:uri="5df65d83-7be0-494a-a555-a8b63b33447a"/>
  </ds:schemaRefs>
</ds:datastoreItem>
</file>

<file path=customXml/itemProps2.xml><?xml version="1.0" encoding="utf-8"?>
<ds:datastoreItem xmlns:ds="http://schemas.openxmlformats.org/officeDocument/2006/customXml" ds:itemID="{70CCA8A9-AA6A-4275-87CA-BD135EDD66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3091D9-30E8-4C5B-A61D-F17CFC9A39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65d83-7be0-494a-a555-a8b63b33447a"/>
    <ds:schemaRef ds:uri="8be5dbc9-0fe7-44e6-9753-b15f258c1e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Szontagh Pál Iván</dc:creator>
  <cp:keywords/>
  <dc:description/>
  <cp:lastModifiedBy>Dr. Szontagh Pál Iván</cp:lastModifiedBy>
  <cp:revision>3</cp:revision>
  <dcterms:created xsi:type="dcterms:W3CDTF">2026-03-24T08:32:00Z</dcterms:created>
  <dcterms:modified xsi:type="dcterms:W3CDTF">2026-03-24T08:34:00Z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0x01010079F219C589F21F4CB9640EDE51910B6F</vt:lpwstr>
  </property>
  <property fmtid="{D5CDD505-2E9C-101B-9397-08002B2CF9AE}" pid="3" name="MediaServiceImageTags">
    <vt:lpwstr/>
  </property>
</Properties>
</file>