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6B36B" w14:textId="77777777" w:rsidR="00964C6E" w:rsidRPr="00964C6E" w:rsidRDefault="00964C6E" w:rsidP="00DD60CF">
      <w:pPr>
        <w:spacing w:line="360" w:lineRule="auto"/>
        <w:jc w:val="center"/>
        <w:rPr>
          <w:rFonts w:ascii="Times New Roman" w:hAnsi="Times New Roman" w:cs="Times New Roman"/>
          <w:b/>
          <w:bCs/>
          <w:color w:val="000000"/>
        </w:rPr>
      </w:pPr>
      <w:r w:rsidRPr="00964C6E">
        <w:rPr>
          <w:rFonts w:ascii="Times New Roman" w:hAnsi="Times New Roman" w:cs="Times New Roman"/>
          <w:b/>
          <w:bCs/>
          <w:color w:val="000000"/>
        </w:rPr>
        <w:t>Affektív tanulási folyamatok multimodális környezetekben: fókuszban a hátrányos helyzetű tanulók</w:t>
      </w:r>
    </w:p>
    <w:p w14:paraId="181CC656" w14:textId="6DB6B47B" w:rsidR="00DD60CF" w:rsidRDefault="00DD60CF" w:rsidP="00DD60CF">
      <w:pPr>
        <w:spacing w:line="360" w:lineRule="auto"/>
        <w:jc w:val="center"/>
        <w:rPr>
          <w:rFonts w:ascii="Times New Roman" w:hAnsi="Times New Roman" w:cs="Times New Roman"/>
        </w:rPr>
      </w:pPr>
      <w:r>
        <w:rPr>
          <w:rFonts w:ascii="Times New Roman" w:hAnsi="Times New Roman" w:cs="Times New Roman"/>
        </w:rPr>
        <w:t xml:space="preserve">FTFL 2026 </w:t>
      </w:r>
      <w:r>
        <w:rPr>
          <w:rFonts w:ascii="Times New Roman" w:hAnsi="Times New Roman" w:cs="Times New Roman"/>
        </w:rPr>
        <w:t>– Kapusi Vanessza</w:t>
      </w:r>
    </w:p>
    <w:p w14:paraId="15E642CD" w14:textId="335C02C7" w:rsidR="00D64A6E" w:rsidRPr="00796AF5" w:rsidRDefault="00DD60CF" w:rsidP="00D64A6E">
      <w:pPr>
        <w:spacing w:line="360" w:lineRule="auto"/>
        <w:jc w:val="center"/>
        <w:rPr>
          <w:rFonts w:ascii="Times New Roman" w:hAnsi="Times New Roman" w:cs="Times New Roman"/>
        </w:rPr>
      </w:pPr>
      <w:r>
        <w:rPr>
          <w:rFonts w:ascii="Times New Roman" w:hAnsi="Times New Roman" w:cs="Times New Roman"/>
        </w:rPr>
        <w:t>Eszterházy Károly Katolikus Egyetem, Neveléstudományi Doktori Iskola</w:t>
      </w:r>
    </w:p>
    <w:p w14:paraId="12D4F9D3" w14:textId="77777777" w:rsidR="00A90806" w:rsidRDefault="00A90806"/>
    <w:p w14:paraId="1F8521E0" w14:textId="77777777" w:rsidR="00DD60CF" w:rsidRDefault="00DD60CF">
      <w:pPr>
        <w:rPr>
          <w:rFonts w:ascii="Times New Roman" w:hAnsi="Times New Roman" w:cs="Times New Roman"/>
        </w:rPr>
      </w:pPr>
    </w:p>
    <w:p w14:paraId="423CD71C" w14:textId="631BA23F" w:rsidR="00DD60CF" w:rsidRDefault="00DD60CF" w:rsidP="00DD60CF">
      <w:pPr>
        <w:spacing w:line="360" w:lineRule="auto"/>
        <w:ind w:firstLine="708"/>
        <w:jc w:val="both"/>
        <w:rPr>
          <w:rFonts w:ascii="Times New Roman" w:hAnsi="Times New Roman" w:cs="Times New Roman"/>
          <w:color w:val="000000"/>
        </w:rPr>
      </w:pPr>
      <w:r w:rsidRPr="00DD60CF">
        <w:rPr>
          <w:rFonts w:ascii="Times New Roman" w:hAnsi="Times New Roman" w:cs="Times New Roman"/>
          <w:color w:val="000000"/>
        </w:rPr>
        <w:t>Az elmúlt években a digitális és multimodális tanulási környezetek az oktatási gyakorlat meghatározó komponenseivé váltak. A különböző reprezentációs módok – szöveg, kép, videó és interaktív tartalmak – együttes alkalmazása új dimenziókat nyit a tanulási folyamat támogatásában.</w:t>
      </w:r>
      <w:r w:rsidRPr="00DD60CF">
        <w:rPr>
          <w:rStyle w:val="apple-converted-space"/>
          <w:rFonts w:ascii="Times New Roman" w:hAnsi="Times New Roman" w:cs="Times New Roman"/>
          <w:color w:val="000000"/>
        </w:rPr>
        <w:t> </w:t>
      </w:r>
      <w:r w:rsidRPr="00DD60CF">
        <w:rPr>
          <w:rFonts w:ascii="Times New Roman" w:hAnsi="Times New Roman" w:cs="Times New Roman"/>
          <w:color w:val="000000"/>
        </w:rPr>
        <w:t>A nemzetközi kutatások jelzik</w:t>
      </w:r>
      <w:r w:rsidRPr="00DD60CF">
        <w:rPr>
          <w:rFonts w:ascii="Times New Roman" w:hAnsi="Times New Roman" w:cs="Times New Roman"/>
          <w:color w:val="000000"/>
        </w:rPr>
        <w:t xml:space="preserve"> (</w:t>
      </w:r>
      <w:r w:rsidRPr="00DD60CF">
        <w:rPr>
          <w:rFonts w:ascii="Times New Roman" w:hAnsi="Times New Roman" w:cs="Times New Roman"/>
          <w:color w:val="000000"/>
        </w:rPr>
        <w:t>Pekrun, 2006, 2014, 2017; Wang et al., 2015; Harley et al., 2019; Parker et al., 2021</w:t>
      </w:r>
      <w:r w:rsidRPr="00DD60CF">
        <w:rPr>
          <w:rFonts w:ascii="Times New Roman" w:hAnsi="Times New Roman" w:cs="Times New Roman"/>
          <w:color w:val="000000"/>
        </w:rPr>
        <w:t>),</w:t>
      </w:r>
      <w:r w:rsidRPr="00DD60CF">
        <w:rPr>
          <w:rFonts w:ascii="Times New Roman" w:hAnsi="Times New Roman" w:cs="Times New Roman"/>
          <w:color w:val="000000"/>
        </w:rPr>
        <w:t xml:space="preserve"> hogy a tanulási eredményesség nem kizárólag kognitív tényezők mentén értelmezhető, hanem jelentős mértékben függ affektív komponensektől</w:t>
      </w:r>
      <w:r w:rsidR="00074822">
        <w:rPr>
          <w:rFonts w:ascii="Times New Roman" w:hAnsi="Times New Roman" w:cs="Times New Roman"/>
          <w:color w:val="000000"/>
        </w:rPr>
        <w:t xml:space="preserve"> egyaránt</w:t>
      </w:r>
      <w:r w:rsidRPr="00DD60CF">
        <w:rPr>
          <w:rFonts w:ascii="Times New Roman" w:hAnsi="Times New Roman" w:cs="Times New Roman"/>
          <w:color w:val="000000"/>
        </w:rPr>
        <w:t>, így a motiváció, az érzelmi bevonódás és a tanulási élmény minőség</w:t>
      </w:r>
      <w:r w:rsidR="00247DDC">
        <w:rPr>
          <w:rFonts w:ascii="Times New Roman" w:hAnsi="Times New Roman" w:cs="Times New Roman"/>
          <w:color w:val="000000"/>
        </w:rPr>
        <w:t>e</w:t>
      </w:r>
      <w:r w:rsidR="00074822">
        <w:rPr>
          <w:rFonts w:ascii="Times New Roman" w:hAnsi="Times New Roman" w:cs="Times New Roman"/>
          <w:color w:val="000000"/>
        </w:rPr>
        <w:t xml:space="preserve"> is szerepet játsz</w:t>
      </w:r>
      <w:r w:rsidR="00496CE9">
        <w:rPr>
          <w:rFonts w:ascii="Times New Roman" w:hAnsi="Times New Roman" w:cs="Times New Roman"/>
          <w:color w:val="000000"/>
        </w:rPr>
        <w:t>anak</w:t>
      </w:r>
      <w:r w:rsidRPr="00DD60CF">
        <w:rPr>
          <w:rFonts w:ascii="Times New Roman" w:hAnsi="Times New Roman" w:cs="Times New Roman"/>
          <w:color w:val="000000"/>
        </w:rPr>
        <w:t xml:space="preserve">. </w:t>
      </w:r>
      <w:r w:rsidRPr="00DD60CF">
        <w:rPr>
          <w:rFonts w:ascii="Times New Roman" w:hAnsi="Times New Roman" w:cs="Times New Roman"/>
          <w:color w:val="000000"/>
        </w:rPr>
        <w:t>E kérdéskör</w:t>
      </w:r>
      <w:r w:rsidR="0083120B">
        <w:rPr>
          <w:rFonts w:ascii="Times New Roman" w:hAnsi="Times New Roman" w:cs="Times New Roman"/>
          <w:color w:val="000000"/>
        </w:rPr>
        <w:t xml:space="preserve"> </w:t>
      </w:r>
      <w:r w:rsidR="00496CE9">
        <w:rPr>
          <w:rFonts w:ascii="Times New Roman" w:hAnsi="Times New Roman" w:cs="Times New Roman"/>
          <w:color w:val="000000"/>
        </w:rPr>
        <w:t>még inkább</w:t>
      </w:r>
      <w:r w:rsidRPr="00DD60CF">
        <w:rPr>
          <w:rFonts w:ascii="Times New Roman" w:hAnsi="Times New Roman" w:cs="Times New Roman"/>
          <w:color w:val="000000"/>
        </w:rPr>
        <w:t xml:space="preserve"> kiemelt jelentőséggel bír a hátrányos helyzetű tanulók esetében, akik gyakran alacsonyabb tanulási motivációval, sérülékenyebb önhatékonyság-érzéssel és szűkösebb kulturális tőkével kapcsolódnak be az iskolarendszerbe (Bourdieu, 1986; Sirin, 2005; Tan, 2024).</w:t>
      </w:r>
    </w:p>
    <w:p w14:paraId="4393DCD1" w14:textId="1AF3763E" w:rsidR="00DD60CF" w:rsidRDefault="00DD60CF" w:rsidP="00DD60CF">
      <w:pPr>
        <w:spacing w:line="360" w:lineRule="auto"/>
        <w:jc w:val="both"/>
        <w:rPr>
          <w:rFonts w:ascii="Times New Roman" w:hAnsi="Times New Roman" w:cs="Times New Roman"/>
          <w:color w:val="000000"/>
        </w:rPr>
      </w:pPr>
      <w:r>
        <w:rPr>
          <w:rFonts w:ascii="Times New Roman" w:hAnsi="Times New Roman" w:cs="Times New Roman"/>
        </w:rPr>
        <w:tab/>
      </w:r>
      <w:r w:rsidR="002D164F">
        <w:rPr>
          <w:rFonts w:ascii="Times New Roman" w:hAnsi="Times New Roman" w:cs="Times New Roman"/>
        </w:rPr>
        <w:t xml:space="preserve">Az előadás arra irányul, hogy feltárja, milyen affektív </w:t>
      </w:r>
      <w:r w:rsidR="006B73FE" w:rsidRPr="004D690C">
        <w:rPr>
          <w:rFonts w:ascii="Times New Roman" w:hAnsi="Times New Roman" w:cs="Times New Roman"/>
        </w:rPr>
        <w:t>hatások</w:t>
      </w:r>
      <w:r w:rsidR="00FB0DF1" w:rsidRPr="004D690C">
        <w:rPr>
          <w:rFonts w:ascii="Times New Roman" w:hAnsi="Times New Roman" w:cs="Times New Roman"/>
        </w:rPr>
        <w:t xml:space="preserve">kal </w:t>
      </w:r>
      <w:r w:rsidR="004D690C" w:rsidRPr="004D690C">
        <w:rPr>
          <w:rFonts w:ascii="Times New Roman" w:hAnsi="Times New Roman" w:cs="Times New Roman"/>
          <w:color w:val="000000"/>
        </w:rPr>
        <w:t>járhat a multimodális tanulási környezetek alkalmazása a hátrányos helyzetű tanulók tanulási folyamataiban. Az elemzés elméleti alapját a multimodális tanulás társas-szemiotikai kerete (Kress &amp; van Leeuwen, 2001; Kress, 2010; Jewitt, 2014), valamint a tanulási érzelmekre és a tanulói bevonódásra fókuszáló kutatások képezik (Fredricks, Blumenfeld, &amp; Paris, 2004; Pekrun, 2006, 2014; Dominek, 2025).</w:t>
      </w:r>
      <w:r w:rsidR="002A68A7">
        <w:rPr>
          <w:rFonts w:ascii="Times New Roman" w:hAnsi="Times New Roman" w:cs="Times New Roman"/>
          <w:color w:val="000000"/>
        </w:rPr>
        <w:t xml:space="preserve"> Ezen me</w:t>
      </w:r>
      <w:r w:rsidR="00B3456D">
        <w:rPr>
          <w:rFonts w:ascii="Times New Roman" w:hAnsi="Times New Roman" w:cs="Times New Roman"/>
          <w:color w:val="000000"/>
        </w:rPr>
        <w:t>g</w:t>
      </w:r>
      <w:r w:rsidR="002A68A7">
        <w:rPr>
          <w:rFonts w:ascii="Times New Roman" w:hAnsi="Times New Roman" w:cs="Times New Roman"/>
          <w:color w:val="000000"/>
        </w:rPr>
        <w:t>közelítések alapján</w:t>
      </w:r>
      <w:r w:rsidR="00F5413A">
        <w:rPr>
          <w:rFonts w:ascii="Times New Roman" w:hAnsi="Times New Roman" w:cs="Times New Roman"/>
          <w:color w:val="000000"/>
        </w:rPr>
        <w:t xml:space="preserve"> a különböző jelentéshordozó módok integrációja</w:t>
      </w:r>
      <w:r w:rsidR="00A836D8">
        <w:rPr>
          <w:rFonts w:ascii="Times New Roman" w:hAnsi="Times New Roman" w:cs="Times New Roman"/>
          <w:color w:val="000000"/>
        </w:rPr>
        <w:t xml:space="preserve"> hozzájárulhat az érzelmi bevonódás erősödéséhez is. </w:t>
      </w:r>
    </w:p>
    <w:p w14:paraId="595D3090" w14:textId="28289141" w:rsidR="00060E48" w:rsidRDefault="00060E48" w:rsidP="00DD60CF">
      <w:pPr>
        <w:spacing w:line="360" w:lineRule="auto"/>
        <w:jc w:val="both"/>
        <w:rPr>
          <w:rFonts w:ascii="Times New Roman" w:hAnsi="Times New Roman" w:cs="Times New Roman"/>
          <w:color w:val="000000"/>
        </w:rPr>
      </w:pPr>
      <w:r>
        <w:rPr>
          <w:rFonts w:ascii="Times New Roman" w:hAnsi="Times New Roman" w:cs="Times New Roman"/>
          <w:color w:val="000000"/>
        </w:rPr>
        <w:tab/>
        <w:t xml:space="preserve">A </w:t>
      </w:r>
      <w:r w:rsidR="006C76B4">
        <w:rPr>
          <w:rFonts w:ascii="Times New Roman" w:hAnsi="Times New Roman" w:cs="Times New Roman"/>
          <w:color w:val="000000"/>
        </w:rPr>
        <w:t>kognitív tanulási kimenetelek</w:t>
      </w:r>
      <w:r w:rsidR="00936202">
        <w:rPr>
          <w:rFonts w:ascii="Times New Roman" w:hAnsi="Times New Roman" w:cs="Times New Roman"/>
          <w:color w:val="000000"/>
        </w:rPr>
        <w:t>re</w:t>
      </w:r>
      <w:r w:rsidR="004F48BB">
        <w:rPr>
          <w:rFonts w:ascii="Times New Roman" w:hAnsi="Times New Roman" w:cs="Times New Roman"/>
          <w:color w:val="000000"/>
        </w:rPr>
        <w:t xml:space="preserve"> és </w:t>
      </w:r>
      <w:r w:rsidR="009E59C9">
        <w:rPr>
          <w:rFonts w:ascii="Times New Roman" w:hAnsi="Times New Roman" w:cs="Times New Roman"/>
          <w:color w:val="000000"/>
        </w:rPr>
        <w:t>a technológiai aspektusokra</w:t>
      </w:r>
      <w:r w:rsidR="006C76B4">
        <w:rPr>
          <w:rFonts w:ascii="Times New Roman" w:hAnsi="Times New Roman" w:cs="Times New Roman"/>
          <w:color w:val="000000"/>
        </w:rPr>
        <w:t xml:space="preserve"> fókuszáló </w:t>
      </w:r>
      <w:r w:rsidR="00E165DD">
        <w:rPr>
          <w:rFonts w:ascii="Times New Roman" w:hAnsi="Times New Roman" w:cs="Times New Roman"/>
          <w:color w:val="000000"/>
        </w:rPr>
        <w:t xml:space="preserve">kutatások </w:t>
      </w:r>
      <w:r w:rsidR="006C76B4">
        <w:rPr>
          <w:rFonts w:ascii="Times New Roman" w:hAnsi="Times New Roman" w:cs="Times New Roman"/>
          <w:color w:val="000000"/>
        </w:rPr>
        <w:t>m</w:t>
      </w:r>
      <w:r w:rsidR="009E59C9">
        <w:rPr>
          <w:rFonts w:ascii="Times New Roman" w:hAnsi="Times New Roman" w:cs="Times New Roman"/>
          <w:color w:val="000000"/>
        </w:rPr>
        <w:t>enny</w:t>
      </w:r>
      <w:r w:rsidR="00936202">
        <w:rPr>
          <w:rFonts w:ascii="Times New Roman" w:hAnsi="Times New Roman" w:cs="Times New Roman"/>
          <w:color w:val="000000"/>
        </w:rPr>
        <w:t>isége</w:t>
      </w:r>
      <w:r w:rsidR="00DD6D00">
        <w:rPr>
          <w:rFonts w:ascii="Times New Roman" w:hAnsi="Times New Roman" w:cs="Times New Roman"/>
          <w:color w:val="000000"/>
        </w:rPr>
        <w:t xml:space="preserve"> </w:t>
      </w:r>
      <w:r w:rsidR="00282369">
        <w:rPr>
          <w:rFonts w:ascii="Times New Roman" w:hAnsi="Times New Roman" w:cs="Times New Roman"/>
          <w:color w:val="000000"/>
        </w:rPr>
        <w:t>megfigyelhetően több, miközben a társadalmi háttér és az affektív tanulási folyamatok</w:t>
      </w:r>
      <w:r w:rsidR="00BC315B">
        <w:rPr>
          <w:rFonts w:ascii="Times New Roman" w:hAnsi="Times New Roman" w:cs="Times New Roman"/>
          <w:color w:val="000000"/>
        </w:rPr>
        <w:t xml:space="preserve"> összefüggései kevésbé hangsúlyosan jelennek meg a vizsgálatok fókuszában</w:t>
      </w:r>
      <w:r w:rsidR="00DD6D00">
        <w:rPr>
          <w:rFonts w:ascii="Times New Roman" w:hAnsi="Times New Roman" w:cs="Times New Roman"/>
          <w:color w:val="000000"/>
        </w:rPr>
        <w:t xml:space="preserve">. </w:t>
      </w:r>
      <w:r w:rsidR="00750FE9">
        <w:rPr>
          <w:rFonts w:ascii="Times New Roman" w:hAnsi="Times New Roman" w:cs="Times New Roman"/>
          <w:color w:val="000000"/>
        </w:rPr>
        <w:t xml:space="preserve">Ez különösen problematikus a hátrányos helyzetű </w:t>
      </w:r>
      <w:r w:rsidR="000C499E">
        <w:rPr>
          <w:rFonts w:ascii="Times New Roman" w:hAnsi="Times New Roman" w:cs="Times New Roman"/>
          <w:color w:val="000000"/>
        </w:rPr>
        <w:t>tanulók esetében</w:t>
      </w:r>
      <w:r w:rsidR="000C499E" w:rsidRPr="000C499E">
        <w:rPr>
          <w:rFonts w:ascii="Times New Roman" w:hAnsi="Times New Roman" w:cs="Times New Roman"/>
          <w:color w:val="000000"/>
        </w:rPr>
        <w:t xml:space="preserve">, </w:t>
      </w:r>
      <w:r w:rsidR="000C499E" w:rsidRPr="000C499E">
        <w:rPr>
          <w:rFonts w:ascii="Times New Roman" w:hAnsi="Times New Roman" w:cs="Times New Roman"/>
          <w:color w:val="000000"/>
        </w:rPr>
        <w:t>ahol a tanulási környezet jellemzői, az erőforrásokhoz való hozzáférés és a tanulási élmények minősége egyaránt meghatározó szerepet játszanak a tanulási részvétel és az iskolai előrehaladás alakulásában (Csapó, Molnár &amp; Kinyó, 2009; Kertesi &amp; Kézdi, 2016).</w:t>
      </w:r>
    </w:p>
    <w:p w14:paraId="71A5F313" w14:textId="66A5754A" w:rsidR="00037761" w:rsidRPr="007A2819" w:rsidRDefault="00037761" w:rsidP="00DD60CF">
      <w:pPr>
        <w:spacing w:line="360" w:lineRule="auto"/>
        <w:jc w:val="both"/>
        <w:rPr>
          <w:rFonts w:ascii="Times New Roman" w:hAnsi="Times New Roman" w:cs="Times New Roman"/>
          <w:color w:val="000000"/>
        </w:rPr>
      </w:pPr>
      <w:r>
        <w:rPr>
          <w:rFonts w:ascii="Times New Roman" w:hAnsi="Times New Roman" w:cs="Times New Roman"/>
          <w:color w:val="000000"/>
        </w:rPr>
        <w:tab/>
      </w:r>
      <w:r w:rsidR="007A2819" w:rsidRPr="007A2819">
        <w:rPr>
          <w:rFonts w:ascii="Times New Roman" w:hAnsi="Times New Roman" w:cs="Times New Roman"/>
          <w:color w:val="000000"/>
        </w:rPr>
        <w:t xml:space="preserve">Az előadás szisztematikus szakirodalmi áttekintésre épül. Az elemzés a Scopus, Web of Science és ERIC adatbázisokban megjelent empirikus és elméleti munkákat vizsgálja, elsősorban a 2010 utáni időszakra fókuszálva, amikor a digitális és multimodális tanulási </w:t>
      </w:r>
      <w:r w:rsidR="007A2819" w:rsidRPr="007A2819">
        <w:rPr>
          <w:rFonts w:ascii="Times New Roman" w:hAnsi="Times New Roman" w:cs="Times New Roman"/>
          <w:color w:val="000000"/>
        </w:rPr>
        <w:lastRenderedPageBreak/>
        <w:t>környezetek mind az oktatási gyakorlatban, mind a kutatásban hangsúlyosabbá váltak. A cél annak feltárása, hogy ezek a környezetek milyen affektív dimenziók mentén támogatják a tanulást, valamint hogyan jelenik meg bennük a társadalmi háttér szerepe. Az elemzés hozzájárulhat a multimodális pedagógia affektív aspektusainak pontosabb értelmezéséhez, és elméleti alapot nyújthat a hátrányos helyzetű tanulók tanulási tapasztalatait vizsgáló további kutatások számára.</w:t>
      </w:r>
    </w:p>
    <w:p w14:paraId="28C133CF" w14:textId="77777777" w:rsidR="00037761" w:rsidRDefault="00037761" w:rsidP="00DD60CF">
      <w:pPr>
        <w:spacing w:line="360" w:lineRule="auto"/>
        <w:jc w:val="both"/>
        <w:rPr>
          <w:rFonts w:ascii="Times New Roman" w:hAnsi="Times New Roman" w:cs="Times New Roman"/>
          <w:color w:val="000000"/>
        </w:rPr>
      </w:pPr>
    </w:p>
    <w:p w14:paraId="282EF052" w14:textId="77777777" w:rsidR="00037761" w:rsidRDefault="00037761" w:rsidP="00DD60CF">
      <w:pPr>
        <w:spacing w:line="360" w:lineRule="auto"/>
        <w:jc w:val="both"/>
        <w:rPr>
          <w:rFonts w:ascii="Times New Roman" w:hAnsi="Times New Roman" w:cs="Times New Roman"/>
          <w:color w:val="000000"/>
        </w:rPr>
      </w:pPr>
    </w:p>
    <w:p w14:paraId="45622B56" w14:textId="77777777" w:rsidR="00037761" w:rsidRDefault="00037761" w:rsidP="00037761">
      <w:pPr>
        <w:spacing w:line="360" w:lineRule="auto"/>
        <w:jc w:val="both"/>
        <w:rPr>
          <w:rFonts w:ascii="Times New Roman" w:hAnsi="Times New Roman" w:cs="Times New Roman"/>
        </w:rPr>
      </w:pPr>
      <w:r>
        <w:rPr>
          <w:rFonts w:ascii="Times New Roman" w:hAnsi="Times New Roman" w:cs="Times New Roman"/>
        </w:rPr>
        <w:t>Kulcsszavak: multimodális tanulás; affektív tanulás; hátrányos helyzetű tanulók; tanulói bevonódás; digitális tanulási környezet</w:t>
      </w:r>
    </w:p>
    <w:p w14:paraId="6E981C66" w14:textId="77777777" w:rsidR="008E1753" w:rsidRDefault="008E1753" w:rsidP="00037761">
      <w:pPr>
        <w:spacing w:line="360" w:lineRule="auto"/>
        <w:jc w:val="both"/>
        <w:rPr>
          <w:rFonts w:ascii="Times New Roman" w:hAnsi="Times New Roman" w:cs="Times New Roman"/>
        </w:rPr>
      </w:pPr>
    </w:p>
    <w:p w14:paraId="2B0890D9" w14:textId="77777777" w:rsidR="008E1753" w:rsidRDefault="008E1753" w:rsidP="00037761">
      <w:pPr>
        <w:spacing w:line="360" w:lineRule="auto"/>
        <w:jc w:val="both"/>
        <w:rPr>
          <w:rFonts w:ascii="Times New Roman" w:hAnsi="Times New Roman" w:cs="Times New Roman"/>
        </w:rPr>
      </w:pPr>
    </w:p>
    <w:p w14:paraId="5C5BE706" w14:textId="77777777" w:rsidR="008E1753" w:rsidRDefault="008E1753" w:rsidP="00037761">
      <w:pPr>
        <w:spacing w:line="360" w:lineRule="auto"/>
        <w:jc w:val="both"/>
        <w:rPr>
          <w:rFonts w:ascii="Times New Roman" w:hAnsi="Times New Roman" w:cs="Times New Roman"/>
        </w:rPr>
      </w:pPr>
    </w:p>
    <w:p w14:paraId="2BCAC5EE" w14:textId="77777777" w:rsidR="008E1753" w:rsidRDefault="008E1753" w:rsidP="008E1753">
      <w:pPr>
        <w:spacing w:line="360" w:lineRule="auto"/>
        <w:jc w:val="center"/>
        <w:rPr>
          <w:rFonts w:ascii="Times New Roman" w:hAnsi="Times New Roman" w:cs="Times New Roman"/>
          <w:color w:val="000000"/>
        </w:rPr>
      </w:pPr>
      <w:r w:rsidRPr="00126603">
        <w:rPr>
          <w:rStyle w:val="Kiemels2"/>
          <w:rFonts w:ascii="Times New Roman" w:hAnsi="Times New Roman" w:cs="Times New Roman"/>
          <w:color w:val="000000"/>
        </w:rPr>
        <w:t>Affective Learning Processes in Multimodal Environments: A Focus on Disadvantaged Learners</w:t>
      </w:r>
      <w:r w:rsidRPr="00126603">
        <w:rPr>
          <w:rFonts w:ascii="Times New Roman" w:hAnsi="Times New Roman" w:cs="Times New Roman"/>
          <w:color w:val="000000"/>
        </w:rPr>
        <w:br/>
        <w:t>FTFL 2026 – Vanessza Kapusi</w:t>
      </w:r>
      <w:r w:rsidRPr="00126603">
        <w:rPr>
          <w:rFonts w:ascii="Times New Roman" w:hAnsi="Times New Roman" w:cs="Times New Roman"/>
          <w:color w:val="000000"/>
        </w:rPr>
        <w:br/>
        <w:t>Eszterházy Károly Catholic University, Doctoral School of Education</w:t>
      </w:r>
    </w:p>
    <w:p w14:paraId="1D181647" w14:textId="77777777" w:rsidR="008E1753" w:rsidRDefault="008E1753" w:rsidP="008E1753">
      <w:pPr>
        <w:jc w:val="center"/>
        <w:rPr>
          <w:rFonts w:ascii="Times New Roman" w:hAnsi="Times New Roman" w:cs="Times New Roman"/>
          <w:color w:val="000000"/>
        </w:rPr>
      </w:pPr>
    </w:p>
    <w:p w14:paraId="401B5AF7" w14:textId="77777777" w:rsidR="008E1753" w:rsidRPr="006B5ABE" w:rsidRDefault="008E1753" w:rsidP="008E1753">
      <w:pPr>
        <w:spacing w:line="360" w:lineRule="auto"/>
        <w:ind w:firstLine="708"/>
        <w:jc w:val="both"/>
        <w:rPr>
          <w:rFonts w:ascii="Times New Roman" w:hAnsi="Times New Roman" w:cs="Times New Roman"/>
          <w:color w:val="000000"/>
        </w:rPr>
      </w:pPr>
      <w:r w:rsidRPr="006B5ABE">
        <w:rPr>
          <w:rFonts w:ascii="Times New Roman" w:hAnsi="Times New Roman" w:cs="Times New Roman"/>
          <w:color w:val="000000"/>
        </w:rPr>
        <w:t>In recent years, digital and multimodal learning environments have become central components of educational practice. The combined use of multiple modes of representation—text, image, video, and interactive content—has opened new dimensions for supporting learning processes. International research indicates (Pekrun, 2006, 2014, 2017; Wang et al., 2015; Harley et al., 2019; Parker et al., 2021) that learning outcomes cannot be interpreted solely through cognitive factors, but are also significantly influenced by affective components, including motivation, emotional engagement, and the quality of the learning experience. This issue is particularly salient for disadvantaged learners, who often enter the education system with lower levels of motivation, more fragile self-efficacy, and limited cultural capital (Bourdieu, 1986; Sirin, 2005; Tan, 2024).</w:t>
      </w:r>
    </w:p>
    <w:p w14:paraId="747D7FE8" w14:textId="77777777" w:rsidR="008E1753" w:rsidRPr="006B5ABE" w:rsidRDefault="008E1753" w:rsidP="008E1753">
      <w:pPr>
        <w:spacing w:line="360" w:lineRule="auto"/>
        <w:jc w:val="both"/>
        <w:rPr>
          <w:rFonts w:ascii="Times New Roman" w:hAnsi="Times New Roman" w:cs="Times New Roman"/>
          <w:color w:val="000000"/>
        </w:rPr>
      </w:pPr>
      <w:r w:rsidRPr="006B5ABE">
        <w:rPr>
          <w:rFonts w:ascii="Times New Roman" w:hAnsi="Times New Roman" w:cs="Times New Roman"/>
          <w:color w:val="000000"/>
        </w:rPr>
        <w:tab/>
        <w:t xml:space="preserve">The presentation aims to explore the affective implications of applying multimodal learning environments in the learning processes of disadvantaged students. The theoretical framework is grounded in the social semiotic approach to multimodal learning (Kress &amp; van Leeuwen, 2001; Kress, 2010; Jewitt, 2014), as well as in research on learning-related emotions and student engagement (Fredricks, Blumenfeld, &amp; Paris, 2004; Pekrun, 2006, 2014; Dominek, </w:t>
      </w:r>
      <w:r w:rsidRPr="006B5ABE">
        <w:rPr>
          <w:rFonts w:ascii="Times New Roman" w:hAnsi="Times New Roman" w:cs="Times New Roman"/>
          <w:color w:val="000000"/>
        </w:rPr>
        <w:lastRenderedPageBreak/>
        <w:t>2025). From this perspective, the integration of multiple meaning-making modes may contribute to enhanced emotional engagement in learning.</w:t>
      </w:r>
    </w:p>
    <w:p w14:paraId="0DA0E0BE" w14:textId="77777777" w:rsidR="008E1753" w:rsidRDefault="008E1753" w:rsidP="008E1753">
      <w:pPr>
        <w:spacing w:line="360" w:lineRule="auto"/>
        <w:jc w:val="both"/>
        <w:rPr>
          <w:rFonts w:ascii="Times New Roman" w:hAnsi="Times New Roman" w:cs="Times New Roman"/>
          <w:color w:val="000000"/>
        </w:rPr>
      </w:pPr>
      <w:r w:rsidRPr="006B5ABE">
        <w:rPr>
          <w:rFonts w:ascii="Times New Roman" w:hAnsi="Times New Roman" w:cs="Times New Roman"/>
          <w:color w:val="000000"/>
        </w:rPr>
        <w:tab/>
        <w:t>While a substantial body of research focuses on cognitive outcomes and technological aspects, the interplay between social background and affective learning processes remains less emphasized. This gap is particularly critical in the case of disadvantaged learners, for whom the characteristics of the learning environment, access to resources, and the quality of learning experiences play a decisive role in shaping participation and academic progression (Csapó, Molnár, &amp; Kinyó, 2009; Kertesi &amp; Kézdi, 2016).</w:t>
      </w:r>
    </w:p>
    <w:p w14:paraId="6FDA9D6E" w14:textId="77777777" w:rsidR="008E1753" w:rsidRPr="006B5ABE" w:rsidRDefault="008E1753" w:rsidP="008E1753">
      <w:pPr>
        <w:spacing w:line="360" w:lineRule="auto"/>
        <w:ind w:firstLine="708"/>
        <w:jc w:val="both"/>
        <w:rPr>
          <w:rFonts w:ascii="Times New Roman" w:hAnsi="Times New Roman" w:cs="Times New Roman"/>
          <w:color w:val="000000"/>
        </w:rPr>
      </w:pPr>
      <w:r w:rsidRPr="006B5ABE">
        <w:rPr>
          <w:rFonts w:ascii="Times New Roman" w:hAnsi="Times New Roman" w:cs="Times New Roman"/>
          <w:color w:val="000000"/>
        </w:rPr>
        <w:t>The study is based on a systematic literature review. It examines empirical and theoretical publications indexed in Scopus, Web of Science, and ERIC, with a primary focus on research published after 2010, a period marked by the increasing prominence of digital and multimodal learning environments in both educational practice and research. The aim is to identify the affective dimensions through which these environments support learning and to analyze how social background is reflected within these contexts. The findings are expected to contribute to a more nuanced understanding of the affective aspects of multimodal pedagogy and to provide a theoretical foundation for future research on the learning experiences and participation patterns of disadvantaged students.</w:t>
      </w:r>
    </w:p>
    <w:p w14:paraId="30D67EF2" w14:textId="77777777" w:rsidR="008E1753" w:rsidRPr="006B5ABE" w:rsidRDefault="008E1753" w:rsidP="008E1753">
      <w:pPr>
        <w:pStyle w:val="NormlWeb"/>
        <w:spacing w:line="360" w:lineRule="auto"/>
        <w:jc w:val="both"/>
        <w:rPr>
          <w:color w:val="000000"/>
        </w:rPr>
      </w:pPr>
      <w:r w:rsidRPr="006B5ABE">
        <w:rPr>
          <w:rStyle w:val="Kiemels2"/>
          <w:rFonts w:eastAsiaTheme="majorEastAsia"/>
          <w:color w:val="000000"/>
        </w:rPr>
        <w:t>Keywords:</w:t>
      </w:r>
      <w:r w:rsidRPr="006B5ABE">
        <w:rPr>
          <w:rStyle w:val="apple-converted-space"/>
          <w:rFonts w:eastAsiaTheme="majorEastAsia"/>
          <w:color w:val="000000"/>
        </w:rPr>
        <w:t> </w:t>
      </w:r>
      <w:r w:rsidRPr="006B5ABE">
        <w:rPr>
          <w:color w:val="000000"/>
        </w:rPr>
        <w:t>multimodal learning; affective learning; disadvantaged learners; student engagement; digital learning environments</w:t>
      </w:r>
    </w:p>
    <w:p w14:paraId="31C69EE7" w14:textId="77777777" w:rsidR="008E1753" w:rsidRDefault="008E1753" w:rsidP="00037761">
      <w:pPr>
        <w:spacing w:line="360" w:lineRule="auto"/>
        <w:jc w:val="both"/>
        <w:rPr>
          <w:rFonts w:ascii="Times New Roman" w:hAnsi="Times New Roman" w:cs="Times New Roman"/>
        </w:rPr>
      </w:pPr>
    </w:p>
    <w:p w14:paraId="70CB4CF2" w14:textId="77777777" w:rsidR="00037761" w:rsidRDefault="00037761" w:rsidP="00DD60CF">
      <w:pPr>
        <w:spacing w:line="360" w:lineRule="auto"/>
        <w:jc w:val="both"/>
        <w:rPr>
          <w:rFonts w:ascii="Times New Roman" w:hAnsi="Times New Roman" w:cs="Times New Roman"/>
        </w:rPr>
      </w:pPr>
    </w:p>
    <w:p w14:paraId="15D1FC9A" w14:textId="072E521B" w:rsidR="002C2B2B" w:rsidRDefault="002C2B2B" w:rsidP="002C2B2B">
      <w:pPr>
        <w:spacing w:line="360" w:lineRule="auto"/>
        <w:jc w:val="both"/>
        <w:rPr>
          <w:rFonts w:ascii="Times New Roman" w:hAnsi="Times New Roman" w:cs="Times New Roman"/>
        </w:rPr>
      </w:pPr>
      <w:r>
        <w:rPr>
          <w:rFonts w:ascii="Times New Roman" w:hAnsi="Times New Roman" w:cs="Times New Roman"/>
        </w:rPr>
        <w:t>Felhasznált irodalom</w:t>
      </w:r>
      <w:r w:rsidR="008E1753">
        <w:rPr>
          <w:rFonts w:ascii="Times New Roman" w:hAnsi="Times New Roman" w:cs="Times New Roman"/>
        </w:rPr>
        <w:t xml:space="preserve"> / References</w:t>
      </w:r>
    </w:p>
    <w:p w14:paraId="33D46E8C" w14:textId="77777777" w:rsidR="002C2B2B" w:rsidRDefault="002C2B2B" w:rsidP="002C2B2B">
      <w:pPr>
        <w:pStyle w:val="nova-legacy-e-listitem"/>
        <w:spacing w:after="120" w:afterAutospacing="0"/>
        <w:rPr>
          <w:color w:val="000000"/>
        </w:rPr>
      </w:pPr>
      <w:r w:rsidRPr="00AC0323">
        <w:rPr>
          <w:rStyle w:val="Kiemels2"/>
          <w:rFonts w:eastAsiaTheme="majorEastAsia"/>
          <w:b w:val="0"/>
          <w:bCs w:val="0"/>
          <w:color w:val="000000"/>
        </w:rPr>
        <w:t>Bourdieu, P. (1986).</w:t>
      </w:r>
      <w:r>
        <w:rPr>
          <w:color w:val="000000"/>
        </w:rPr>
        <w:t xml:space="preserve"> </w:t>
      </w:r>
      <w:r w:rsidRPr="00BF2C02">
        <w:rPr>
          <w:color w:val="000000"/>
        </w:rPr>
        <w:t>The forms of capital. In J. G. Richardson (Ed.),</w:t>
      </w:r>
      <w:r w:rsidRPr="00BF2C02">
        <w:rPr>
          <w:rStyle w:val="apple-converted-space"/>
          <w:rFonts w:eastAsiaTheme="majorEastAsia"/>
          <w:color w:val="000000"/>
        </w:rPr>
        <w:t> </w:t>
      </w:r>
      <w:r w:rsidRPr="00BF2C02">
        <w:rPr>
          <w:rStyle w:val="Kiemels"/>
          <w:rFonts w:eastAsiaTheme="majorEastAsia"/>
          <w:color w:val="000000"/>
        </w:rPr>
        <w:t>Handbook of theory and research for the sociology of education</w:t>
      </w:r>
      <w:r w:rsidRPr="00BF2C02">
        <w:rPr>
          <w:rStyle w:val="apple-converted-space"/>
          <w:rFonts w:eastAsiaTheme="majorEastAsia"/>
          <w:color w:val="000000"/>
        </w:rPr>
        <w:t> </w:t>
      </w:r>
      <w:r w:rsidRPr="00BF2C02">
        <w:rPr>
          <w:color w:val="000000"/>
        </w:rPr>
        <w:t>(pp. 241–258). New York, NY: Greenwood Press.</w:t>
      </w:r>
    </w:p>
    <w:p w14:paraId="77A1B916" w14:textId="77777777" w:rsidR="002C2B2B" w:rsidRDefault="002C2B2B" w:rsidP="002C2B2B">
      <w:pPr>
        <w:pStyle w:val="NormlWeb"/>
        <w:rPr>
          <w:color w:val="000000"/>
        </w:rPr>
      </w:pPr>
      <w:r w:rsidRPr="00AC0323">
        <w:rPr>
          <w:rStyle w:val="Kiemels2"/>
          <w:rFonts w:eastAsiaTheme="majorEastAsia"/>
          <w:b w:val="0"/>
          <w:bCs w:val="0"/>
          <w:color w:val="000000"/>
        </w:rPr>
        <w:t>Csapó, B., Molnár, Gy., &amp; Kinyó, L. (2009).</w:t>
      </w:r>
      <w:r>
        <w:rPr>
          <w:color w:val="000000"/>
        </w:rPr>
        <w:t xml:space="preserve"> A magyar oktatási rendszer szelektivitása a nemzetközi összehasonlító vizsgálatok tükrében. </w:t>
      </w:r>
      <w:r>
        <w:rPr>
          <w:rStyle w:val="Kiemels"/>
          <w:rFonts w:eastAsiaTheme="majorEastAsia"/>
          <w:color w:val="000000"/>
        </w:rPr>
        <w:t>Iskolakultúra, 19</w:t>
      </w:r>
      <w:r>
        <w:rPr>
          <w:color w:val="000000"/>
        </w:rPr>
        <w:t>(3–4), 3–13.</w:t>
      </w:r>
    </w:p>
    <w:p w14:paraId="12468518" w14:textId="77777777" w:rsidR="002C2B2B" w:rsidRPr="004A2F31" w:rsidRDefault="002C2B2B" w:rsidP="002C2B2B">
      <w:pPr>
        <w:pStyle w:val="NormlWeb"/>
        <w:rPr>
          <w:color w:val="000000"/>
        </w:rPr>
      </w:pPr>
      <w:r w:rsidRPr="00AC0323">
        <w:rPr>
          <w:rStyle w:val="Kiemels2"/>
          <w:rFonts w:eastAsiaTheme="majorEastAsia"/>
          <w:b w:val="0"/>
          <w:bCs w:val="0"/>
          <w:color w:val="000000"/>
        </w:rPr>
        <w:t>Dominek, D. L. (2025).</w:t>
      </w:r>
      <w:r w:rsidRPr="004A2F31">
        <w:rPr>
          <w:color w:val="000000"/>
        </w:rPr>
        <w:t xml:space="preserve"> </w:t>
      </w:r>
      <w:r w:rsidRPr="004A2F31">
        <w:rPr>
          <w:rStyle w:val="Kiemels"/>
          <w:rFonts w:eastAsiaTheme="majorEastAsia"/>
          <w:color w:val="000000"/>
        </w:rPr>
        <w:t>Practical testing of the Flow-based pedagogy model.</w:t>
      </w:r>
      <w:r>
        <w:rPr>
          <w:color w:val="000000"/>
        </w:rPr>
        <w:t xml:space="preserve"> </w:t>
      </w:r>
      <w:r w:rsidRPr="004A2F31">
        <w:rPr>
          <w:color w:val="000000"/>
        </w:rPr>
        <w:t>Belvedere Meridionale, 37(1), 45–52.</w:t>
      </w:r>
      <w:r w:rsidRPr="004A2F31">
        <w:rPr>
          <w:rStyle w:val="apple-converted-space"/>
          <w:rFonts w:eastAsiaTheme="majorEastAsia"/>
          <w:color w:val="000000"/>
        </w:rPr>
        <w:t> </w:t>
      </w:r>
    </w:p>
    <w:p w14:paraId="366CA630" w14:textId="77777777" w:rsidR="002C2B2B" w:rsidRPr="00BF2C02" w:rsidRDefault="002C2B2B" w:rsidP="002C2B2B">
      <w:pPr>
        <w:pStyle w:val="nova-legacy-e-listitem"/>
        <w:spacing w:after="120" w:afterAutospacing="0"/>
        <w:rPr>
          <w:color w:val="000000"/>
        </w:rPr>
      </w:pPr>
      <w:r w:rsidRPr="00AC0323">
        <w:rPr>
          <w:rStyle w:val="Kiemels2"/>
          <w:rFonts w:eastAsiaTheme="majorEastAsia"/>
          <w:b w:val="0"/>
          <w:bCs w:val="0"/>
          <w:color w:val="000000"/>
        </w:rPr>
        <w:t>Fredricks, J. A., Blumenfeld, P. C., &amp; Paris, A. H. (2004).</w:t>
      </w:r>
      <w:r>
        <w:rPr>
          <w:color w:val="000000"/>
        </w:rPr>
        <w:t xml:space="preserve"> </w:t>
      </w:r>
      <w:r w:rsidRPr="00BF2C02">
        <w:rPr>
          <w:color w:val="000000"/>
        </w:rPr>
        <w:t xml:space="preserve">School engagement: Potential of the concept, state of the evidence. </w:t>
      </w:r>
      <w:r w:rsidRPr="00BF2C02">
        <w:rPr>
          <w:rStyle w:val="Kiemels"/>
          <w:rFonts w:eastAsiaTheme="majorEastAsia"/>
          <w:color w:val="000000"/>
        </w:rPr>
        <w:t>Review of Educational Research, 74</w:t>
      </w:r>
      <w:r w:rsidRPr="00BF2C02">
        <w:rPr>
          <w:color w:val="000000"/>
        </w:rPr>
        <w:t xml:space="preserve">(1), 59–109. </w:t>
      </w:r>
      <w:hyperlink r:id="rId4" w:history="1">
        <w:r w:rsidRPr="00BF2C02">
          <w:rPr>
            <w:rFonts w:eastAsiaTheme="minorHAnsi"/>
            <w:color w:val="0000FF"/>
            <w:u w:val="single"/>
            <w:lang w:eastAsia="en-US"/>
          </w:rPr>
          <w:t>https://doi.org/10.3102/00346543074001059</w:t>
        </w:r>
      </w:hyperlink>
    </w:p>
    <w:p w14:paraId="01304952" w14:textId="77777777" w:rsidR="002C2B2B" w:rsidRPr="006A4153" w:rsidRDefault="002C2B2B" w:rsidP="002C2B2B">
      <w:pPr>
        <w:pStyle w:val="nova-legacy-e-listitem"/>
        <w:spacing w:after="120" w:afterAutospacing="0"/>
        <w:rPr>
          <w:color w:val="000000" w:themeColor="text1"/>
        </w:rPr>
      </w:pPr>
      <w:r w:rsidRPr="006A4153">
        <w:rPr>
          <w:color w:val="000000" w:themeColor="text1"/>
          <w:shd w:val="clear" w:color="auto" w:fill="FFFFFF"/>
        </w:rPr>
        <w:lastRenderedPageBreak/>
        <w:t>Harley, J. M., Pekrun, R., Taxer, J. L., &amp; Gross, J. J. (2019). Emotion regulation in achievement situations: An integrated model.</w:t>
      </w:r>
      <w:r w:rsidRPr="006A4153">
        <w:rPr>
          <w:rStyle w:val="apple-converted-space"/>
          <w:rFonts w:eastAsiaTheme="majorEastAsia"/>
          <w:color w:val="000000" w:themeColor="text1"/>
          <w:shd w:val="clear" w:color="auto" w:fill="FFFFFF"/>
        </w:rPr>
        <w:t> </w:t>
      </w:r>
      <w:r w:rsidRPr="006A4153">
        <w:rPr>
          <w:rStyle w:val="Kiemels"/>
          <w:rFonts w:eastAsiaTheme="majorEastAsia"/>
          <w:color w:val="000000" w:themeColor="text1"/>
        </w:rPr>
        <w:t>Educational Psychologist, 54</w:t>
      </w:r>
      <w:r w:rsidRPr="006A4153">
        <w:rPr>
          <w:color w:val="000000" w:themeColor="text1"/>
          <w:shd w:val="clear" w:color="auto" w:fill="FFFFFF"/>
        </w:rPr>
        <w:t>(2), 106–126.</w:t>
      </w:r>
      <w:r w:rsidRPr="006A4153">
        <w:rPr>
          <w:rStyle w:val="apple-converted-space"/>
          <w:rFonts w:eastAsiaTheme="majorEastAsia"/>
          <w:color w:val="215E99" w:themeColor="text2" w:themeTint="BF"/>
          <w:shd w:val="clear" w:color="auto" w:fill="FFFFFF"/>
        </w:rPr>
        <w:t> </w:t>
      </w:r>
      <w:hyperlink r:id="rId5" w:tgtFrame="_blank" w:history="1">
        <w:r w:rsidRPr="006A4153">
          <w:rPr>
            <w:rStyle w:val="Hiperhivatkozs"/>
            <w:rFonts w:eastAsiaTheme="majorEastAsia"/>
            <w:color w:val="215E99" w:themeColor="text2" w:themeTint="BF"/>
          </w:rPr>
          <w:t>https://doi.org/10.1080/00461520.2019.1587297</w:t>
        </w:r>
      </w:hyperlink>
    </w:p>
    <w:p w14:paraId="34798603" w14:textId="77777777" w:rsidR="002C2B2B" w:rsidRPr="006A4153" w:rsidRDefault="002C2B2B" w:rsidP="002C2B2B">
      <w:pPr>
        <w:pStyle w:val="nova-legacy-e-listitem"/>
        <w:spacing w:before="240" w:beforeAutospacing="0" w:after="0" w:afterAutospacing="0"/>
        <w:rPr>
          <w:color w:val="000000"/>
        </w:rPr>
      </w:pPr>
      <w:r w:rsidRPr="00F82B5C">
        <w:rPr>
          <w:rStyle w:val="Kiemels2"/>
          <w:rFonts w:eastAsiaTheme="majorEastAsia"/>
          <w:b w:val="0"/>
          <w:bCs w:val="0"/>
          <w:color w:val="000000"/>
        </w:rPr>
        <w:t>Jewitt, C. (2014).</w:t>
      </w:r>
      <w:r w:rsidRPr="006A4153">
        <w:rPr>
          <w:color w:val="000000"/>
        </w:rPr>
        <w:t xml:space="preserve"> </w:t>
      </w:r>
      <w:r w:rsidRPr="006A4153">
        <w:rPr>
          <w:rStyle w:val="Kiemels"/>
          <w:rFonts w:eastAsiaTheme="majorEastAsia"/>
          <w:color w:val="000000"/>
        </w:rPr>
        <w:t>The Routledge handbook of multimodal analysis</w:t>
      </w:r>
      <w:r w:rsidRPr="006A4153">
        <w:rPr>
          <w:rStyle w:val="apple-converted-space"/>
          <w:rFonts w:eastAsiaTheme="majorEastAsia"/>
          <w:color w:val="000000"/>
        </w:rPr>
        <w:t> </w:t>
      </w:r>
      <w:r w:rsidRPr="006A4153">
        <w:rPr>
          <w:color w:val="000000"/>
        </w:rPr>
        <w:t>(2nd ed.). London: Routledge.</w:t>
      </w:r>
    </w:p>
    <w:p w14:paraId="3516F5E9" w14:textId="77777777" w:rsidR="002C2B2B" w:rsidRPr="006A4153" w:rsidRDefault="002C2B2B" w:rsidP="002C2B2B">
      <w:pPr>
        <w:spacing w:before="240"/>
        <w:jc w:val="both"/>
        <w:rPr>
          <w:rFonts w:ascii="Times New Roman" w:hAnsi="Times New Roman" w:cs="Times New Roman"/>
          <w:color w:val="000000"/>
        </w:rPr>
      </w:pPr>
      <w:r w:rsidRPr="00F82B5C">
        <w:rPr>
          <w:rStyle w:val="Kiemels2"/>
          <w:rFonts w:ascii="Times New Roman" w:eastAsiaTheme="majorEastAsia" w:hAnsi="Times New Roman" w:cs="Times New Roman"/>
          <w:b w:val="0"/>
          <w:bCs w:val="0"/>
          <w:color w:val="000000"/>
        </w:rPr>
        <w:t>Kertesi, G., &amp; Kézdi, G.</w:t>
      </w:r>
      <w:r w:rsidRPr="006A4153">
        <w:rPr>
          <w:rStyle w:val="apple-converted-space"/>
          <w:rFonts w:ascii="Times New Roman" w:eastAsiaTheme="majorEastAsia" w:hAnsi="Times New Roman" w:cs="Times New Roman"/>
          <w:color w:val="000000"/>
        </w:rPr>
        <w:t> </w:t>
      </w:r>
      <w:r w:rsidRPr="006A4153">
        <w:rPr>
          <w:rFonts w:ascii="Times New Roman" w:hAnsi="Times New Roman" w:cs="Times New Roman"/>
          <w:color w:val="000000"/>
        </w:rPr>
        <w:t>(2016). A roma fiatalok esélyei és az oktatási integráció. In Kolosi, T. &amp; Tóth, I. Gy. (Eds.),</w:t>
      </w:r>
      <w:r w:rsidRPr="006A4153">
        <w:rPr>
          <w:rStyle w:val="apple-converted-space"/>
          <w:rFonts w:ascii="Times New Roman" w:eastAsiaTheme="majorEastAsia" w:hAnsi="Times New Roman" w:cs="Times New Roman"/>
          <w:color w:val="000000"/>
        </w:rPr>
        <w:t> </w:t>
      </w:r>
      <w:r w:rsidRPr="006A4153">
        <w:rPr>
          <w:rStyle w:val="Kiemels"/>
          <w:rFonts w:ascii="Times New Roman" w:eastAsiaTheme="majorEastAsia" w:hAnsi="Times New Roman" w:cs="Times New Roman"/>
          <w:color w:val="000000"/>
        </w:rPr>
        <w:t>Társadalmi Riport 2016</w:t>
      </w:r>
      <w:r w:rsidRPr="006A4153">
        <w:rPr>
          <w:rStyle w:val="apple-converted-space"/>
          <w:rFonts w:ascii="Times New Roman" w:eastAsiaTheme="majorEastAsia" w:hAnsi="Times New Roman" w:cs="Times New Roman"/>
          <w:color w:val="000000"/>
        </w:rPr>
        <w:t> </w:t>
      </w:r>
      <w:r w:rsidRPr="006A4153">
        <w:rPr>
          <w:rFonts w:ascii="Times New Roman" w:hAnsi="Times New Roman" w:cs="Times New Roman"/>
          <w:color w:val="000000"/>
        </w:rPr>
        <w:t>(pp. 252–276). TÁRKI.</w:t>
      </w:r>
    </w:p>
    <w:p w14:paraId="4CE4C24C" w14:textId="77777777" w:rsidR="002C2B2B" w:rsidRPr="003A6ADE" w:rsidRDefault="002C2B2B" w:rsidP="002C2B2B">
      <w:pPr>
        <w:jc w:val="both"/>
        <w:rPr>
          <w:color w:val="000000"/>
        </w:rPr>
      </w:pPr>
    </w:p>
    <w:p w14:paraId="7EFECD36" w14:textId="77777777" w:rsidR="002C2B2B" w:rsidRPr="006A4153" w:rsidRDefault="002C2B2B" w:rsidP="002C2B2B">
      <w:pPr>
        <w:jc w:val="both"/>
        <w:rPr>
          <w:rFonts w:ascii="Times New Roman" w:hAnsi="Times New Roman" w:cs="Times New Roman"/>
          <w:color w:val="232323"/>
          <w:shd w:val="clear" w:color="auto" w:fill="FFFFFF"/>
        </w:rPr>
      </w:pPr>
      <w:r w:rsidRPr="006A4153">
        <w:rPr>
          <w:rFonts w:ascii="Times New Roman" w:hAnsi="Times New Roman" w:cs="Times New Roman"/>
          <w:color w:val="232323"/>
          <w:shd w:val="clear" w:color="auto" w:fill="FFFFFF"/>
        </w:rPr>
        <w:t>Kress, G., &amp; Van Leeuwen, T. (2001). Multimodal discourse: The modes and media of contemporary communication. London: Arnold Publishers.</w:t>
      </w:r>
    </w:p>
    <w:p w14:paraId="101392D9" w14:textId="77777777" w:rsidR="002C2B2B" w:rsidRDefault="002C2B2B" w:rsidP="002C2B2B">
      <w:pPr>
        <w:jc w:val="both"/>
        <w:rPr>
          <w:rFonts w:ascii="Verdana" w:hAnsi="Verdana"/>
          <w:color w:val="232323"/>
          <w:sz w:val="21"/>
          <w:szCs w:val="21"/>
          <w:shd w:val="clear" w:color="auto" w:fill="FFFFFF"/>
        </w:rPr>
      </w:pPr>
    </w:p>
    <w:p w14:paraId="59F5369E" w14:textId="77777777" w:rsidR="002C2B2B" w:rsidRPr="006A4153" w:rsidRDefault="002C2B2B" w:rsidP="002C2B2B">
      <w:pPr>
        <w:jc w:val="both"/>
        <w:rPr>
          <w:rFonts w:ascii="Times New Roman" w:hAnsi="Times New Roman" w:cs="Times New Roman"/>
          <w:color w:val="000000"/>
        </w:rPr>
      </w:pPr>
      <w:r w:rsidRPr="00F82B5C">
        <w:rPr>
          <w:rStyle w:val="Kiemels2"/>
          <w:rFonts w:ascii="Times New Roman" w:eastAsiaTheme="majorEastAsia" w:hAnsi="Times New Roman" w:cs="Times New Roman"/>
          <w:b w:val="0"/>
          <w:bCs w:val="0"/>
          <w:color w:val="000000"/>
        </w:rPr>
        <w:t>Kress, G.</w:t>
      </w:r>
      <w:r w:rsidRPr="006A4153">
        <w:rPr>
          <w:rStyle w:val="apple-converted-space"/>
          <w:rFonts w:ascii="Times New Roman" w:eastAsiaTheme="majorEastAsia" w:hAnsi="Times New Roman" w:cs="Times New Roman"/>
          <w:color w:val="000000"/>
        </w:rPr>
        <w:t> </w:t>
      </w:r>
      <w:r w:rsidRPr="006A4153">
        <w:rPr>
          <w:rFonts w:ascii="Times New Roman" w:hAnsi="Times New Roman" w:cs="Times New Roman"/>
          <w:color w:val="000000"/>
        </w:rPr>
        <w:t>(2010).</w:t>
      </w:r>
      <w:r w:rsidRPr="006A4153">
        <w:rPr>
          <w:rStyle w:val="apple-converted-space"/>
          <w:rFonts w:ascii="Times New Roman" w:eastAsiaTheme="majorEastAsia" w:hAnsi="Times New Roman" w:cs="Times New Roman"/>
          <w:color w:val="000000"/>
        </w:rPr>
        <w:t> </w:t>
      </w:r>
      <w:r w:rsidRPr="006A4153">
        <w:rPr>
          <w:rStyle w:val="Kiemels"/>
          <w:rFonts w:ascii="Times New Roman" w:eastAsiaTheme="majorEastAsia" w:hAnsi="Times New Roman" w:cs="Times New Roman"/>
          <w:color w:val="000000"/>
        </w:rPr>
        <w:t>Multimodality: A social semiotic approach to contemporary communication</w:t>
      </w:r>
      <w:r w:rsidRPr="006A4153">
        <w:rPr>
          <w:rFonts w:ascii="Times New Roman" w:hAnsi="Times New Roman" w:cs="Times New Roman"/>
          <w:color w:val="000000"/>
        </w:rPr>
        <w:t>. London: Routledge.</w:t>
      </w:r>
    </w:p>
    <w:p w14:paraId="2F3D368C" w14:textId="77777777" w:rsidR="002C2B2B" w:rsidRPr="008D720C" w:rsidRDefault="002C2B2B" w:rsidP="002C2B2B">
      <w:pPr>
        <w:pStyle w:val="nova-legacy-e-listitem"/>
        <w:spacing w:after="120" w:afterAutospacing="0"/>
        <w:rPr>
          <w:color w:val="525254"/>
        </w:rPr>
      </w:pPr>
      <w:r w:rsidRPr="008D720C">
        <w:rPr>
          <w:color w:val="000000"/>
        </w:rPr>
        <w:t xml:space="preserve">Parker, P. C., Perry, R. P., Hamm, J. M., Chipperfield, J. G., Pekrun, R., Dryden, R. P., Daniels, L. M., &amp; Tze, V. M. C. (2021). </w:t>
      </w:r>
      <w:r w:rsidRPr="00F82B5C">
        <w:rPr>
          <w:rStyle w:val="Kiemels2"/>
          <w:rFonts w:eastAsiaTheme="majorEastAsia"/>
          <w:b w:val="0"/>
          <w:bCs w:val="0"/>
          <w:color w:val="000000"/>
        </w:rPr>
        <w:t>A motivation perspective on achievement appraisals, emotions, and performance in an online learning environment.</w:t>
      </w:r>
      <w:r w:rsidRPr="00F82B5C">
        <w:rPr>
          <w:b/>
          <w:bCs/>
          <w:color w:val="000000"/>
        </w:rPr>
        <w:t xml:space="preserve"> </w:t>
      </w:r>
      <w:r w:rsidRPr="008D720C">
        <w:rPr>
          <w:rStyle w:val="Kiemels"/>
          <w:rFonts w:eastAsiaTheme="majorEastAsia"/>
          <w:color w:val="000000"/>
        </w:rPr>
        <w:t>International Journal of Educational Research, 108</w:t>
      </w:r>
      <w:r w:rsidRPr="008D720C">
        <w:rPr>
          <w:color w:val="000000"/>
        </w:rPr>
        <w:t xml:space="preserve">, 101772. </w:t>
      </w:r>
      <w:r w:rsidRPr="008D720C">
        <w:rPr>
          <w:color w:val="525254"/>
        </w:rPr>
        <w:t>DOI:</w:t>
      </w:r>
      <w:r w:rsidRPr="008D720C">
        <w:rPr>
          <w:rStyle w:val="apple-converted-space"/>
          <w:rFonts w:eastAsiaTheme="majorEastAsia"/>
          <w:color w:val="525254"/>
        </w:rPr>
        <w:t> </w:t>
      </w:r>
      <w:hyperlink r:id="rId6" w:tgtFrame="_blank" w:history="1">
        <w:r w:rsidRPr="008D720C">
          <w:rPr>
            <w:rStyle w:val="Hiperhivatkozs"/>
            <w:rFonts w:eastAsiaTheme="majorEastAsia"/>
            <w:bdr w:val="none" w:sz="0" w:space="0" w:color="auto" w:frame="1"/>
          </w:rPr>
          <w:t>10.1016/j.ijer.2021.101772</w:t>
        </w:r>
      </w:hyperlink>
    </w:p>
    <w:p w14:paraId="5A6268F5" w14:textId="77777777" w:rsidR="002C2B2B" w:rsidRPr="008D720C" w:rsidRDefault="002C2B2B" w:rsidP="002C2B2B">
      <w:pPr>
        <w:pStyle w:val="nova-legacy-e-listitem"/>
        <w:spacing w:after="120" w:afterAutospacing="0"/>
        <w:rPr>
          <w:color w:val="525254"/>
        </w:rPr>
      </w:pPr>
      <w:r w:rsidRPr="008D720C">
        <w:rPr>
          <w:color w:val="333333"/>
          <w:shd w:val="clear" w:color="auto" w:fill="FFFFFF"/>
        </w:rPr>
        <w:t xml:space="preserve">Pekrun, R. (2006). </w:t>
      </w:r>
      <w:r w:rsidRPr="008D720C">
        <w:rPr>
          <w:color w:val="000000"/>
        </w:rPr>
        <w:t xml:space="preserve">The control-value theory of achievement emotions: Assumptions, corollaries, and implications for educational research and practice. </w:t>
      </w:r>
      <w:r w:rsidRPr="008D720C">
        <w:rPr>
          <w:rStyle w:val="Kiemels"/>
          <w:rFonts w:eastAsiaTheme="majorEastAsia"/>
          <w:color w:val="000000"/>
        </w:rPr>
        <w:t>Educational Psychology Review, 18</w:t>
      </w:r>
      <w:r w:rsidRPr="008D720C">
        <w:rPr>
          <w:color w:val="000000"/>
        </w:rPr>
        <w:t xml:space="preserve">(4), 315–341. </w:t>
      </w:r>
      <w:r w:rsidRPr="008D720C">
        <w:rPr>
          <w:color w:val="525254"/>
        </w:rPr>
        <w:t>DOI:</w:t>
      </w:r>
      <w:r w:rsidRPr="008D720C">
        <w:rPr>
          <w:rStyle w:val="apple-converted-space"/>
          <w:rFonts w:eastAsiaTheme="majorEastAsia"/>
          <w:color w:val="525254"/>
        </w:rPr>
        <w:t> </w:t>
      </w:r>
      <w:hyperlink r:id="rId7" w:tgtFrame="_blank" w:history="1">
        <w:r w:rsidRPr="008D720C">
          <w:rPr>
            <w:rStyle w:val="Hiperhivatkozs"/>
            <w:rFonts w:eastAsiaTheme="majorEastAsia"/>
            <w:bdr w:val="none" w:sz="0" w:space="0" w:color="auto" w:frame="1"/>
          </w:rPr>
          <w:t>10.1007/s10648-006-9029-9</w:t>
        </w:r>
      </w:hyperlink>
    </w:p>
    <w:p w14:paraId="0C615F84" w14:textId="77777777" w:rsidR="002C2B2B" w:rsidRPr="00064066" w:rsidRDefault="002C2B2B" w:rsidP="002C2B2B">
      <w:pPr>
        <w:pStyle w:val="nova-legacy-e-listitem"/>
        <w:spacing w:before="240" w:beforeAutospacing="0" w:after="0" w:afterAutospacing="0"/>
        <w:rPr>
          <w:color w:val="000000" w:themeColor="text1"/>
          <w:shd w:val="clear" w:color="auto" w:fill="FFFFFF"/>
        </w:rPr>
      </w:pPr>
      <w:r w:rsidRPr="00064066">
        <w:rPr>
          <w:color w:val="000000" w:themeColor="text1"/>
          <w:shd w:val="clear" w:color="auto" w:fill="FFFFFF"/>
        </w:rPr>
        <w:t>Pekrun, R. (2014). Emotions and Learning. Educational Practices Series. Belley, France: International Academy of Education.</w:t>
      </w:r>
    </w:p>
    <w:p w14:paraId="0E99FCA2" w14:textId="77777777" w:rsidR="002C2B2B" w:rsidRPr="00064066" w:rsidRDefault="002C2B2B" w:rsidP="002C2B2B">
      <w:pPr>
        <w:spacing w:before="240"/>
        <w:jc w:val="both"/>
        <w:rPr>
          <w:rFonts w:ascii="Times New Roman" w:hAnsi="Times New Roman" w:cs="Times New Roman"/>
        </w:rPr>
      </w:pPr>
      <w:r w:rsidRPr="00064066">
        <w:rPr>
          <w:rFonts w:ascii="Times New Roman" w:hAnsi="Times New Roman" w:cs="Times New Roman"/>
          <w:color w:val="000000" w:themeColor="text1"/>
          <w:shd w:val="clear" w:color="auto" w:fill="FFFFFF"/>
        </w:rPr>
        <w:t>Pekrun, R. (2017). Emotion and achievement during adolescence.</w:t>
      </w:r>
      <w:r w:rsidRPr="00064066">
        <w:rPr>
          <w:rStyle w:val="apple-converted-space"/>
          <w:rFonts w:ascii="Times New Roman" w:hAnsi="Times New Roman" w:cs="Times New Roman"/>
          <w:color w:val="000000" w:themeColor="text1"/>
          <w:shd w:val="clear" w:color="auto" w:fill="FFFFFF"/>
        </w:rPr>
        <w:t> </w:t>
      </w:r>
      <w:r w:rsidRPr="00064066">
        <w:rPr>
          <w:rStyle w:val="Kiemels"/>
          <w:rFonts w:ascii="Times New Roman" w:hAnsi="Times New Roman" w:cs="Times New Roman"/>
          <w:color w:val="000000" w:themeColor="text1"/>
        </w:rPr>
        <w:t>Child Development Perspectives, 11</w:t>
      </w:r>
      <w:r w:rsidRPr="00064066">
        <w:rPr>
          <w:rFonts w:ascii="Times New Roman" w:hAnsi="Times New Roman" w:cs="Times New Roman"/>
          <w:color w:val="000000" w:themeColor="text1"/>
          <w:shd w:val="clear" w:color="auto" w:fill="FFFFFF"/>
        </w:rPr>
        <w:t>(3), 215–221.</w:t>
      </w:r>
      <w:r w:rsidRPr="00064066">
        <w:rPr>
          <w:rStyle w:val="apple-converted-space"/>
          <w:rFonts w:ascii="Times New Roman" w:hAnsi="Times New Roman" w:cs="Times New Roman"/>
          <w:color w:val="000000" w:themeColor="text1"/>
          <w:shd w:val="clear" w:color="auto" w:fill="FFFFFF"/>
        </w:rPr>
        <w:t> </w:t>
      </w:r>
      <w:hyperlink r:id="rId8" w:tgtFrame="_blank" w:history="1">
        <w:r w:rsidRPr="00064066">
          <w:rPr>
            <w:rStyle w:val="Hiperhivatkozs"/>
            <w:rFonts w:ascii="Times New Roman" w:hAnsi="Times New Roman" w:cs="Times New Roman"/>
            <w:color w:val="2C72B7"/>
          </w:rPr>
          <w:t>https://doi.org/10.1111/cdep.12237</w:t>
        </w:r>
      </w:hyperlink>
    </w:p>
    <w:p w14:paraId="447D96BD" w14:textId="77777777" w:rsidR="002C2B2B" w:rsidRPr="00C9101A" w:rsidRDefault="002C2B2B" w:rsidP="002C2B2B">
      <w:pPr>
        <w:spacing w:before="240"/>
        <w:rPr>
          <w:rFonts w:ascii="Times New Roman" w:hAnsi="Times New Roman" w:cs="Times New Roman"/>
        </w:rPr>
      </w:pPr>
      <w:r w:rsidRPr="00C9101A">
        <w:rPr>
          <w:rFonts w:ascii="Times New Roman" w:hAnsi="Times New Roman" w:cs="Times New Roman"/>
        </w:rPr>
        <w:t>Sirin, S. R. (2005).</w:t>
      </w:r>
      <w:r w:rsidRPr="00C9101A">
        <w:rPr>
          <w:rFonts w:ascii="Times New Roman" w:hAnsi="Times New Roman" w:cs="Times New Roman"/>
        </w:rPr>
        <w:br/>
        <w:t xml:space="preserve">Socioeconomic status and academic achievement: A </w:t>
      </w:r>
      <w:proofErr w:type="gramStart"/>
      <w:r w:rsidRPr="00C9101A">
        <w:rPr>
          <w:rFonts w:ascii="Times New Roman" w:hAnsi="Times New Roman" w:cs="Times New Roman"/>
        </w:rPr>
        <w:t>meta-analytic</w:t>
      </w:r>
      <w:proofErr w:type="gramEnd"/>
      <w:r w:rsidRPr="00C9101A">
        <w:rPr>
          <w:rFonts w:ascii="Times New Roman" w:hAnsi="Times New Roman" w:cs="Times New Roman"/>
        </w:rPr>
        <w:t xml:space="preserve"> review of research.</w:t>
      </w:r>
      <w:r w:rsidRPr="00C9101A">
        <w:rPr>
          <w:rFonts w:ascii="Times New Roman" w:hAnsi="Times New Roman" w:cs="Times New Roman"/>
        </w:rPr>
        <w:br/>
        <w:t xml:space="preserve">Review of Educational Research, 75(3), 417–453. </w:t>
      </w:r>
      <w:hyperlink r:id="rId9" w:history="1">
        <w:r w:rsidRPr="00C9101A">
          <w:rPr>
            <w:rStyle w:val="Hiperhivatkozs"/>
            <w:rFonts w:ascii="Times New Roman" w:hAnsi="Times New Roman" w:cs="Times New Roman"/>
          </w:rPr>
          <w:t>https://doi.org/10.3102/00346543075003417</w:t>
        </w:r>
      </w:hyperlink>
    </w:p>
    <w:p w14:paraId="210C99DE" w14:textId="77777777" w:rsidR="002C2B2B" w:rsidRPr="00C9101A" w:rsidRDefault="002C2B2B" w:rsidP="002C2B2B">
      <w:pPr>
        <w:spacing w:before="240" w:line="360" w:lineRule="auto"/>
        <w:jc w:val="both"/>
        <w:rPr>
          <w:rFonts w:ascii="Times New Roman" w:hAnsi="Times New Roman" w:cs="Times New Roman"/>
        </w:rPr>
      </w:pPr>
      <w:r w:rsidRPr="00C9101A">
        <w:rPr>
          <w:rFonts w:ascii="Times New Roman" w:hAnsi="Times New Roman" w:cs="Times New Roman"/>
          <w:color w:val="000000" w:themeColor="text1"/>
          <w:shd w:val="clear" w:color="auto" w:fill="FFFFFF"/>
        </w:rPr>
        <w:t>Tan, C. Y. (2024). Socioeconomic status and student learning: Insights from an umbrella review.</w:t>
      </w:r>
      <w:r w:rsidRPr="00C9101A">
        <w:rPr>
          <w:rStyle w:val="apple-converted-space"/>
          <w:rFonts w:ascii="Times New Roman" w:hAnsi="Times New Roman" w:cs="Times New Roman"/>
          <w:color w:val="000000" w:themeColor="text1"/>
          <w:shd w:val="clear" w:color="auto" w:fill="FFFFFF"/>
        </w:rPr>
        <w:t> </w:t>
      </w:r>
      <w:r w:rsidRPr="00C9101A">
        <w:rPr>
          <w:rStyle w:val="Kiemels"/>
          <w:rFonts w:ascii="Times New Roman" w:hAnsi="Times New Roman" w:cs="Times New Roman"/>
          <w:color w:val="000000" w:themeColor="text1"/>
        </w:rPr>
        <w:t>Educational Psychology Review, 36</w:t>
      </w:r>
      <w:r w:rsidRPr="00C9101A">
        <w:rPr>
          <w:rFonts w:ascii="Times New Roman" w:hAnsi="Times New Roman" w:cs="Times New Roman"/>
          <w:color w:val="000000" w:themeColor="text1"/>
          <w:shd w:val="clear" w:color="auto" w:fill="FFFFFF"/>
        </w:rPr>
        <w:t>(3), Article 100.</w:t>
      </w:r>
      <w:r w:rsidRPr="00C9101A">
        <w:rPr>
          <w:rStyle w:val="apple-converted-space"/>
          <w:rFonts w:ascii="Times New Roman" w:hAnsi="Times New Roman" w:cs="Times New Roman"/>
          <w:color w:val="000000" w:themeColor="text1"/>
          <w:shd w:val="clear" w:color="auto" w:fill="FFFFFF"/>
        </w:rPr>
        <w:t> </w:t>
      </w:r>
      <w:hyperlink r:id="rId10" w:tgtFrame="_blank" w:history="1">
        <w:r w:rsidRPr="00C9101A">
          <w:rPr>
            <w:rStyle w:val="Hiperhivatkozs"/>
            <w:rFonts w:ascii="Times New Roman" w:hAnsi="Times New Roman" w:cs="Times New Roman"/>
            <w:color w:val="2C72B7"/>
          </w:rPr>
          <w:t>https://doi.org/10.1007/s10648-024-09929-3</w:t>
        </w:r>
      </w:hyperlink>
    </w:p>
    <w:p w14:paraId="7B779EE1" w14:textId="77777777" w:rsidR="002C2B2B" w:rsidRPr="00C9101A" w:rsidRDefault="002C2B2B" w:rsidP="002C2B2B">
      <w:pPr>
        <w:spacing w:before="240" w:line="360" w:lineRule="auto"/>
        <w:jc w:val="both"/>
        <w:rPr>
          <w:rFonts w:ascii="Times New Roman" w:hAnsi="Times New Roman" w:cs="Times New Roman"/>
        </w:rPr>
      </w:pPr>
      <w:r w:rsidRPr="00C9101A">
        <w:rPr>
          <w:rFonts w:ascii="Times New Roman" w:hAnsi="Times New Roman" w:cs="Times New Roman"/>
          <w:color w:val="000000" w:themeColor="text1"/>
          <w:shd w:val="clear" w:color="auto" w:fill="FFFFFF"/>
        </w:rPr>
        <w:t>Wang, M.-T., Chow, A., Hofkens, T., &amp; Salmela-Aro, K. (2015). The trajectories of student emotional engagement and school burnout with academic and psychological development: Findings from Finnish adolescents.</w:t>
      </w:r>
      <w:r w:rsidRPr="00C9101A">
        <w:rPr>
          <w:rStyle w:val="apple-converted-space"/>
          <w:rFonts w:ascii="Times New Roman" w:hAnsi="Times New Roman" w:cs="Times New Roman"/>
          <w:color w:val="000000" w:themeColor="text1"/>
          <w:shd w:val="clear" w:color="auto" w:fill="FFFFFF"/>
        </w:rPr>
        <w:t> </w:t>
      </w:r>
      <w:r w:rsidRPr="00C9101A">
        <w:rPr>
          <w:rStyle w:val="Kiemels"/>
          <w:rFonts w:ascii="Times New Roman" w:hAnsi="Times New Roman" w:cs="Times New Roman"/>
          <w:color w:val="000000" w:themeColor="text1"/>
        </w:rPr>
        <w:t>Learning and Instruction, 36,</w:t>
      </w:r>
      <w:r w:rsidRPr="00C9101A">
        <w:rPr>
          <w:rStyle w:val="apple-converted-space"/>
          <w:rFonts w:ascii="Times New Roman" w:hAnsi="Times New Roman" w:cs="Times New Roman"/>
          <w:color w:val="000000" w:themeColor="text1"/>
          <w:shd w:val="clear" w:color="auto" w:fill="FFFFFF"/>
        </w:rPr>
        <w:t> </w:t>
      </w:r>
      <w:r w:rsidRPr="00C9101A">
        <w:rPr>
          <w:rFonts w:ascii="Times New Roman" w:hAnsi="Times New Roman" w:cs="Times New Roman"/>
          <w:color w:val="000000" w:themeColor="text1"/>
          <w:shd w:val="clear" w:color="auto" w:fill="FFFFFF"/>
        </w:rPr>
        <w:t>57–65.</w:t>
      </w:r>
      <w:r w:rsidRPr="00C9101A">
        <w:rPr>
          <w:rStyle w:val="apple-converted-space"/>
          <w:rFonts w:ascii="Times New Roman" w:hAnsi="Times New Roman" w:cs="Times New Roman"/>
          <w:color w:val="000000" w:themeColor="text1"/>
          <w:shd w:val="clear" w:color="auto" w:fill="FFFFFF"/>
        </w:rPr>
        <w:t> </w:t>
      </w:r>
      <w:hyperlink r:id="rId11" w:tgtFrame="_blank" w:history="1">
        <w:r w:rsidRPr="00C9101A">
          <w:rPr>
            <w:rStyle w:val="Hiperhivatkozs"/>
            <w:rFonts w:ascii="Times New Roman" w:hAnsi="Times New Roman" w:cs="Times New Roman"/>
            <w:color w:val="2C72B7"/>
          </w:rPr>
          <w:t>https://doi.org/10.1016/j.learninstruc.2014.11.004</w:t>
        </w:r>
      </w:hyperlink>
    </w:p>
    <w:p w14:paraId="52580559" w14:textId="77777777" w:rsidR="002C2B2B" w:rsidRPr="000C499E" w:rsidRDefault="002C2B2B" w:rsidP="00DD60CF">
      <w:pPr>
        <w:spacing w:line="360" w:lineRule="auto"/>
        <w:jc w:val="both"/>
        <w:rPr>
          <w:rFonts w:ascii="Times New Roman" w:hAnsi="Times New Roman" w:cs="Times New Roman"/>
        </w:rPr>
      </w:pPr>
    </w:p>
    <w:sectPr w:rsidR="002C2B2B" w:rsidRPr="000C499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Verdana">
    <w:panose1 w:val="020B0604030504040204"/>
    <w:charset w:val="EE"/>
    <w:family w:val="swiss"/>
    <w:pitch w:val="variable"/>
    <w:sig w:usb0="A1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0CF"/>
    <w:rsid w:val="00037761"/>
    <w:rsid w:val="00060E48"/>
    <w:rsid w:val="00074822"/>
    <w:rsid w:val="000B607B"/>
    <w:rsid w:val="000C499E"/>
    <w:rsid w:val="00247DDC"/>
    <w:rsid w:val="00282369"/>
    <w:rsid w:val="002A68A7"/>
    <w:rsid w:val="002C2B2B"/>
    <w:rsid w:val="002D164F"/>
    <w:rsid w:val="002E5325"/>
    <w:rsid w:val="00496CE9"/>
    <w:rsid w:val="004D2B59"/>
    <w:rsid w:val="004D690C"/>
    <w:rsid w:val="004F48BB"/>
    <w:rsid w:val="005E698C"/>
    <w:rsid w:val="006244AB"/>
    <w:rsid w:val="006B73FE"/>
    <w:rsid w:val="006C76B4"/>
    <w:rsid w:val="00750FE9"/>
    <w:rsid w:val="007A2819"/>
    <w:rsid w:val="0083120B"/>
    <w:rsid w:val="008D7EBD"/>
    <w:rsid w:val="008E1753"/>
    <w:rsid w:val="00936202"/>
    <w:rsid w:val="00964C6E"/>
    <w:rsid w:val="009E59C9"/>
    <w:rsid w:val="00A40F6B"/>
    <w:rsid w:val="00A62813"/>
    <w:rsid w:val="00A836D8"/>
    <w:rsid w:val="00A90806"/>
    <w:rsid w:val="00AA2770"/>
    <w:rsid w:val="00AA5DA7"/>
    <w:rsid w:val="00AC0323"/>
    <w:rsid w:val="00B3456D"/>
    <w:rsid w:val="00BC315B"/>
    <w:rsid w:val="00C47898"/>
    <w:rsid w:val="00C91782"/>
    <w:rsid w:val="00D64A6E"/>
    <w:rsid w:val="00DC1944"/>
    <w:rsid w:val="00DD60CF"/>
    <w:rsid w:val="00DD6D00"/>
    <w:rsid w:val="00E165DD"/>
    <w:rsid w:val="00F5413A"/>
    <w:rsid w:val="00F82B5C"/>
    <w:rsid w:val="00F948B7"/>
    <w:rsid w:val="00FB0DF1"/>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decimalSymbol w:val=","/>
  <w:listSeparator w:val=";"/>
  <w14:docId w14:val="0924B913"/>
  <w15:chartTrackingRefBased/>
  <w15:docId w15:val="{7EE937E8-96A9-0B4F-8DBA-1AA1F751A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hu-H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DD60CF"/>
  </w:style>
  <w:style w:type="paragraph" w:styleId="Cmsor1">
    <w:name w:val="heading 1"/>
    <w:basedOn w:val="Norml"/>
    <w:next w:val="Norml"/>
    <w:link w:val="Cmsor1Char"/>
    <w:uiPriority w:val="9"/>
    <w:qFormat/>
    <w:rsid w:val="00DD60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DD60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DD60CF"/>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DD60CF"/>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DD60CF"/>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DD60CF"/>
    <w:pPr>
      <w:keepNext/>
      <w:keepLines/>
      <w:spacing w:before="4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DD60CF"/>
    <w:pPr>
      <w:keepNext/>
      <w:keepLines/>
      <w:spacing w:before="4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DD60CF"/>
    <w:pPr>
      <w:keepNext/>
      <w:keepLines/>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DD60CF"/>
    <w:pPr>
      <w:keepNext/>
      <w:keepLines/>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DD60CF"/>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DD60CF"/>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DD60CF"/>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DD60CF"/>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DD60CF"/>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DD60CF"/>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DD60CF"/>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DD60CF"/>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DD60CF"/>
    <w:rPr>
      <w:rFonts w:eastAsiaTheme="majorEastAsia" w:cstheme="majorBidi"/>
      <w:color w:val="272727" w:themeColor="text1" w:themeTint="D8"/>
    </w:rPr>
  </w:style>
  <w:style w:type="paragraph" w:styleId="Cm">
    <w:name w:val="Title"/>
    <w:basedOn w:val="Norml"/>
    <w:next w:val="Norml"/>
    <w:link w:val="CmChar"/>
    <w:uiPriority w:val="10"/>
    <w:qFormat/>
    <w:rsid w:val="00DD60CF"/>
    <w:pPr>
      <w:spacing w:after="80"/>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DD60CF"/>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DD60CF"/>
    <w:pPr>
      <w:numPr>
        <w:ilvl w:val="1"/>
      </w:numPr>
      <w:spacing w:after="160"/>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DD60CF"/>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DD60CF"/>
    <w:pPr>
      <w:spacing w:before="160" w:after="160"/>
      <w:jc w:val="center"/>
    </w:pPr>
    <w:rPr>
      <w:i/>
      <w:iCs/>
      <w:color w:val="404040" w:themeColor="text1" w:themeTint="BF"/>
    </w:rPr>
  </w:style>
  <w:style w:type="character" w:customStyle="1" w:styleId="IdzetChar">
    <w:name w:val="Idézet Char"/>
    <w:basedOn w:val="Bekezdsalapbettpusa"/>
    <w:link w:val="Idzet"/>
    <w:uiPriority w:val="29"/>
    <w:rsid w:val="00DD60CF"/>
    <w:rPr>
      <w:i/>
      <w:iCs/>
      <w:color w:val="404040" w:themeColor="text1" w:themeTint="BF"/>
    </w:rPr>
  </w:style>
  <w:style w:type="paragraph" w:styleId="Listaszerbekezds">
    <w:name w:val="List Paragraph"/>
    <w:basedOn w:val="Norml"/>
    <w:uiPriority w:val="34"/>
    <w:qFormat/>
    <w:rsid w:val="00DD60CF"/>
    <w:pPr>
      <w:ind w:left="720"/>
      <w:contextualSpacing/>
    </w:pPr>
  </w:style>
  <w:style w:type="character" w:styleId="Erskiemels">
    <w:name w:val="Intense Emphasis"/>
    <w:basedOn w:val="Bekezdsalapbettpusa"/>
    <w:uiPriority w:val="21"/>
    <w:qFormat/>
    <w:rsid w:val="00DD60CF"/>
    <w:rPr>
      <w:i/>
      <w:iCs/>
      <w:color w:val="0F4761" w:themeColor="accent1" w:themeShade="BF"/>
    </w:rPr>
  </w:style>
  <w:style w:type="paragraph" w:styleId="Kiemeltidzet">
    <w:name w:val="Intense Quote"/>
    <w:basedOn w:val="Norml"/>
    <w:next w:val="Norml"/>
    <w:link w:val="KiemeltidzetChar"/>
    <w:uiPriority w:val="30"/>
    <w:qFormat/>
    <w:rsid w:val="00DD60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DD60CF"/>
    <w:rPr>
      <w:i/>
      <w:iCs/>
      <w:color w:val="0F4761" w:themeColor="accent1" w:themeShade="BF"/>
    </w:rPr>
  </w:style>
  <w:style w:type="character" w:styleId="Ershivatkozs">
    <w:name w:val="Intense Reference"/>
    <w:basedOn w:val="Bekezdsalapbettpusa"/>
    <w:uiPriority w:val="32"/>
    <w:qFormat/>
    <w:rsid w:val="00DD60CF"/>
    <w:rPr>
      <w:b/>
      <w:bCs/>
      <w:smallCaps/>
      <w:color w:val="0F4761" w:themeColor="accent1" w:themeShade="BF"/>
      <w:spacing w:val="5"/>
    </w:rPr>
  </w:style>
  <w:style w:type="character" w:customStyle="1" w:styleId="apple-converted-space">
    <w:name w:val="apple-converted-space"/>
    <w:basedOn w:val="Bekezdsalapbettpusa"/>
    <w:rsid w:val="00DD60CF"/>
  </w:style>
  <w:style w:type="character" w:styleId="Kiemels">
    <w:name w:val="Emphasis"/>
    <w:basedOn w:val="Bekezdsalapbettpusa"/>
    <w:uiPriority w:val="20"/>
    <w:qFormat/>
    <w:rsid w:val="002C2B2B"/>
    <w:rPr>
      <w:i/>
      <w:iCs/>
    </w:rPr>
  </w:style>
  <w:style w:type="character" w:styleId="Hiperhivatkozs">
    <w:name w:val="Hyperlink"/>
    <w:basedOn w:val="Bekezdsalapbettpusa"/>
    <w:uiPriority w:val="99"/>
    <w:unhideWhenUsed/>
    <w:rsid w:val="002C2B2B"/>
    <w:rPr>
      <w:color w:val="0000FF"/>
      <w:u w:val="single"/>
    </w:rPr>
  </w:style>
  <w:style w:type="paragraph" w:customStyle="1" w:styleId="nova-legacy-e-listitem">
    <w:name w:val="nova-legacy-e-list__item"/>
    <w:basedOn w:val="Norml"/>
    <w:rsid w:val="002C2B2B"/>
    <w:pPr>
      <w:spacing w:before="100" w:beforeAutospacing="1" w:after="100" w:afterAutospacing="1"/>
    </w:pPr>
    <w:rPr>
      <w:rFonts w:ascii="Times New Roman" w:eastAsia="Times New Roman" w:hAnsi="Times New Roman" w:cs="Times New Roman"/>
      <w:lang w:eastAsia="hu-HU"/>
    </w:rPr>
  </w:style>
  <w:style w:type="character" w:styleId="Kiemels2">
    <w:name w:val="Strong"/>
    <w:basedOn w:val="Bekezdsalapbettpusa"/>
    <w:uiPriority w:val="22"/>
    <w:qFormat/>
    <w:rsid w:val="002C2B2B"/>
    <w:rPr>
      <w:b/>
      <w:bCs/>
    </w:rPr>
  </w:style>
  <w:style w:type="paragraph" w:styleId="NormlWeb">
    <w:name w:val="Normal (Web)"/>
    <w:basedOn w:val="Norml"/>
    <w:uiPriority w:val="99"/>
    <w:unhideWhenUsed/>
    <w:rsid w:val="002C2B2B"/>
    <w:pPr>
      <w:spacing w:before="100" w:beforeAutospacing="1" w:after="100" w:afterAutospacing="1"/>
    </w:pPr>
    <w:rPr>
      <w:rFonts w:ascii="Times New Roman" w:eastAsia="Times New Roman" w:hAnsi="Times New Roman" w:cs="Times New Roman"/>
      <w:lang w:eastAsia="hu-H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sycnet.apa.org/doi/10.1111/cdep.12237"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doi.org/10.1007/s10648-006-9029-9?urlappend=%3Futm_source%3Dresearchgate.net%26utm_medium%3Darticle"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016/j.ijer.2021.101772" TargetMode="External"/><Relationship Id="rId11" Type="http://schemas.openxmlformats.org/officeDocument/2006/relationships/hyperlink" Target="https://psycnet.apa.org/doi/10.1016/j.learninstruc.2014.11.004" TargetMode="External"/><Relationship Id="rId5" Type="http://schemas.openxmlformats.org/officeDocument/2006/relationships/hyperlink" Target="https://psycnet.apa.org/doi/10.1080/00461520.2019.1587297" TargetMode="External"/><Relationship Id="rId10" Type="http://schemas.openxmlformats.org/officeDocument/2006/relationships/hyperlink" Target="https://psycnet.apa.org/doi/10.1007/s10648-024-09929-3" TargetMode="External"/><Relationship Id="rId4" Type="http://schemas.openxmlformats.org/officeDocument/2006/relationships/hyperlink" Target="https://doi.org/10.3102/00346543074001059" TargetMode="External"/><Relationship Id="rId9" Type="http://schemas.openxmlformats.org/officeDocument/2006/relationships/hyperlink" Target="https://doi.org/10.3102/00346543075003417"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1241</Words>
  <Characters>8567</Characters>
  <Application>Microsoft Office Word</Application>
  <DocSecurity>0</DocSecurity>
  <Lines>71</Lines>
  <Paragraphs>19</Paragraphs>
  <ScaleCrop>false</ScaleCrop>
  <Company/>
  <LinksUpToDate>false</LinksUpToDate>
  <CharactersWithSpaces>9789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Kapusi Vanessza</dc:creator>
  <cp:keywords/>
  <dc:description/>
  <cp:lastModifiedBy>Kapusi Vanessza</cp:lastModifiedBy>
  <cp:revision>2</cp:revision>
  <dcterms:created xsi:type="dcterms:W3CDTF">2026-04-08T19:32:00Z</dcterms:created>
  <dcterms:modified xsi:type="dcterms:W3CDTF">2026-04-08T19:32:00Z</dcterms:modified>
</cp:coreProperties>
</file>