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B5C1A" w14:textId="60D69DBC" w:rsidR="005947BA" w:rsidRDefault="00E54130">
      <w:pPr>
        <w:spacing w:after="200"/>
        <w:jc w:val="center"/>
      </w:pPr>
      <w:r>
        <w:rPr>
          <w:b/>
          <w:bCs/>
          <w:sz w:val="28"/>
          <w:szCs w:val="28"/>
        </w:rPr>
        <w:t>Socioemotional and Cognitive Analysis Report</w:t>
      </w:r>
    </w:p>
    <w:p w14:paraId="4704DEAE" w14:textId="77777777" w:rsidR="005947BA" w:rsidRDefault="00E54130">
      <w:pPr>
        <w:spacing w:after="200"/>
        <w:jc w:val="center"/>
      </w:pPr>
      <w:r>
        <w:t>Case Study: Adolescence – Cyberbullying (Carrie)</w:t>
      </w:r>
    </w:p>
    <w:p w14:paraId="20DF8318" w14:textId="77777777" w:rsidR="005947BA" w:rsidRDefault="00E54130">
      <w:pPr>
        <w:pStyle w:val="Heading1"/>
      </w:pPr>
      <w:r>
        <w:t>Socioemotional Theory</w:t>
      </w:r>
    </w:p>
    <w:p w14:paraId="39B4E6F1" w14:textId="77777777" w:rsidR="005947BA" w:rsidRDefault="00E54130">
      <w:pPr>
        <w:pStyle w:val="Heading2"/>
      </w:pPr>
      <w:r>
        <w:t>Erikson's Psychosocial Theory</w:t>
      </w:r>
    </w:p>
    <w:p w14:paraId="79B56CEF" w14:textId="5DB13630" w:rsidR="00390827" w:rsidRDefault="00390827" w:rsidP="00D80367">
      <w:pPr>
        <w:jc w:val="both"/>
      </w:pPr>
      <w:r w:rsidRPr="00390827">
        <w:t xml:space="preserve">Erikson's psychosocial theory holds that development unfolds in eight stages, with each stage bringing a psychosocial crisis, a turning point marked by both vulnerability and potential (Erikson, 1963; Santrock, 2024, p. 19). Newman and Newman (2016) </w:t>
      </w:r>
      <w:r w:rsidR="00416A8D" w:rsidRPr="00390827">
        <w:t>organize</w:t>
      </w:r>
      <w:r w:rsidRPr="00390827">
        <w:t xml:space="preserve"> the theory around five basic concepts: stages of development, psychosocial crises, a radius of significant relationships, prime adaptive ego qualities, and core pathologies (p. 230). Through the epigenetic principle, the stages unfold in a set order, each building on the previous one in a more mature form (Newman &amp; Newman, 2016, pp. 230–231). A psychosocial crisis is a tension between the skills a person shows at the start of a stage and what society expects or demands of them during it (Newman &amp; Newman, 2016, p. 232). Crises are resolved along a continuum, and most people work through them positively, coming out with ego strengths that serve as a resource for the next stage (Newman &amp; Newman, 2016, p. 233).</w:t>
      </w:r>
    </w:p>
    <w:p w14:paraId="39484860" w14:textId="77777777" w:rsidR="00D80367" w:rsidRPr="00390827" w:rsidRDefault="00D80367" w:rsidP="00D80367">
      <w:pPr>
        <w:jc w:val="both"/>
      </w:pPr>
    </w:p>
    <w:p w14:paraId="05285FB1" w14:textId="48E2F161" w:rsidR="00947BBB" w:rsidRPr="00947BBB" w:rsidRDefault="0048256C" w:rsidP="00947BBB">
      <w:pPr>
        <w:jc w:val="both"/>
      </w:pPr>
      <w:r w:rsidRPr="0048256C">
        <w:t>Having reached the age of 13, Carrie is experiencing Erikson's fifth stage of identity versus identity confusion as the adolescent begins to learn who they are, what they are about and where they are going in life (Santrock, 2024, p. 295). This is facilitated by a psychosocial moratorium, a concept introduced by Erikson referring to the period between childhood safety and adult independence where society grants a good deal of freedom to explore various identities (Erikson, 1968; Santrock, 2024, p. 295).</w:t>
      </w:r>
      <w:r>
        <w:t xml:space="preserve"> </w:t>
      </w:r>
      <w:r w:rsidR="00C85A2B" w:rsidRPr="00C85A2B">
        <w:t xml:space="preserve">A good resolution results in the ego strength of fidelity to others, whereas a poor resolution risks the core pathology of dissociation, the inability to relate to others (Newman &amp; Newman, 2016, pp. 234–235). Prior to this stage, Carrie had to overcome industry versus inferiority, and success there would have left her with a lasting sense of industry (Newman &amp; Newman, 2016, p. 234; Santrock, 2024, p. 20). </w:t>
      </w:r>
      <w:r w:rsidR="00947BBB" w:rsidRPr="00947BBB">
        <w:t>Apparently,</w:t>
      </w:r>
      <w:r w:rsidR="00947BBB" w:rsidRPr="00947BBB">
        <w:t xml:space="preserve"> she handled the problem as well as she could; at her old school she was a good swimmer, and she enjoyed her year at an international school in Brussels; she is slowly becoming independent at home.</w:t>
      </w:r>
    </w:p>
    <w:p w14:paraId="0E2272AE" w14:textId="0BC07FC8" w:rsidR="00B57A41" w:rsidRPr="00B57A41" w:rsidRDefault="00947BBB" w:rsidP="00947BBB">
      <w:pPr>
        <w:jc w:val="both"/>
      </w:pPr>
      <w:r w:rsidRPr="00947BBB">
        <w:lastRenderedPageBreak/>
        <w:t xml:space="preserve">Throughout her account, Carrie is primarily preoccupied with questions of who she is. Thankfully, she keeps experimenting with who she is: she reconstructs a close to home self by becoming a swimmer, keeps her Brussels friends on the Internet, and attempts to understand the social structure of her new women’s school. Much confusion. Her growing body makes her </w:t>
      </w:r>
      <w:proofErr w:type="gramStart"/>
      <w:r w:rsidRPr="00947BBB">
        <w:t>more shy and embarrassed</w:t>
      </w:r>
      <w:proofErr w:type="gramEnd"/>
      <w:r w:rsidRPr="00947BBB">
        <w:t>, the Whose Legs page threw it in her face for votes, and she spends the nights awake, hoping no one is laughing at her. She has lost her close connections: her older brother is cold, her mother is, for the most part, not there and her father’s association with Jane’s family at work prevents her from speaking out (Newman &amp; Newman, 2016, p. 234).</w:t>
      </w:r>
      <w:r w:rsidR="00B57A41" w:rsidRPr="00B57A41">
        <w:t xml:space="preserve"> Even so, Carrie is likely to come through this stage positively. She thought </w:t>
      </w:r>
      <w:proofErr w:type="gramStart"/>
      <w:r w:rsidR="00B57A41" w:rsidRPr="00B57A41">
        <w:t>through</w:t>
      </w:r>
      <w:proofErr w:type="gramEnd"/>
      <w:r w:rsidR="00B57A41" w:rsidRPr="00B57A41">
        <w:t xml:space="preserve"> what she could do and went to the guidance counsellor by herself, saw that the other girls were also being picked on, and felt she could do something to help them. Such deeds point to budding fidelity rather than confusion, now that adults are starting to be there for her.</w:t>
      </w:r>
    </w:p>
    <w:p w14:paraId="7F17D8D6" w14:textId="77777777" w:rsidR="005947BA" w:rsidRDefault="00E54130">
      <w:pPr>
        <w:pStyle w:val="Heading2"/>
      </w:pPr>
      <w:r>
        <w:t>Marcia's Theory of Identity Statuses</w:t>
      </w:r>
    </w:p>
    <w:p w14:paraId="56EDAAEE" w14:textId="03362D97" w:rsidR="00D9483C" w:rsidRDefault="00D9483C" w:rsidP="00D80367">
      <w:pPr>
        <w:jc w:val="both"/>
      </w:pPr>
      <w:r w:rsidRPr="00D9483C">
        <w:t xml:space="preserve">Marcia's model builds on Erikson's account of the identity crisis by explaining how adolescents </w:t>
      </w:r>
      <w:proofErr w:type="gramStart"/>
      <w:r w:rsidRPr="00D9483C">
        <w:t>actually go</w:t>
      </w:r>
      <w:proofErr w:type="gramEnd"/>
      <w:r w:rsidRPr="00D9483C">
        <w:t xml:space="preserve"> through it. Marcia identified four identity statuses, or ways of resolving the identity crisis, and classified people along two dimensions, crisis and commitment (Marcia, 1966, pp. 551–552; Santrock, 2024, p. 295). Crisis is a period of identity development in which the individual is weighing up alternatives, though most researchers now </w:t>
      </w:r>
      <w:r w:rsidR="001573B9" w:rsidRPr="00D9483C">
        <w:t>favor</w:t>
      </w:r>
      <w:r w:rsidRPr="00D9483C">
        <w:t xml:space="preserve"> the term exploration (Santrock, 2024, p. 296). Personal dedication to an identity is what Santrock (2024, p. 296) defines as commitment.</w:t>
      </w:r>
    </w:p>
    <w:p w14:paraId="546546B6" w14:textId="77777777" w:rsidR="00D80367" w:rsidRPr="00D9483C" w:rsidRDefault="00D80367" w:rsidP="00D80367">
      <w:pPr>
        <w:jc w:val="both"/>
      </w:pPr>
    </w:p>
    <w:p w14:paraId="76C3482C" w14:textId="77777777" w:rsidR="00D9483C" w:rsidRDefault="00D9483C" w:rsidP="00D80367">
      <w:pPr>
        <w:jc w:val="both"/>
      </w:pPr>
      <w:r w:rsidRPr="00D9483C">
        <w:t xml:space="preserve">Identity diffusion is the status of adolescents who have not explored options or made any commitment, and who usually show little interest in such matters. Identity foreclosure is commitment without exploring options, most often reflecting values handed down by parents before the adolescent has weighed up alternatives. Identity moratorium refers to individuals </w:t>
      </w:r>
      <w:proofErr w:type="gramStart"/>
      <w:r w:rsidRPr="00D9483C">
        <w:t>in the midst of</w:t>
      </w:r>
      <w:proofErr w:type="gramEnd"/>
      <w:r w:rsidRPr="00D9483C">
        <w:t xml:space="preserve"> a crisis whose commitments are absent or unclear. Identity achievement refers to those who have gone through a crisis and have come to a commitment (Santrock, 2024, p. 296). Such statuses are not permanent. Many young adolescents are identity diffused, and individuals can shift between moratorium and achievement over the course of their lives (Santrock, 2024, p. 296).</w:t>
      </w:r>
    </w:p>
    <w:p w14:paraId="3350D67B" w14:textId="77777777" w:rsidR="00D80367" w:rsidRPr="00D9483C" w:rsidRDefault="00D80367" w:rsidP="00D80367">
      <w:pPr>
        <w:jc w:val="both"/>
      </w:pPr>
    </w:p>
    <w:p w14:paraId="62EC91F7" w14:textId="77777777" w:rsidR="00582EBF" w:rsidRPr="00582EBF" w:rsidRDefault="00582EBF" w:rsidP="00D80367">
      <w:pPr>
        <w:jc w:val="both"/>
      </w:pPr>
      <w:r w:rsidRPr="00582EBF">
        <w:lastRenderedPageBreak/>
        <w:t xml:space="preserve">Carrie shows the pattern of identity moratorium, and her socioemotional development is moving in a positive direction. She is actively and sincerely exploring. She questions her friendships after Jane's online remarks about real friends and friends one is forced to keep, sustains her foreign friendships while trying out new ones at Girls' High, and studies the social </w:t>
      </w:r>
      <w:proofErr w:type="gramStart"/>
      <w:r w:rsidRPr="00582EBF">
        <w:t>codes</w:t>
      </w:r>
      <w:proofErr w:type="gramEnd"/>
      <w:r w:rsidRPr="00582EBF">
        <w:t xml:space="preserve"> of the new school rather than giving in to isolation. Joining the </w:t>
      </w:r>
      <w:proofErr w:type="gramStart"/>
      <w:r w:rsidRPr="00582EBF">
        <w:t>swim</w:t>
      </w:r>
      <w:proofErr w:type="gramEnd"/>
      <w:r w:rsidRPr="00582EBF">
        <w:t xml:space="preserve"> team is another step in working out who she might be here. Her plans are still vague, with no friendships settled and no real aims set, which is quite normal for a </w:t>
      </w:r>
      <w:proofErr w:type="gramStart"/>
      <w:r w:rsidRPr="00582EBF">
        <w:t>13 year old</w:t>
      </w:r>
      <w:proofErr w:type="gramEnd"/>
      <w:r w:rsidRPr="00582EBF">
        <w:t xml:space="preserve">. Nor does it appear to be foreclosure, as she is not just taking over pre-established values: she </w:t>
      </w:r>
      <w:proofErr w:type="spellStart"/>
      <w:r w:rsidRPr="00582EBF">
        <w:t>recognises</w:t>
      </w:r>
      <w:proofErr w:type="spellEnd"/>
      <w:r w:rsidRPr="00582EBF">
        <w:t xml:space="preserve"> that her parents' long working hours leave little room for her, and she is working out what she believes for herself. The bullying could still pull her the other way, though. Alone in an empty house, reluctant to trouble her exhausted mother and unable to reach her brother, Carrie could slip into diffusion, where exploration stops altogether. What holds this off is her ongoing involvement: Andrea alerted her to the page, she took it to the guidance counsellor, and she agreed to the plan to bring her parents in. Her status might change again, since identity development does not end with adolescence and people can move from moratorium to achievement and back again (Santrock, 2024, p. 296). Remaining in moratorium thus keeps that road open, and the identity she achieves will depend on the support she receives.</w:t>
      </w:r>
    </w:p>
    <w:p w14:paraId="5BB3658F" w14:textId="77777777" w:rsidR="005947BA" w:rsidRDefault="00E54130">
      <w:pPr>
        <w:pStyle w:val="Heading1"/>
      </w:pPr>
      <w:r>
        <w:t>Cognitive Theory</w:t>
      </w:r>
    </w:p>
    <w:p w14:paraId="0C4BF439" w14:textId="77777777" w:rsidR="005947BA" w:rsidRDefault="00E54130">
      <w:pPr>
        <w:pStyle w:val="Heading2"/>
      </w:pPr>
      <w:r>
        <w:t>Piaget's Cognitive Developmental Theory</w:t>
      </w:r>
    </w:p>
    <w:p w14:paraId="527D7618" w14:textId="77777777" w:rsidR="002E6562" w:rsidRDefault="002E6562" w:rsidP="00242697">
      <w:pPr>
        <w:jc w:val="both"/>
      </w:pPr>
      <w:r w:rsidRPr="002E6562">
        <w:t>According to Piaget's cognitive development theory, children are constructors of knowledge, and they attain a conception of the world through a series of four stages (Santrock, 2024, p. 20). Stages follow one another and each new stage remakes thinking in a new way. The fourth and final stage, the formal operational stage, starts at around eleven years of age (Santrock, 2024, p. 284).</w:t>
      </w:r>
    </w:p>
    <w:p w14:paraId="12E3667A" w14:textId="77777777" w:rsidR="00D80367" w:rsidRDefault="00D80367" w:rsidP="00242697">
      <w:pPr>
        <w:jc w:val="both"/>
      </w:pPr>
    </w:p>
    <w:p w14:paraId="5E16CA25" w14:textId="6D938003" w:rsidR="005947BA" w:rsidRDefault="002E6562" w:rsidP="00242697">
      <w:pPr>
        <w:jc w:val="both"/>
      </w:pPr>
      <w:r w:rsidRPr="002E6562">
        <w:t xml:space="preserve">Formal operational reasoning is more conceptual than concrete childhood thinking. Adolescents, meanwhile, are no longer bound by real-world facts and can entertain what-ifs and totally imaginary situations (Piaget, 1972, p. 1; Santrock, 2024, p. 284). A significant achievement is hypothetical-deductive reasoning, which is to propose a hypothesis and derive the consequences of the proposed hypothesis so that they can be </w:t>
      </w:r>
      <w:proofErr w:type="spellStart"/>
      <w:r w:rsidRPr="002E6562">
        <w:t>scrutinised</w:t>
      </w:r>
      <w:proofErr w:type="spellEnd"/>
      <w:r w:rsidRPr="002E6562">
        <w:t xml:space="preserve"> in an </w:t>
      </w:r>
      <w:proofErr w:type="spellStart"/>
      <w:r w:rsidRPr="002E6562">
        <w:t>organised</w:t>
      </w:r>
      <w:proofErr w:type="spellEnd"/>
      <w:r w:rsidRPr="002E6562">
        <w:t xml:space="preserve"> fashion (Santrock, 2024, p. 285). Much of the research, though, shows a great deal </w:t>
      </w:r>
      <w:r w:rsidRPr="002E6562">
        <w:lastRenderedPageBreak/>
        <w:t>of individual variation: only about one-third of young adolescents are formal operational thinkers, and quite a few adults are not (Santrock, 2024, p. 285). Egocentrism is also characteristic of the thinking of the adolescent as Elkind (1967, p. 1025) was the first to note. He specified two components.</w:t>
      </w:r>
      <w:r w:rsidR="00B27C29" w:rsidRPr="00B27C29">
        <w:t xml:space="preserve"> The imaginary audience is the assumption that others are as concerned with adolescents as adolescents are with themselves, which produces the feeling of always being watched. The personal fable is the sense of being special and invincible (Santrock, 2024, pp. 285–286). Social media can amplify such adolescent egocentrism (Santrock, 2024, p. 286).</w:t>
      </w:r>
    </w:p>
    <w:p w14:paraId="618FF15F" w14:textId="77777777" w:rsidR="00D80367" w:rsidRDefault="00D80367" w:rsidP="00242697">
      <w:pPr>
        <w:jc w:val="both"/>
      </w:pPr>
    </w:p>
    <w:p w14:paraId="2B55CB2E" w14:textId="1A270DDC" w:rsidR="005947BA" w:rsidRDefault="00820632" w:rsidP="00242697">
      <w:pPr>
        <w:jc w:val="both"/>
      </w:pPr>
      <w:r w:rsidRPr="00820632">
        <w:t>Carrie's ruminations illustrate the potential and the constraints of formal operational thinking.</w:t>
      </w:r>
      <w:r w:rsidR="008E2BDD">
        <w:t xml:space="preserve"> </w:t>
      </w:r>
      <w:r w:rsidR="008E2BDD" w:rsidRPr="008E2BDD">
        <w:t xml:space="preserve">She approached the guidance counsellor only after she had tried everything else and was left with no more possibilities and options in her mind to try; she had, in a way, begun to think hypothetically and deductively: she </w:t>
      </w:r>
      <w:r w:rsidR="00CA7FC0" w:rsidRPr="008E2BDD">
        <w:t>hypothesized</w:t>
      </w:r>
      <w:r w:rsidR="008E2BDD" w:rsidRPr="008E2BDD">
        <w:t xml:space="preserve">, considered and then chose which was the best option. Her thoughts are becoming </w:t>
      </w:r>
      <w:proofErr w:type="gramStart"/>
      <w:r w:rsidR="008E2BDD" w:rsidRPr="008E2BDD">
        <w:t>more and more</w:t>
      </w:r>
      <w:proofErr w:type="gramEnd"/>
      <w:r w:rsidR="008E2BDD" w:rsidRPr="008E2BDD">
        <w:t xml:space="preserve"> abstract. She translates the silent way of being in a difficult social circle, interprets the social weight of the </w:t>
      </w:r>
      <w:r w:rsidR="00CA7FC0" w:rsidRPr="008E2BDD">
        <w:t>follow-on</w:t>
      </w:r>
      <w:r w:rsidR="008E2BDD" w:rsidRPr="008E2BDD">
        <w:t xml:space="preserve"> Instagram, and compares her own life with systems such as the Harmful Digital Communications Act, NetSafe, and school policies. Concurrently, she is still under the influence of adolescent egocentrism. She is convinced that every single person is looking at her legs and that the entire world is sniggering at her, a classic example of the imaginary </w:t>
      </w:r>
      <w:r w:rsidR="00CA7FC0" w:rsidRPr="008E2BDD">
        <w:t>audience.</w:t>
      </w:r>
      <w:r w:rsidRPr="00820632">
        <w:t xml:space="preserve"> Her case also shows social media intensifying this egocentrism, as the audience in her mind has partly become real via the voting page, and studies link social media use to heightened self-interest (Santrock, 2024, p. 286). Meta-analytic studies identify stress and suicidal ideation as severe forms of distress linked to cyberbullying </w:t>
      </w:r>
      <w:r w:rsidR="00CA7FC0" w:rsidRPr="00820632">
        <w:t>victimization</w:t>
      </w:r>
      <w:r w:rsidRPr="00820632">
        <w:t xml:space="preserve"> (Kowalski et al., 2014, p. 1073). No personal fable is evident, though. Carrie </w:t>
      </w:r>
      <w:r w:rsidR="00CA7FC0" w:rsidRPr="00820632">
        <w:t>realizes</w:t>
      </w:r>
      <w:r w:rsidRPr="00820632">
        <w:t xml:space="preserve"> other girls are being bullied as well, and she wants the bullying to end for them as much as for herself. That is rather mature thinking. Generally, her cognitive development seems quite good for her age, with systematic reasoning still developing alongside a very adolescent self-consciousness.</w:t>
      </w:r>
    </w:p>
    <w:p w14:paraId="1560601B" w14:textId="77777777" w:rsidR="005947BA" w:rsidRDefault="00E54130">
      <w:pPr>
        <w:pStyle w:val="Heading1"/>
      </w:pPr>
      <w:r>
        <w:t>Evaluation</w:t>
      </w:r>
    </w:p>
    <w:p w14:paraId="2D53AEB9" w14:textId="4E7C3E71" w:rsidR="00C07193" w:rsidRDefault="00AD241E" w:rsidP="00242697">
      <w:pPr>
        <w:jc w:val="both"/>
      </w:pPr>
      <w:r w:rsidRPr="00AD241E">
        <w:t xml:space="preserve">Did the theories clarify anything about Carrie? Of all the stage theories, Erikson's was the most useful because it clarified why friends, being liked, and looks are so critical at 13, and the moratorium idea was good for her role-playing experiments. The downside is that it tells </w:t>
      </w:r>
      <w:r w:rsidRPr="00AD241E">
        <w:lastRenderedPageBreak/>
        <w:t xml:space="preserve">you what at her age should be happening to her rather than why it is happening to her. Carrie’s collapse is, for the most part, due to her </w:t>
      </w:r>
      <w:proofErr w:type="gramStart"/>
      <w:r w:rsidRPr="00AD241E">
        <w:t>surroundings:</w:t>
      </w:r>
      <w:proofErr w:type="gramEnd"/>
      <w:r w:rsidRPr="00AD241E">
        <w:t xml:space="preserve"> moves, an uncaring family, and a social order based on exclusion. Marcia's stages explained where Carrie was, and Piaget's development theory explained why she was overthinking and felt self</w:t>
      </w:r>
      <w:r w:rsidRPr="00AD241E">
        <w:noBreakHyphen/>
        <w:t>conscious. However, doing theory was doing a little bit of reading between the lines of the story. This exercise mainly shows that theories organize case evidence quite well if they are, shall we say, considered in the company of a young person and not in a vacuum.</w:t>
      </w:r>
    </w:p>
    <w:p w14:paraId="0167DFE5" w14:textId="77777777" w:rsidR="00C07193" w:rsidRDefault="00C07193">
      <w:r>
        <w:br w:type="page"/>
      </w:r>
    </w:p>
    <w:p w14:paraId="7E62AA8C" w14:textId="77777777" w:rsidR="005947BA" w:rsidRDefault="00E54130">
      <w:pPr>
        <w:pStyle w:val="Heading1"/>
      </w:pPr>
      <w:r>
        <w:lastRenderedPageBreak/>
        <w:t>References</w:t>
      </w:r>
    </w:p>
    <w:p w14:paraId="2A35B7AB" w14:textId="1D9D1B81" w:rsidR="005947BA" w:rsidRDefault="00E54130">
      <w:pPr>
        <w:ind w:left="720" w:hanging="720"/>
      </w:pPr>
      <w:r>
        <w:t xml:space="preserve">Elkind, D. (1967). Egocentrism in adolescence. </w:t>
      </w:r>
      <w:r>
        <w:rPr>
          <w:i/>
          <w:iCs/>
        </w:rPr>
        <w:t>Child Development, 38</w:t>
      </w:r>
      <w:r>
        <w:t xml:space="preserve">(4), 1025–1034. </w:t>
      </w:r>
      <w:hyperlink r:id="rId7" w:history="1">
        <w:r w:rsidR="005947BA" w:rsidRPr="00AE467B">
          <w:rPr>
            <w:rStyle w:val="Hyperlink"/>
          </w:rPr>
          <w:t>https://doi.org/10.2307/1127100</w:t>
        </w:r>
      </w:hyperlink>
    </w:p>
    <w:p w14:paraId="69D3E9DE" w14:textId="77777777" w:rsidR="005947BA" w:rsidRDefault="00E54130">
      <w:pPr>
        <w:ind w:left="720" w:hanging="720"/>
      </w:pPr>
      <w:r>
        <w:t xml:space="preserve">Erikson, E. H. (1963). </w:t>
      </w:r>
      <w:r>
        <w:rPr>
          <w:i/>
          <w:iCs/>
        </w:rPr>
        <w:t>Childhood and society</w:t>
      </w:r>
      <w:r>
        <w:t xml:space="preserve"> (2nd ed.). W. W. Norton.</w:t>
      </w:r>
    </w:p>
    <w:p w14:paraId="01BFE62F" w14:textId="77777777" w:rsidR="005947BA" w:rsidRDefault="00E54130">
      <w:pPr>
        <w:ind w:left="720" w:hanging="720"/>
      </w:pPr>
      <w:r>
        <w:t xml:space="preserve">Erikson, E. H. (1968). </w:t>
      </w:r>
      <w:r>
        <w:rPr>
          <w:i/>
          <w:iCs/>
        </w:rPr>
        <w:t>Identity: Youth and crisis</w:t>
      </w:r>
      <w:r>
        <w:t>. W. W. Norton.</w:t>
      </w:r>
    </w:p>
    <w:p w14:paraId="39EE4834" w14:textId="48F87F4C" w:rsidR="005947BA" w:rsidRDefault="00E54130">
      <w:pPr>
        <w:ind w:left="720" w:hanging="720"/>
      </w:pPr>
      <w:r>
        <w:t xml:space="preserve">Kowalski, R. M., Giumetti, G. W., Schroeder, A. N., &amp; </w:t>
      </w:r>
      <w:proofErr w:type="spellStart"/>
      <w:r>
        <w:t>Lattanner</w:t>
      </w:r>
      <w:proofErr w:type="spellEnd"/>
      <w:r>
        <w:t xml:space="preserve">, M. R. (2014). Bullying in the digital age: A critical review and meta-analysis of cyberbullying research among youth. </w:t>
      </w:r>
      <w:r>
        <w:rPr>
          <w:i/>
          <w:iCs/>
        </w:rPr>
        <w:t>Psychological Bulletin, 140</w:t>
      </w:r>
      <w:r>
        <w:t xml:space="preserve">(4), 1073–1137. </w:t>
      </w:r>
      <w:hyperlink r:id="rId8" w:history="1">
        <w:r w:rsidR="005947BA" w:rsidRPr="00AE467B">
          <w:rPr>
            <w:rStyle w:val="Hyperlink"/>
          </w:rPr>
          <w:t>https://doi.org/10.1037/a0035618</w:t>
        </w:r>
      </w:hyperlink>
    </w:p>
    <w:p w14:paraId="0554D667" w14:textId="17741866" w:rsidR="005947BA" w:rsidRDefault="00E54130">
      <w:pPr>
        <w:ind w:left="720" w:hanging="720"/>
      </w:pPr>
      <w:r>
        <w:t xml:space="preserve">Marcia, J. E. (1966). Development and validation of ego-identity status. </w:t>
      </w:r>
      <w:r>
        <w:rPr>
          <w:i/>
          <w:iCs/>
        </w:rPr>
        <w:t>Journal of Personality and Social Psychology, 3</w:t>
      </w:r>
      <w:r>
        <w:t xml:space="preserve">(5), 551–558. </w:t>
      </w:r>
      <w:hyperlink r:id="rId9" w:history="1">
        <w:r w:rsidR="005947BA" w:rsidRPr="00AE467B">
          <w:rPr>
            <w:rStyle w:val="Hyperlink"/>
          </w:rPr>
          <w:t>https://doi.org/10.1037/h0023281</w:t>
        </w:r>
      </w:hyperlink>
    </w:p>
    <w:p w14:paraId="22B1D9ED" w14:textId="77777777" w:rsidR="005947BA" w:rsidRDefault="00E54130">
      <w:pPr>
        <w:ind w:left="720" w:hanging="720"/>
      </w:pPr>
      <w:r>
        <w:t xml:space="preserve">Newman, B. M., &amp; Newman, P. R. (2016). </w:t>
      </w:r>
      <w:r>
        <w:rPr>
          <w:i/>
          <w:iCs/>
        </w:rPr>
        <w:t>Development through life: A psychosocial approach</w:t>
      </w:r>
      <w:r>
        <w:t xml:space="preserve"> (13th ed.). Cengage Learning.</w:t>
      </w:r>
    </w:p>
    <w:p w14:paraId="1C022EE5" w14:textId="6F2C33E3" w:rsidR="005947BA" w:rsidRDefault="00E54130">
      <w:pPr>
        <w:ind w:left="720" w:hanging="720"/>
      </w:pPr>
      <w:r>
        <w:t xml:space="preserve">Piaget, J. (1972). Intellectual evolution from adolescence to adulthood. </w:t>
      </w:r>
      <w:r>
        <w:rPr>
          <w:i/>
          <w:iCs/>
        </w:rPr>
        <w:t>Human Development, 15</w:t>
      </w:r>
      <w:r>
        <w:t xml:space="preserve">(1), 1–12. </w:t>
      </w:r>
      <w:hyperlink r:id="rId10" w:history="1">
        <w:r w:rsidR="005947BA" w:rsidRPr="00AE467B">
          <w:rPr>
            <w:rStyle w:val="Hyperlink"/>
          </w:rPr>
          <w:t>https://doi.org/10.1159/000271225</w:t>
        </w:r>
      </w:hyperlink>
    </w:p>
    <w:p w14:paraId="1ACDB9D8" w14:textId="77777777" w:rsidR="005947BA" w:rsidRDefault="00E54130">
      <w:pPr>
        <w:ind w:left="720" w:hanging="720"/>
      </w:pPr>
      <w:r>
        <w:t xml:space="preserve">Santrock, J. W. (2024). </w:t>
      </w:r>
      <w:r>
        <w:rPr>
          <w:i/>
          <w:iCs/>
        </w:rPr>
        <w:t>Essentials of life-span development</w:t>
      </w:r>
      <w:r>
        <w:t xml:space="preserve"> (8th ed.). McGraw-Hill Education.</w:t>
      </w:r>
    </w:p>
    <w:sectPr w:rsidR="005947BA">
      <w:footerReference w:type="default" r:id="rId11"/>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29CF" w14:textId="77777777" w:rsidR="00FD5865" w:rsidRDefault="00FD5865">
      <w:pPr>
        <w:spacing w:line="240" w:lineRule="auto"/>
      </w:pPr>
      <w:r>
        <w:separator/>
      </w:r>
    </w:p>
  </w:endnote>
  <w:endnote w:type="continuationSeparator" w:id="0">
    <w:p w14:paraId="6E92470E" w14:textId="77777777" w:rsidR="00FD5865" w:rsidRDefault="00FD58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F964" w14:textId="77777777" w:rsidR="005947BA" w:rsidRDefault="00E54130">
    <w:pPr>
      <w:jc w:val="center"/>
    </w:pPr>
    <w:r>
      <w:rPr>
        <w:sz w:val="21"/>
        <w:szCs w:val="21"/>
      </w:rPr>
      <w:fldChar w:fldCharType="begin"/>
    </w:r>
    <w:r>
      <w:rPr>
        <w:sz w:val="21"/>
        <w:szCs w:val="21"/>
      </w:rPr>
      <w:instrText>PAGE</w:instrText>
    </w:r>
    <w:r>
      <w:rPr>
        <w:sz w:val="21"/>
        <w:szCs w:val="21"/>
      </w:rPr>
      <w:fldChar w:fldCharType="separate"/>
    </w:r>
    <w:r w:rsidR="00AE467B">
      <w:rPr>
        <w:noProof/>
        <w:sz w:val="21"/>
        <w:szCs w:val="21"/>
      </w:rPr>
      <w:t>1</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50C89" w14:textId="77777777" w:rsidR="00FD5865" w:rsidRDefault="00FD5865">
      <w:pPr>
        <w:spacing w:line="240" w:lineRule="auto"/>
      </w:pPr>
      <w:r>
        <w:separator/>
      </w:r>
    </w:p>
  </w:footnote>
  <w:footnote w:type="continuationSeparator" w:id="0">
    <w:p w14:paraId="7F960C23" w14:textId="77777777" w:rsidR="00FD5865" w:rsidRDefault="00FD58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73CF"/>
    <w:multiLevelType w:val="hybridMultilevel"/>
    <w:tmpl w:val="87EA9C82"/>
    <w:lvl w:ilvl="0" w:tplc="9984F172">
      <w:start w:val="1"/>
      <w:numFmt w:val="bullet"/>
      <w:lvlText w:val="●"/>
      <w:lvlJc w:val="left"/>
      <w:pPr>
        <w:ind w:left="720" w:hanging="360"/>
      </w:pPr>
    </w:lvl>
    <w:lvl w:ilvl="1" w:tplc="32648210">
      <w:start w:val="1"/>
      <w:numFmt w:val="bullet"/>
      <w:lvlText w:val="○"/>
      <w:lvlJc w:val="left"/>
      <w:pPr>
        <w:ind w:left="1440" w:hanging="360"/>
      </w:pPr>
    </w:lvl>
    <w:lvl w:ilvl="2" w:tplc="4292619E">
      <w:start w:val="1"/>
      <w:numFmt w:val="bullet"/>
      <w:lvlText w:val="■"/>
      <w:lvlJc w:val="left"/>
      <w:pPr>
        <w:ind w:left="2160" w:hanging="360"/>
      </w:pPr>
    </w:lvl>
    <w:lvl w:ilvl="3" w:tplc="830CCCB8">
      <w:start w:val="1"/>
      <w:numFmt w:val="bullet"/>
      <w:lvlText w:val="●"/>
      <w:lvlJc w:val="left"/>
      <w:pPr>
        <w:ind w:left="2880" w:hanging="360"/>
      </w:pPr>
    </w:lvl>
    <w:lvl w:ilvl="4" w:tplc="3B9E9824">
      <w:start w:val="1"/>
      <w:numFmt w:val="bullet"/>
      <w:lvlText w:val="○"/>
      <w:lvlJc w:val="left"/>
      <w:pPr>
        <w:ind w:left="3600" w:hanging="360"/>
      </w:pPr>
    </w:lvl>
    <w:lvl w:ilvl="5" w:tplc="1E4CB1A2">
      <w:start w:val="1"/>
      <w:numFmt w:val="bullet"/>
      <w:lvlText w:val="■"/>
      <w:lvlJc w:val="left"/>
      <w:pPr>
        <w:ind w:left="4320" w:hanging="360"/>
      </w:pPr>
    </w:lvl>
    <w:lvl w:ilvl="6" w:tplc="10841448">
      <w:start w:val="1"/>
      <w:numFmt w:val="bullet"/>
      <w:lvlText w:val="●"/>
      <w:lvlJc w:val="left"/>
      <w:pPr>
        <w:ind w:left="5040" w:hanging="360"/>
      </w:pPr>
    </w:lvl>
    <w:lvl w:ilvl="7" w:tplc="68305C3C">
      <w:start w:val="1"/>
      <w:numFmt w:val="bullet"/>
      <w:lvlText w:val="●"/>
      <w:lvlJc w:val="left"/>
      <w:pPr>
        <w:ind w:left="5760" w:hanging="360"/>
      </w:pPr>
    </w:lvl>
    <w:lvl w:ilvl="8" w:tplc="F692FAEA">
      <w:start w:val="1"/>
      <w:numFmt w:val="bullet"/>
      <w:lvlText w:val="●"/>
      <w:lvlJc w:val="left"/>
      <w:pPr>
        <w:ind w:left="6480" w:hanging="360"/>
      </w:pPr>
    </w:lvl>
  </w:abstractNum>
  <w:num w:numId="1" w16cid:durableId="1334334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7BA"/>
    <w:rsid w:val="000477A8"/>
    <w:rsid w:val="00071594"/>
    <w:rsid w:val="000D5CE4"/>
    <w:rsid w:val="001573B9"/>
    <w:rsid w:val="0020143D"/>
    <w:rsid w:val="00211C58"/>
    <w:rsid w:val="00242697"/>
    <w:rsid w:val="002E6562"/>
    <w:rsid w:val="002F2144"/>
    <w:rsid w:val="00390827"/>
    <w:rsid w:val="003C0162"/>
    <w:rsid w:val="003D6BA7"/>
    <w:rsid w:val="00416A8D"/>
    <w:rsid w:val="0048256C"/>
    <w:rsid w:val="00566AFF"/>
    <w:rsid w:val="00582EBF"/>
    <w:rsid w:val="005947BA"/>
    <w:rsid w:val="006A4B9C"/>
    <w:rsid w:val="00723C01"/>
    <w:rsid w:val="007C0573"/>
    <w:rsid w:val="00812B88"/>
    <w:rsid w:val="00820632"/>
    <w:rsid w:val="00843F8B"/>
    <w:rsid w:val="00853336"/>
    <w:rsid w:val="008B28EA"/>
    <w:rsid w:val="008E2BDD"/>
    <w:rsid w:val="008F6546"/>
    <w:rsid w:val="0092191E"/>
    <w:rsid w:val="00931712"/>
    <w:rsid w:val="00947BBB"/>
    <w:rsid w:val="00992A2C"/>
    <w:rsid w:val="00A22E16"/>
    <w:rsid w:val="00A52EF3"/>
    <w:rsid w:val="00AA0A2D"/>
    <w:rsid w:val="00AD241E"/>
    <w:rsid w:val="00AE467B"/>
    <w:rsid w:val="00B27C29"/>
    <w:rsid w:val="00B57A41"/>
    <w:rsid w:val="00C01DDC"/>
    <w:rsid w:val="00C07193"/>
    <w:rsid w:val="00C078AB"/>
    <w:rsid w:val="00C17862"/>
    <w:rsid w:val="00C85A2B"/>
    <w:rsid w:val="00CA7FC0"/>
    <w:rsid w:val="00CC7ECF"/>
    <w:rsid w:val="00CE5156"/>
    <w:rsid w:val="00D24377"/>
    <w:rsid w:val="00D80367"/>
    <w:rsid w:val="00D9483C"/>
    <w:rsid w:val="00DC137C"/>
    <w:rsid w:val="00E378E8"/>
    <w:rsid w:val="00E54130"/>
    <w:rsid w:val="00EE175F"/>
    <w:rsid w:val="00F8073A"/>
    <w:rsid w:val="00FD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8984"/>
  <w15:docId w15:val="{9FF72202-4120-4F0D-8C32-C1C226DBE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E467B"/>
    <w:rPr>
      <w:color w:val="605E5C"/>
      <w:shd w:val="clear" w:color="auto" w:fill="E1DFDD"/>
    </w:rPr>
  </w:style>
  <w:style w:type="paragraph" w:styleId="NormalWeb">
    <w:name w:val="Normal (Web)"/>
    <w:basedOn w:val="Normal"/>
    <w:uiPriority w:val="99"/>
    <w:semiHidden/>
    <w:unhideWhenUsed/>
    <w:rsid w:val="00992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7/a003561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2307/112710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159/000271225" TargetMode="External"/><Relationship Id="rId4" Type="http://schemas.openxmlformats.org/officeDocument/2006/relationships/webSettings" Target="webSettings.xml"/><Relationship Id="rId9" Type="http://schemas.openxmlformats.org/officeDocument/2006/relationships/hyperlink" Target="https://doi.org/10.1037/h0023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1744</Words>
  <Characters>9946</Characters>
  <Application>Microsoft Office Word</Application>
  <DocSecurity>0</DocSecurity>
  <Lines>82</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Three: Socioemotional and Cognitive Analysis Report</dc:title>
  <dc:creator>Mishal Joytishna Charan</dc:creator>
  <cp:lastModifiedBy>Savnit Prasad</cp:lastModifiedBy>
  <cp:revision>37</cp:revision>
  <dcterms:created xsi:type="dcterms:W3CDTF">2026-10-01T07:21:00Z</dcterms:created>
  <dcterms:modified xsi:type="dcterms:W3CDTF">2026-10-10T07:15:00Z</dcterms:modified>
</cp:coreProperties>
</file>