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5C1A" w14:textId="77777777" w:rsidR="005947BA" w:rsidRDefault="00000000">
      <w:pPr>
        <w:spacing w:after="200"/>
        <w:jc w:val="center"/>
      </w:pPr>
      <w:r>
        <w:rPr>
          <w:b/>
          <w:bCs/>
          <w:sz w:val="28"/>
          <w:szCs w:val="28"/>
        </w:rPr>
        <w:t>Assignment Three: Socioemotional and Cognitive Analysis Report</w:t>
      </w:r>
    </w:p>
    <w:p w14:paraId="01F90C1E" w14:textId="77777777" w:rsidR="005947BA" w:rsidRDefault="00000000">
      <w:pPr>
        <w:spacing w:after="60"/>
        <w:jc w:val="center"/>
      </w:pPr>
      <w:r>
        <w:t xml:space="preserve">Name: Mishal </w:t>
      </w:r>
      <w:proofErr w:type="spellStart"/>
      <w:r>
        <w:t>Joytishna</w:t>
      </w:r>
      <w:proofErr w:type="spellEnd"/>
      <w:r>
        <w:t xml:space="preserve"> Charan</w:t>
      </w:r>
    </w:p>
    <w:p w14:paraId="4A5296FE" w14:textId="77777777" w:rsidR="005947BA" w:rsidRDefault="00000000">
      <w:pPr>
        <w:spacing w:after="60"/>
        <w:jc w:val="center"/>
      </w:pPr>
      <w:r>
        <w:t>Student ID: 26013944</w:t>
      </w:r>
    </w:p>
    <w:p w14:paraId="5D775BAD" w14:textId="77777777" w:rsidR="005947BA" w:rsidRDefault="00000000">
      <w:pPr>
        <w:spacing w:after="60"/>
        <w:jc w:val="center"/>
      </w:pPr>
      <w:r>
        <w:t>Course: 275.102 Human Development</w:t>
      </w:r>
    </w:p>
    <w:p w14:paraId="4704DEAE" w14:textId="77777777" w:rsidR="005947BA" w:rsidRDefault="00000000">
      <w:pPr>
        <w:spacing w:after="200"/>
        <w:jc w:val="center"/>
      </w:pPr>
      <w:r>
        <w:t>Case Study: Adolescence – Cyberbullying (Carrie)</w:t>
      </w:r>
    </w:p>
    <w:p w14:paraId="20DF8318" w14:textId="77777777" w:rsidR="005947BA" w:rsidRDefault="00000000">
      <w:pPr>
        <w:pStyle w:val="Heading1"/>
      </w:pPr>
      <w:r>
        <w:t>Socioemotional Theory</w:t>
      </w:r>
    </w:p>
    <w:p w14:paraId="39B4E6F1" w14:textId="77777777" w:rsidR="005947BA" w:rsidRDefault="00000000">
      <w:pPr>
        <w:pStyle w:val="Heading2"/>
      </w:pPr>
      <w:r>
        <w:t>Erikson's Psychosocial Theory</w:t>
      </w:r>
    </w:p>
    <w:p w14:paraId="6C0C805E" w14:textId="77777777" w:rsidR="005947BA" w:rsidRDefault="00000000">
      <w:pPr>
        <w:ind w:firstLine="720"/>
        <w:jc w:val="both"/>
      </w:pPr>
      <w:r>
        <w:t xml:space="preserve">Erikson's psychosocial theory proposes that development unfolds through eight stages, and each stage presents a psychosocial crisis, a turning point marked by both vulnerability and potential (Erikson, 1963; Santrock, 2024, p. 19). Newman and Newman (2016) describe five </w:t>
      </w:r>
      <w:proofErr w:type="spellStart"/>
      <w:r>
        <w:t>organising</w:t>
      </w:r>
      <w:proofErr w:type="spellEnd"/>
      <w:r>
        <w:t xml:space="preserve"> concepts: stages of development, psychosocial crises, a radius of significant relationships, prime adaptive ego qualities, and core pathologies (p. 230). The stages follow the epigenetic principle, unfolding in a fixed sequence in which each stage builds on the last (Newman &amp; Newman, 2016, pp. 230–231). A psychosocial crisis is a state of tension between a person's competencies at the beginning of a stage and society's expectations for that period of life (Newman &amp; Newman, 2016, p. 232). Crises are resolved along a continuum, and most people resolve them in a generally positive direction, gaining ego strengths that help them meet the next stage (Newman &amp; Newman, 2016, p. 233).</w:t>
      </w:r>
    </w:p>
    <w:p w14:paraId="36A587AA" w14:textId="77777777" w:rsidR="005947BA" w:rsidRDefault="00000000">
      <w:pPr>
        <w:ind w:firstLine="720"/>
        <w:jc w:val="both"/>
      </w:pPr>
      <w:r>
        <w:t xml:space="preserve">Carrie is 13 years old, which places her in Erikson's fifth stage, identity versus identity confusion, when adolescents work out who they are, what they are all about, and where they are going in life (Santrock, 2024, p. 295). The search is supported by a psychosocial moratorium, Erikson's term for the gap between childhood security and adult autonomy in which society leaves adolescents relatively free to try out different roles (Erikson, 1968; Santrock, 2024, p. 295). A healthy resolution produces the ego strength of fidelity to others, while an unhealthy one risks the core pathology of dissociation, an inability to connect with others (Newman &amp; Newman, 2016, pp. 234–235). Before this stage, Carrie needed to resolve industry versus inferiority, where success creates a lasting sense of competence (Newman &amp; Newman, 2016, p. 234; Santrock, 2024, p. 20). The story suggests a positive resolution: she was a capable swimmer who joined competitions at her old school, </w:t>
      </w:r>
      <w:r>
        <w:lastRenderedPageBreak/>
        <w:t>enjoyed the challenge of an international school in Brussels, and manages growing independence at home.</w:t>
      </w:r>
    </w:p>
    <w:p w14:paraId="075265CB" w14:textId="77777777" w:rsidR="005947BA" w:rsidRDefault="00000000">
      <w:pPr>
        <w:ind w:firstLine="720"/>
        <w:jc w:val="both"/>
      </w:pPr>
      <w:r>
        <w:t xml:space="preserve">The identity crisis is visible throughout Carrie's story. On the positive side of the moratorium, she keeps experimenting with roles: she rebuilds a familiar identity by joining the swim team, keeps her Brussels friendships alive online, and works hard to decode the unwritten rules for belonging to the groups at her first all-girls school. The pull toward confusion is just as clear. Her changing body makes her more self-conscious than she used to be, the Whose Legs page publicly attacked that body, and she spent a sleepless night imagining everyone laughing at her. Her radius of significant relationships has also narrowed: her older brother has become distant, her mother is rarely home, and her father's work connection to Jane's family makes speaking up feel unsafe (Newman &amp; Newman, 2016, p. 234). Even so, Carrie is likely to resolve this stage positively. She thought through her options and sought help from the guidance counsellor on her own, </w:t>
      </w:r>
      <w:proofErr w:type="spellStart"/>
      <w:r>
        <w:t>recognised</w:t>
      </w:r>
      <w:proofErr w:type="spellEnd"/>
      <w:r>
        <w:t xml:space="preserve"> that other girls were also being targeted, and wanted to make a difference for other kids. These actions show emerging values and loyalty to others, the beginnings of fidelity rather than confusion, especially now that adults are stepping in to support her.</w:t>
      </w:r>
    </w:p>
    <w:p w14:paraId="7F17D8D6" w14:textId="77777777" w:rsidR="005947BA" w:rsidRDefault="00000000">
      <w:pPr>
        <w:pStyle w:val="Heading2"/>
      </w:pPr>
      <w:r>
        <w:t>Marcia's Theory of Identity Statuses</w:t>
      </w:r>
    </w:p>
    <w:p w14:paraId="50E67D81" w14:textId="77777777" w:rsidR="005947BA" w:rsidRDefault="00000000">
      <w:pPr>
        <w:ind w:firstLine="720"/>
        <w:jc w:val="both"/>
      </w:pPr>
      <w:r>
        <w:t>Marcia's theory extends Erikson's account of the identity stage by describing how young people actually move through it. Marcia proposed four identity statuses, or four ways of resolving the identity crisis, and classified individuals on two dimensions, crisis and commitment (Marcia, 1966, pp. 551–552; Santrock, 2024, p. 295). Crisis is a period of identity development in which the person is exploring alternatives, and most researchers now prefer the term exploration. Commitment is a personal investment in an identity (Santrock, 2024, p. 296).</w:t>
      </w:r>
    </w:p>
    <w:p w14:paraId="3569B021" w14:textId="77777777" w:rsidR="005947BA" w:rsidRDefault="00000000">
      <w:pPr>
        <w:ind w:firstLine="720"/>
        <w:jc w:val="both"/>
      </w:pPr>
      <w:r>
        <w:t>Identity diffusion describes adolescents who have not explored alternatives and have made no commitments, and who often show little interest in such matters. Identity foreclosure describes those who have made a commitment without exploration, usually by accepting values handed down by parents before they had a chance to test other options. Identity moratorium describes those who are in the midst of a crisis but whose commitments are absent or vaguely defined. Identity achievement describes those who have undergone a crisis and made a commitment (Santrock, 2024, p. 296). These statuses are not permanent. Many young adolescents are identity diffused, and people can cycle between moratorium and achievement repeatedly across life (Santrock, 2024, p. 296).</w:t>
      </w:r>
    </w:p>
    <w:p w14:paraId="3296BBE7" w14:textId="77777777" w:rsidR="005947BA" w:rsidRDefault="00000000">
      <w:pPr>
        <w:ind w:firstLine="720"/>
        <w:jc w:val="both"/>
      </w:pPr>
      <w:r>
        <w:lastRenderedPageBreak/>
        <w:t>Carrie's story shows the pattern of identity moratorium, with her socioemotional development currently moving in a positive direction. Her exploration is active and genuine. She questions which friendships are real after Jane's online comments about real friends and friends people are forced to have, keeps her overseas friendships alive while testing new ones at Girls' High, and analyses the social rules of her new school instead of simply accepting her exclusion. Joining the swim team is another experiment with who she might become in this setting. Her commitments, however, are still undefined, with no settled friendship group and no firm goals, which is exactly what would be expected at 13. Nor is there any sign of foreclosure, because she is not simply adopting ready-made values: she can see that her parents' world of moves and long work hours is not working for her, and she is testing what she believes for herself. The story also shows the negative direction that the bullying could push her toward. Isolated in an empty house, unwilling to worry her tired mother, and unable to reach her brother, Carrie could retreat into diffusion, where exploration stops altogether. What prevents this is her continued engagement. With Andrea's support she reports the page, and she accepts the counsellor's plan to bring her parents in. Her status may still shift more than once, because identity development commonly continues beyond adolescence and people can cycle between moratorium and achievement (Santrock, 2024, p. 296). Staying in moratorium in this way keeps the path to identity achievement open, and the status she finally reaches will depend on whether this support continues.</w:t>
      </w:r>
    </w:p>
    <w:p w14:paraId="5BB3658F" w14:textId="77777777" w:rsidR="005947BA" w:rsidRDefault="00000000">
      <w:pPr>
        <w:pStyle w:val="Heading1"/>
      </w:pPr>
      <w:r>
        <w:t>Cognitive Theory</w:t>
      </w:r>
    </w:p>
    <w:p w14:paraId="0C4BF439" w14:textId="77777777" w:rsidR="005947BA" w:rsidRDefault="00000000">
      <w:pPr>
        <w:pStyle w:val="Heading2"/>
      </w:pPr>
      <w:r>
        <w:t>Piaget's Cognitive Developmental Theory</w:t>
      </w:r>
    </w:p>
    <w:p w14:paraId="58E4D6F1" w14:textId="77777777" w:rsidR="005947BA" w:rsidRDefault="00000000">
      <w:pPr>
        <w:ind w:firstLine="720"/>
        <w:jc w:val="both"/>
      </w:pPr>
      <w:r>
        <w:t>Piaget's cognitive developmental theory states that children go through four stages of cognitive development as they actively construct their understanding of the world (Santrock, 2024, p. 20). The stages follow a fixed order, and each stage rebuilds thinking in a new way. According to Piaget, the fourth and final stage, the formal operational stage, begins at around 11 years of age (Santrock, 2024, p. 284).</w:t>
      </w:r>
    </w:p>
    <w:p w14:paraId="5E16CA25" w14:textId="77777777" w:rsidR="005947BA" w:rsidRDefault="00000000">
      <w:pPr>
        <w:ind w:firstLine="720"/>
        <w:jc w:val="both"/>
      </w:pPr>
      <w:r>
        <w:t xml:space="preserve">Formal operational thought is more abstract than the concrete thinking of childhood. Adolescents at this stage are no longer limited to actual experiences and can reason about possibilities and purely hypothetical situations (Piaget, 1972, p. 1; Santrock, 2024, p. 284). A key achievement is hypothetical-deductive reasoning, which involves creating a hypothesis and deducing its implications so that solutions can be tested systematically (Santrock, 2024, p. 285). This development is uneven, with only about one in three young </w:t>
      </w:r>
      <w:r>
        <w:lastRenderedPageBreak/>
        <w:t>adolescents showing formal operational thought, and with education and culture influencing how far it develops (Santrock, 2024, p. 285). Adolescent thinking also carries a mark of egocentrism, first identified by Elkind (1967, p. 1025). He described two components of this. The imaginary audience is the belief that others are as interested in the adolescent as the adolescent is, producing a sense of constantly being on stage, and the personal fable is a sense of uniqueness and invincibility (Santrock, 2024, pp. 285–286). Social media may amplify this adolescent egocentrism (Santrock, 2024, p. 286).</w:t>
      </w:r>
    </w:p>
    <w:p w14:paraId="2B55CB2E" w14:textId="77777777" w:rsidR="005947BA" w:rsidRDefault="00000000">
      <w:pPr>
        <w:ind w:firstLine="720"/>
        <w:jc w:val="both"/>
      </w:pPr>
      <w:r>
        <w:t xml:space="preserve">Carrie's thinking shows both the new power and the limits of formal operational thought. Her decision to see the guidance counsellor came only after she had thought through all the alternatives and possibilities she could think of, which reflects emerging hypothetical-deductive reasoning: she generated options, weighed them up, and chose the path she judged best. Her thinking is also increasingly abstract. She tries to work out the unstated rules for belonging in a complex peer culture, reads the social meaning of Instagram follow requests, and links her own experience to wider systems, including harmful digital communications law, </w:t>
      </w:r>
      <w:proofErr w:type="spellStart"/>
      <w:r>
        <w:t>NetSafe</w:t>
      </w:r>
      <w:proofErr w:type="spellEnd"/>
      <w:r>
        <w:t xml:space="preserve">, and school policy. At the same time, adolescent egocentrism still shapes her experience. She feels as though everyone is looking at her legs and imagines everyone laughing at her, which is a clear example of the imaginary audience. Her case shows how social media sharpens this egocentrism, because the imagined audience has partly become a real one through the voting page, and research links social media use to greater self-focus (Santrock, 2024, p. 286). Cyberbullying </w:t>
      </w:r>
      <w:proofErr w:type="spellStart"/>
      <w:r>
        <w:t>victimisation</w:t>
      </w:r>
      <w:proofErr w:type="spellEnd"/>
      <w:r>
        <w:t xml:space="preserve"> is also linked with serious psychological distress, including stress and suicidal ideation, in meta-analytic research (Kowalski et al., 2014, p. 1073). There is little sign of a personal fable, however. Carrie </w:t>
      </w:r>
      <w:proofErr w:type="spellStart"/>
      <w:r>
        <w:t>recognises</w:t>
      </w:r>
      <w:proofErr w:type="spellEnd"/>
      <w:r>
        <w:t xml:space="preserve"> that other girls are being targeted too, and she wants the bullying stopped for their sake as well as her own, which shows thinking that reaches beyond her own perspective. Overall, her cognitive development appears strong for her age, with systematic reasoning growing alongside a still very adolescent self-consciousness.</w:t>
      </w:r>
    </w:p>
    <w:p w14:paraId="1560601B" w14:textId="77777777" w:rsidR="005947BA" w:rsidRDefault="00000000">
      <w:pPr>
        <w:pStyle w:val="Heading1"/>
      </w:pPr>
      <w:r>
        <w:t>Evaluation</w:t>
      </w:r>
    </w:p>
    <w:p w14:paraId="2D53AEB9" w14:textId="77777777" w:rsidR="005947BA" w:rsidRDefault="00000000">
      <w:pPr>
        <w:ind w:firstLine="720"/>
        <w:jc w:val="both"/>
      </w:pPr>
      <w:r>
        <w:t xml:space="preserve">Erikson's theory proved the most useful lens for understanding Carrie because it explains why belonging, friendships, and body image dominate her life at 13, and the moratorium concept fitted her role experiments well. Its main limitation is that it explains what should happen at this age more than why it is happening to her. Carrie's crisis is largely produced by her context: repeated moves, parents who are unavailable, and a peer culture </w:t>
      </w:r>
      <w:r>
        <w:lastRenderedPageBreak/>
        <w:t xml:space="preserve">that rewards exclusion. A theory of internal stages cannot capture these forces by itself. Applying the theory also demanded care, because judging how Carrie resolved earlier stages meant relying on limited information, and it was easy to imply things the story does not say. My understanding of human development grew through this task: theories work best as lenses that </w:t>
      </w:r>
      <w:proofErr w:type="spellStart"/>
      <w:r>
        <w:t>organise</w:t>
      </w:r>
      <w:proofErr w:type="spellEnd"/>
      <w:r>
        <w:t xml:space="preserve"> what a story shows, but they must be read alongside each young person's context rather than treated as answers.</w:t>
      </w:r>
    </w:p>
    <w:p w14:paraId="7E62AA8C" w14:textId="77777777" w:rsidR="005947BA" w:rsidRDefault="00000000">
      <w:pPr>
        <w:pStyle w:val="Heading1"/>
      </w:pPr>
      <w:r>
        <w:t>References</w:t>
      </w:r>
    </w:p>
    <w:p w14:paraId="2A35B7AB" w14:textId="1D9D1B81" w:rsidR="005947BA" w:rsidRDefault="00000000">
      <w:pPr>
        <w:ind w:left="720" w:hanging="720"/>
      </w:pPr>
      <w:r>
        <w:t xml:space="preserve">Elkind, D. (1967). Egocentrism in adolescence. </w:t>
      </w:r>
      <w:r>
        <w:rPr>
          <w:i/>
          <w:iCs/>
        </w:rPr>
        <w:t>Child Development, 38</w:t>
      </w:r>
      <w:r>
        <w:t xml:space="preserve">(4), 1025–1034. </w:t>
      </w:r>
      <w:hyperlink r:id="rId7" w:history="1">
        <w:r w:rsidRPr="00AE467B">
          <w:rPr>
            <w:rStyle w:val="Hyperlink"/>
          </w:rPr>
          <w:t>https://doi.org/10.2307/1127100</w:t>
        </w:r>
      </w:hyperlink>
    </w:p>
    <w:p w14:paraId="69D3E9DE" w14:textId="77777777" w:rsidR="005947BA" w:rsidRDefault="00000000">
      <w:pPr>
        <w:ind w:left="720" w:hanging="720"/>
      </w:pPr>
      <w:r>
        <w:t xml:space="preserve">Erikson, E. H. (1963). </w:t>
      </w:r>
      <w:r>
        <w:rPr>
          <w:i/>
          <w:iCs/>
        </w:rPr>
        <w:t>Childhood and society</w:t>
      </w:r>
      <w:r>
        <w:t xml:space="preserve"> (2nd ed.). W. W. Norton.</w:t>
      </w:r>
    </w:p>
    <w:p w14:paraId="01BFE62F" w14:textId="77777777" w:rsidR="005947BA" w:rsidRDefault="00000000">
      <w:pPr>
        <w:ind w:left="720" w:hanging="720"/>
      </w:pPr>
      <w:r>
        <w:t xml:space="preserve">Erikson, E. H. (1968). </w:t>
      </w:r>
      <w:r>
        <w:rPr>
          <w:i/>
          <w:iCs/>
        </w:rPr>
        <w:t>Identity: Youth and crisis</w:t>
      </w:r>
      <w:r>
        <w:t>. W. W. Norton.</w:t>
      </w:r>
    </w:p>
    <w:p w14:paraId="39EE4834" w14:textId="48F87F4C" w:rsidR="005947BA" w:rsidRDefault="00000000">
      <w:pPr>
        <w:ind w:left="720" w:hanging="720"/>
      </w:pPr>
      <w:r>
        <w:t xml:space="preserve">Kowalski, R. M., Giumetti, G. W., Schroeder, A. N., &amp; </w:t>
      </w:r>
      <w:proofErr w:type="spellStart"/>
      <w:r>
        <w:t>Lattanner</w:t>
      </w:r>
      <w:proofErr w:type="spellEnd"/>
      <w:r>
        <w:t xml:space="preserve">, M. R. (2014). Bullying in the digital age: A critical review and meta-analysis of cyberbullying research among youth. </w:t>
      </w:r>
      <w:r>
        <w:rPr>
          <w:i/>
          <w:iCs/>
        </w:rPr>
        <w:t>Psychological Bulletin, 140</w:t>
      </w:r>
      <w:r>
        <w:t xml:space="preserve">(4), 1073–1137. </w:t>
      </w:r>
      <w:hyperlink r:id="rId8" w:history="1">
        <w:r w:rsidRPr="00AE467B">
          <w:rPr>
            <w:rStyle w:val="Hyperlink"/>
          </w:rPr>
          <w:t>https://doi.org/10.1037/a0035618</w:t>
        </w:r>
      </w:hyperlink>
    </w:p>
    <w:p w14:paraId="0554D667" w14:textId="17741866" w:rsidR="005947BA" w:rsidRDefault="00000000">
      <w:pPr>
        <w:ind w:left="720" w:hanging="720"/>
      </w:pPr>
      <w:r>
        <w:t xml:space="preserve">Marcia, J. E. (1966). Development and validation of ego-identity status. </w:t>
      </w:r>
      <w:r>
        <w:rPr>
          <w:i/>
          <w:iCs/>
        </w:rPr>
        <w:t>Journal of Personality and Social Psychology, 3</w:t>
      </w:r>
      <w:r>
        <w:t xml:space="preserve">(5), 551–558. </w:t>
      </w:r>
      <w:hyperlink r:id="rId9" w:history="1">
        <w:r w:rsidRPr="00AE467B">
          <w:rPr>
            <w:rStyle w:val="Hyperlink"/>
          </w:rPr>
          <w:t>https://doi.org/10.1037/h0023281</w:t>
        </w:r>
      </w:hyperlink>
    </w:p>
    <w:p w14:paraId="22B1D9ED" w14:textId="77777777" w:rsidR="005947BA" w:rsidRDefault="00000000">
      <w:pPr>
        <w:ind w:left="720" w:hanging="720"/>
      </w:pPr>
      <w:r>
        <w:t xml:space="preserve">Newman, B. M., &amp; Newman, P. R. (2016). </w:t>
      </w:r>
      <w:r>
        <w:rPr>
          <w:i/>
          <w:iCs/>
        </w:rPr>
        <w:t>Development through life: A psychosocial approach</w:t>
      </w:r>
      <w:r>
        <w:t xml:space="preserve"> (13th ed.). Cengage Learning.</w:t>
      </w:r>
    </w:p>
    <w:p w14:paraId="1C022EE5" w14:textId="6F2C33E3" w:rsidR="005947BA" w:rsidRDefault="00000000">
      <w:pPr>
        <w:ind w:left="720" w:hanging="720"/>
      </w:pPr>
      <w:r>
        <w:t xml:space="preserve">Piaget, J. (1972). Intellectual evolution from adolescence to adulthood. </w:t>
      </w:r>
      <w:r>
        <w:rPr>
          <w:i/>
          <w:iCs/>
        </w:rPr>
        <w:t>Human Development, 15</w:t>
      </w:r>
      <w:r>
        <w:t xml:space="preserve">(1), 1–12. </w:t>
      </w:r>
      <w:hyperlink r:id="rId10" w:history="1">
        <w:r w:rsidRPr="00AE467B">
          <w:rPr>
            <w:rStyle w:val="Hyperlink"/>
          </w:rPr>
          <w:t>https://doi.org/10.1159/000271225</w:t>
        </w:r>
      </w:hyperlink>
    </w:p>
    <w:p w14:paraId="1ACDB9D8" w14:textId="77777777" w:rsidR="005947BA" w:rsidRDefault="00000000">
      <w:pPr>
        <w:ind w:left="720" w:hanging="720"/>
      </w:pPr>
      <w:r>
        <w:t xml:space="preserve">Santrock, J. W. (2024). </w:t>
      </w:r>
      <w:r>
        <w:rPr>
          <w:i/>
          <w:iCs/>
        </w:rPr>
        <w:t>Essentials of life-span development</w:t>
      </w:r>
      <w:r>
        <w:t xml:space="preserve"> (7th ed.). McGraw-Hill Education.</w:t>
      </w:r>
    </w:p>
    <w:sectPr w:rsidR="005947BA">
      <w:footerReference w:type="default" r:id="rId11"/>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0C9C5" w14:textId="77777777" w:rsidR="00566AFF" w:rsidRDefault="00566AFF">
      <w:pPr>
        <w:spacing w:line="240" w:lineRule="auto"/>
      </w:pPr>
      <w:r>
        <w:separator/>
      </w:r>
    </w:p>
  </w:endnote>
  <w:endnote w:type="continuationSeparator" w:id="0">
    <w:p w14:paraId="2664DFC7" w14:textId="77777777" w:rsidR="00566AFF" w:rsidRDefault="00566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F964" w14:textId="77777777" w:rsidR="005947BA" w:rsidRDefault="00000000">
    <w:pPr>
      <w:jc w:val="center"/>
    </w:pPr>
    <w:r>
      <w:rPr>
        <w:sz w:val="21"/>
        <w:szCs w:val="21"/>
      </w:rPr>
      <w:fldChar w:fldCharType="begin"/>
    </w:r>
    <w:r>
      <w:rPr>
        <w:sz w:val="21"/>
        <w:szCs w:val="21"/>
      </w:rPr>
      <w:instrText>PAGE</w:instrText>
    </w:r>
    <w:r>
      <w:rPr>
        <w:sz w:val="21"/>
        <w:szCs w:val="21"/>
      </w:rPr>
      <w:fldChar w:fldCharType="separate"/>
    </w:r>
    <w:r w:rsidR="00AE467B">
      <w:rPr>
        <w:noProof/>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5638" w14:textId="77777777" w:rsidR="00566AFF" w:rsidRDefault="00566AFF">
      <w:pPr>
        <w:spacing w:line="240" w:lineRule="auto"/>
      </w:pPr>
      <w:r>
        <w:separator/>
      </w:r>
    </w:p>
  </w:footnote>
  <w:footnote w:type="continuationSeparator" w:id="0">
    <w:p w14:paraId="172CCBAB" w14:textId="77777777" w:rsidR="00566AFF" w:rsidRDefault="00566A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73CF"/>
    <w:multiLevelType w:val="hybridMultilevel"/>
    <w:tmpl w:val="87EA9C82"/>
    <w:lvl w:ilvl="0" w:tplc="9984F172">
      <w:start w:val="1"/>
      <w:numFmt w:val="bullet"/>
      <w:lvlText w:val="●"/>
      <w:lvlJc w:val="left"/>
      <w:pPr>
        <w:ind w:left="720" w:hanging="360"/>
      </w:pPr>
    </w:lvl>
    <w:lvl w:ilvl="1" w:tplc="32648210">
      <w:start w:val="1"/>
      <w:numFmt w:val="bullet"/>
      <w:lvlText w:val="○"/>
      <w:lvlJc w:val="left"/>
      <w:pPr>
        <w:ind w:left="1440" w:hanging="360"/>
      </w:pPr>
    </w:lvl>
    <w:lvl w:ilvl="2" w:tplc="4292619E">
      <w:start w:val="1"/>
      <w:numFmt w:val="bullet"/>
      <w:lvlText w:val="■"/>
      <w:lvlJc w:val="left"/>
      <w:pPr>
        <w:ind w:left="2160" w:hanging="360"/>
      </w:pPr>
    </w:lvl>
    <w:lvl w:ilvl="3" w:tplc="830CCCB8">
      <w:start w:val="1"/>
      <w:numFmt w:val="bullet"/>
      <w:lvlText w:val="●"/>
      <w:lvlJc w:val="left"/>
      <w:pPr>
        <w:ind w:left="2880" w:hanging="360"/>
      </w:pPr>
    </w:lvl>
    <w:lvl w:ilvl="4" w:tplc="3B9E9824">
      <w:start w:val="1"/>
      <w:numFmt w:val="bullet"/>
      <w:lvlText w:val="○"/>
      <w:lvlJc w:val="left"/>
      <w:pPr>
        <w:ind w:left="3600" w:hanging="360"/>
      </w:pPr>
    </w:lvl>
    <w:lvl w:ilvl="5" w:tplc="1E4CB1A2">
      <w:start w:val="1"/>
      <w:numFmt w:val="bullet"/>
      <w:lvlText w:val="■"/>
      <w:lvlJc w:val="left"/>
      <w:pPr>
        <w:ind w:left="4320" w:hanging="360"/>
      </w:pPr>
    </w:lvl>
    <w:lvl w:ilvl="6" w:tplc="10841448">
      <w:start w:val="1"/>
      <w:numFmt w:val="bullet"/>
      <w:lvlText w:val="●"/>
      <w:lvlJc w:val="left"/>
      <w:pPr>
        <w:ind w:left="5040" w:hanging="360"/>
      </w:pPr>
    </w:lvl>
    <w:lvl w:ilvl="7" w:tplc="68305C3C">
      <w:start w:val="1"/>
      <w:numFmt w:val="bullet"/>
      <w:lvlText w:val="●"/>
      <w:lvlJc w:val="left"/>
      <w:pPr>
        <w:ind w:left="5760" w:hanging="360"/>
      </w:pPr>
    </w:lvl>
    <w:lvl w:ilvl="8" w:tplc="F692FAEA">
      <w:start w:val="1"/>
      <w:numFmt w:val="bullet"/>
      <w:lvlText w:val="●"/>
      <w:lvlJc w:val="left"/>
      <w:pPr>
        <w:ind w:left="6480" w:hanging="360"/>
      </w:pPr>
    </w:lvl>
  </w:abstractNum>
  <w:num w:numId="1" w16cid:durableId="1334334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7BA"/>
    <w:rsid w:val="00566AFF"/>
    <w:rsid w:val="005947BA"/>
    <w:rsid w:val="008F6546"/>
    <w:rsid w:val="00AE4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8984"/>
  <w15:docId w15:val="{9FF72202-4120-4F0D-8C32-C1C226DB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4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E4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7/a003561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2307/11271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159/000271225" TargetMode="External"/><Relationship Id="rId4" Type="http://schemas.openxmlformats.org/officeDocument/2006/relationships/webSettings" Target="webSettings.xml"/><Relationship Id="rId9" Type="http://schemas.openxmlformats.org/officeDocument/2006/relationships/hyperlink" Target="https://doi.org/10.1037/h00232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1795</Words>
  <Characters>10238</Characters>
  <Application>Microsoft Office Word</Application>
  <DocSecurity>0</DocSecurity>
  <Lines>85</Lines>
  <Paragraphs>24</Paragraphs>
  <ScaleCrop>false</ScaleCrop>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Three: Socioemotional and Cognitive Analysis Report</dc:title>
  <dc:creator>Mishal Joytishna Charan</dc:creator>
  <cp:lastModifiedBy>Savnit Prasad</cp:lastModifiedBy>
  <cp:revision>2</cp:revision>
  <dcterms:created xsi:type="dcterms:W3CDTF">2026-10-01T07:21:00Z</dcterms:created>
  <dcterms:modified xsi:type="dcterms:W3CDTF">2026-10-01T07:36:00Z</dcterms:modified>
</cp:coreProperties>
</file>