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60D69DBC" w:rsidR="005947BA" w:rsidRDefault="00000000">
      <w:pPr>
        <w:spacing w:after="200"/>
        <w:jc w:val="center"/>
      </w:pPr>
      <w:r>
        <w:rPr>
          <w:b/>
          <w:bCs/>
          <w:sz w:val="28"/>
          <w:szCs w:val="28"/>
        </w:rPr>
        <w:t>Socioemotional and Cognitive Analysis Report</w:t>
      </w:r>
    </w:p>
    <w:p w14:paraId="4704DEAE" w14:textId="77777777" w:rsidR="005947BA" w:rsidRDefault="00000000">
      <w:pPr>
        <w:spacing w:after="200"/>
        <w:jc w:val="center"/>
      </w:pPr>
      <w:r>
        <w:t>Case Study: Adolescence – Cyberbullying (Carrie)</w:t>
      </w:r>
    </w:p>
    <w:p w14:paraId="20DF8318" w14:textId="77777777" w:rsidR="005947BA" w:rsidRDefault="00000000">
      <w:pPr>
        <w:pStyle w:val="Heading1"/>
      </w:pPr>
      <w:r>
        <w:t>Socioemotional Theory</w:t>
      </w:r>
    </w:p>
    <w:p w14:paraId="39B4E6F1" w14:textId="77777777" w:rsidR="005947BA" w:rsidRDefault="00000000">
      <w:pPr>
        <w:pStyle w:val="Heading2"/>
      </w:pPr>
      <w:r>
        <w:t>Erikson's Psychosocial Theory</w:t>
      </w:r>
    </w:p>
    <w:p w14:paraId="79B56CEF" w14:textId="5DB13630" w:rsidR="00390827" w:rsidRPr="00390827" w:rsidRDefault="00390827" w:rsidP="00390827">
      <w:pPr>
        <w:ind w:firstLine="720"/>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r w:rsidR="00416A8D" w:rsidRPr="00390827">
        <w:t>organize</w:t>
      </w:r>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0803B281" w14:textId="5926E076" w:rsidR="00C85A2B" w:rsidRPr="00C85A2B" w:rsidRDefault="0048256C" w:rsidP="0048256C">
      <w:pPr>
        <w:ind w:firstLine="720"/>
      </w:pPr>
      <w:r w:rsidRPr="0048256C">
        <w:t>Having reached the age of 13, Carrie is experiencing Erikson's fifth stage of identity versus identity confusion as the adolescent begins to learn who they are, what they are about and where they are going in life (Santrock, 2024, p. 295). This is facilitated by a psychosocial moratorium, a concept introduced by Erikson referring to the period between childhood safety and adult independence where society grants a good deal of freedom to explore various identities (Erikson, 1968; Santrock, 2024, p. 295).</w:t>
      </w:r>
      <w:r>
        <w:t xml:space="preserve"> </w:t>
      </w:r>
      <w:r w:rsidR="00C85A2B" w:rsidRPr="00C85A2B">
        <w:t>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The story suggests she resolved it well: she was a good swimmer at her old school, loved her year at an international school in Brussels, and is gradually gaining her independence at home.</w:t>
      </w:r>
    </w:p>
    <w:p w14:paraId="0E2272AE" w14:textId="77777777" w:rsidR="00B57A41" w:rsidRPr="00B57A41" w:rsidRDefault="00B57A41" w:rsidP="00B57A41">
      <w:pPr>
        <w:ind w:firstLine="720"/>
      </w:pPr>
      <w:r w:rsidRPr="00B57A41">
        <w:t xml:space="preserve">Carrie's narrative is dominated by the identity crisis. On the positive side, she keeps trying out identities: she rebuilds a familiar one by joining the swim team, maintains her </w:t>
      </w:r>
      <w:r w:rsidRPr="00B57A41">
        <w:lastRenderedPageBreak/>
        <w:t>Brussels friendships through the internet, and tries to crack the social code of her new all-girls school. Confusion is just as strong. Her changing body has made her more self-conscious, the Whose Legs page put it on display for votes, and she lies awake imagining the whole world snickering at her. Her circle of close relationships has shrunk: her older brother is distant, her mother is mostly absent, and her father's association with Jane's family at work discourages her from speaking out (Newman &amp; Newman, 2016, p. 234). Even so, Carrie is likely to come through this stage positively. She thought through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000000">
      <w:pPr>
        <w:pStyle w:val="Heading2"/>
      </w:pPr>
      <w:r>
        <w:t>Marcia's Theory of Identity Statuses</w:t>
      </w:r>
    </w:p>
    <w:p w14:paraId="56EDAAEE" w14:textId="03362D97" w:rsidR="00D9483C" w:rsidRPr="00D9483C" w:rsidRDefault="00D9483C" w:rsidP="00D9483C">
      <w:pPr>
        <w:ind w:firstLine="720"/>
      </w:pPr>
      <w:r w:rsidRPr="00D9483C">
        <w:t xml:space="preserve">Marcia's model builds on Erikson's account of the identity crisis by explaining how adolescents actually go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r w:rsidR="001573B9" w:rsidRPr="00D9483C">
        <w:t>favor</w:t>
      </w:r>
      <w:r w:rsidRPr="00D9483C">
        <w:t xml:space="preserve"> the term exploration (Santrock, 2024, p. 296). Personal dedication to an identity is what Santrock (2024, p. 296) defines as commitment.</w:t>
      </w:r>
    </w:p>
    <w:p w14:paraId="76C3482C" w14:textId="77777777" w:rsidR="00D9483C" w:rsidRPr="00D9483C" w:rsidRDefault="00D9483C" w:rsidP="00D9483C">
      <w:pPr>
        <w:ind w:firstLine="720"/>
      </w:pPr>
      <w:r w:rsidRPr="00D9483C">
        <w:t>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in the midst of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62EC91F7" w14:textId="77777777" w:rsidR="00582EBF" w:rsidRPr="00582EBF" w:rsidRDefault="00582EBF" w:rsidP="00582EBF">
      <w:pPr>
        <w:ind w:firstLine="720"/>
      </w:pPr>
      <w:r w:rsidRPr="00582EBF">
        <w:t xml:space="preserve">Carrie shows the pattern of identity moratorium, and her socioemotional development is moving in a positive direction. She is actively and sincerely exploring. She questions her friendships after Jane's online remarks about real friends and friends one is forced to keep, sustains her foreign friendships while trying out new ones at Girls' High, and studies the social codes of the new school rather than giving in to isolation. Joining the swim team is another step in working out who she might be here. Her plans are still vague, </w:t>
      </w:r>
      <w:r w:rsidRPr="00582EBF">
        <w:lastRenderedPageBreak/>
        <w:t xml:space="preserve">with no friendships settled and no real aims set, which is quite normal for a 13 year old. Nor does it appear to be foreclosure, as she is not just taking over pre-established values: she </w:t>
      </w:r>
      <w:proofErr w:type="spellStart"/>
      <w:r w:rsidRPr="00582EBF">
        <w:t>recognises</w:t>
      </w:r>
      <w:proofErr w:type="spellEnd"/>
      <w:r w:rsidRPr="00582EBF">
        <w:t xml:space="preserve">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000000">
      <w:pPr>
        <w:pStyle w:val="Heading1"/>
      </w:pPr>
      <w:r>
        <w:t>Cognitive Theory</w:t>
      </w:r>
    </w:p>
    <w:p w14:paraId="0C4BF439" w14:textId="77777777" w:rsidR="005947BA" w:rsidRDefault="00000000">
      <w:pPr>
        <w:pStyle w:val="Heading2"/>
      </w:pPr>
      <w:r>
        <w:t>Piaget's Cognitive Developmental Theory</w:t>
      </w:r>
    </w:p>
    <w:p w14:paraId="527D7618" w14:textId="77777777" w:rsidR="002E6562" w:rsidRPr="002E6562" w:rsidRDefault="002E6562" w:rsidP="002E6562">
      <w:pPr>
        <w:ind w:firstLine="720"/>
      </w:pPr>
      <w:r w:rsidRPr="002E6562">
        <w:t>According to Piaget's cognitive development theory, children are constructors of knowledge, and they attain a conception of the world through a series of four stages (Santrock, 2024, p. 20). Stages follow one another and each new stage remakes thinking in a new way. The fourth and final stage, the formal operational stage, starts at around eleven years of age (Santrock, 2024, p. 284).</w:t>
      </w:r>
    </w:p>
    <w:p w14:paraId="5E16CA25" w14:textId="6D938003" w:rsidR="005947BA" w:rsidRDefault="002E6562" w:rsidP="002E6562">
      <w:pPr>
        <w:ind w:firstLine="720"/>
      </w:pPr>
      <w:r w:rsidRPr="002E6562">
        <w:t>Formal operational reasoning is more conceptual than concrete childhood thinking. Adolescents, meanwhile, are no longer bound by real-world facts and can entertain what-ifs and totally imaginary situations (Piaget, 1972, p. 1; Santrock, 2024, p. 284). A significant achievement is hypothetical-deductive reasoning, which is to propose a hypothesis and derive the consequences of the proposed hypothesis so that they can be scrutinised in an organised fashion (Santrock, 2024, p. 285). Much of the research, though, shows a great deal of individual variation: only about one-third of young adolescents are formal operational thinkers, and quite a few adults are not (Santrock, 2024, p. 285). Egocentrism is also characteristic of the thinking of the adolescent as Elkind (1967, p. 1025) was the first to note. He specified two components.</w:t>
      </w:r>
      <w:r w:rsidR="00B27C29" w:rsidRPr="00B27C29">
        <w:t xml:space="preserve"> The imaginary audience is the assumption that others are as concerned with adolescents as adolescents are with themselves, which produces the feeling of always being watched. The personal fable is the </w:t>
      </w:r>
      <w:r w:rsidR="00B27C29" w:rsidRPr="00B27C29">
        <w:lastRenderedPageBreak/>
        <w:t>sense of being special and invincible (Santrock, 2024, pp. 285–286). Social media can amplify such adolescent egocentrism (Santrock, 2024, p. 286).</w:t>
      </w:r>
    </w:p>
    <w:p w14:paraId="2B55CB2E" w14:textId="42FCD7FE" w:rsidR="005947BA" w:rsidRDefault="00820632" w:rsidP="00820632">
      <w:pPr>
        <w:ind w:firstLine="720"/>
      </w:pPr>
      <w:r w:rsidRPr="00820632">
        <w:t xml:space="preserve">Carrie's ruminations illustrate the potential and the constraints of formal operational thinking. Her choice to consult the guidance counsellor came only once she had exhausted all the options and possibilities she could think of, displaying emerging hypothetical-deductive reasoning: she brainstormed, weighed them up and then decided which was best. Her mind is getting increasingly abstract. She decodes the implicit etiquette of fitting into a complex social circle, reads the social weight of the follow button on Instagram, and links her own experiences to wider structures like the harmful digital communications law, </w:t>
      </w:r>
      <w:proofErr w:type="spellStart"/>
      <w:r w:rsidRPr="00820632">
        <w:t>NetSafe</w:t>
      </w:r>
      <w:proofErr w:type="spellEnd"/>
      <w:r w:rsidRPr="00820632">
        <w:t xml:space="preserve">, and school policies. At the same time, her view is still affected by teenage egocentrism. She believes that people are all staring at her legs and imagines the whole world laughing at her, a typical case of the imaginary audience.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proofErr w:type="spellStart"/>
      <w:r w:rsidRPr="00820632">
        <w:t>victimisation</w:t>
      </w:r>
      <w:proofErr w:type="spellEnd"/>
      <w:r w:rsidRPr="00820632">
        <w:t xml:space="preserve"> (Kowalski et al., 2014, p. 1073). No personal fable is evident, though. Carrie </w:t>
      </w:r>
      <w:proofErr w:type="spellStart"/>
      <w:r w:rsidRPr="00820632">
        <w:t>realises</w:t>
      </w:r>
      <w:proofErr w:type="spellEnd"/>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000000">
      <w:pPr>
        <w:pStyle w:val="Heading1"/>
      </w:pPr>
      <w:r>
        <w:t>Evaluation</w:t>
      </w:r>
    </w:p>
    <w:p w14:paraId="2D53AEB9" w14:textId="585FEC5B" w:rsidR="005947BA" w:rsidRDefault="00C01DDC" w:rsidP="00A22E16">
      <w:pPr>
        <w:ind w:firstLine="720"/>
      </w:pPr>
      <w:r w:rsidRPr="00C01DDC">
        <w:t>How useful were these theories for understanding Carrie? Erikson's stage theory helped most, because it explains why friendships, belonging, and body image carry such weight for her at 13, and the moratorium idea suited her role experiments. Its limitation is that it describes what should happen at her age better than it explains why it is happening to her. Carrie's crisis is largely produced by her circumstances: the repeated moves, her preoccupied parents, and a peer culture that rewards exclusion.</w:t>
      </w:r>
      <w:r w:rsidR="00992A2C" w:rsidRPr="00992A2C">
        <w:rPr>
          <w:color w:val="auto"/>
        </w:rPr>
        <w:t xml:space="preserve"> </w:t>
      </w:r>
      <w:r w:rsidR="00992A2C" w:rsidRPr="00992A2C">
        <w:t xml:space="preserve">Marcia's statuses clarified where Carrie stands, and Piaget's theory explained her overthinking and self-consciousness. Nevertheless, theory application was reading between the lines of the story. I suppose what this task says to me is that theories are effective tools for </w:t>
      </w:r>
      <w:r w:rsidR="00A22E16" w:rsidRPr="00992A2C">
        <w:t>organising</w:t>
      </w:r>
      <w:r w:rsidR="00992A2C" w:rsidRPr="00992A2C">
        <w:t xml:space="preserve"> the evidence of a case, provided they are read in the context of a young person and not in isolation.</w:t>
      </w:r>
    </w:p>
    <w:p w14:paraId="7E62AA8C" w14:textId="77777777" w:rsidR="005947BA" w:rsidRDefault="00000000">
      <w:pPr>
        <w:pStyle w:val="Heading1"/>
      </w:pPr>
      <w:r>
        <w:lastRenderedPageBreak/>
        <w:t>References</w:t>
      </w:r>
    </w:p>
    <w:p w14:paraId="2A35B7AB" w14:textId="1D9D1B81" w:rsidR="005947BA" w:rsidRDefault="0000000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000000">
      <w:pPr>
        <w:ind w:left="720" w:hanging="720"/>
      </w:pPr>
      <w:r>
        <w:t xml:space="preserve">Erikson, E. H. (1963). </w:t>
      </w:r>
      <w:r>
        <w:rPr>
          <w:i/>
          <w:iCs/>
        </w:rPr>
        <w:t>Childhood and society</w:t>
      </w:r>
      <w:r>
        <w:t xml:space="preserve"> (2nd ed.). W. W. Norton.</w:t>
      </w:r>
    </w:p>
    <w:p w14:paraId="01BFE62F" w14:textId="77777777" w:rsidR="005947BA" w:rsidRDefault="00000000">
      <w:pPr>
        <w:ind w:left="720" w:hanging="720"/>
      </w:pPr>
      <w:r>
        <w:t xml:space="preserve">Erikson, E. H. (1968). </w:t>
      </w:r>
      <w:r>
        <w:rPr>
          <w:i/>
          <w:iCs/>
        </w:rPr>
        <w:t>Identity: Youth and crisis</w:t>
      </w:r>
      <w:r>
        <w:t>. W. W. Norton.</w:t>
      </w:r>
    </w:p>
    <w:p w14:paraId="39EE4834" w14:textId="48F87F4C" w:rsidR="005947BA" w:rsidRDefault="00000000">
      <w:pPr>
        <w:ind w:left="720" w:hanging="720"/>
      </w:pPr>
      <w:r>
        <w:t xml:space="preserve">Kowalski, R. M., Giumetti, G. W., Schroeder, A. N., &amp; </w:t>
      </w:r>
      <w:proofErr w:type="spellStart"/>
      <w:r>
        <w:t>Lattanner</w:t>
      </w:r>
      <w:proofErr w:type="spellEnd"/>
      <w:r>
        <w:t xml:space="preserve">,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00000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00000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00000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00000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DB167" w14:textId="77777777" w:rsidR="000D5CE4" w:rsidRDefault="000D5CE4">
      <w:pPr>
        <w:spacing w:line="240" w:lineRule="auto"/>
      </w:pPr>
      <w:r>
        <w:separator/>
      </w:r>
    </w:p>
  </w:endnote>
  <w:endnote w:type="continuationSeparator" w:id="0">
    <w:p w14:paraId="1A4FE8EF" w14:textId="77777777" w:rsidR="000D5CE4" w:rsidRDefault="000D5C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00000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C527E" w14:textId="77777777" w:rsidR="000D5CE4" w:rsidRDefault="000D5CE4">
      <w:pPr>
        <w:spacing w:line="240" w:lineRule="auto"/>
      </w:pPr>
      <w:r>
        <w:separator/>
      </w:r>
    </w:p>
  </w:footnote>
  <w:footnote w:type="continuationSeparator" w:id="0">
    <w:p w14:paraId="4EC3B41C" w14:textId="77777777" w:rsidR="000D5CE4" w:rsidRDefault="000D5CE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0D5CE4"/>
    <w:rsid w:val="001573B9"/>
    <w:rsid w:val="00211C58"/>
    <w:rsid w:val="002E6562"/>
    <w:rsid w:val="002F2144"/>
    <w:rsid w:val="00390827"/>
    <w:rsid w:val="003C0162"/>
    <w:rsid w:val="003D6BA7"/>
    <w:rsid w:val="00416A8D"/>
    <w:rsid w:val="0048256C"/>
    <w:rsid w:val="00566AFF"/>
    <w:rsid w:val="00582EBF"/>
    <w:rsid w:val="005947BA"/>
    <w:rsid w:val="00723C01"/>
    <w:rsid w:val="007C0573"/>
    <w:rsid w:val="00812B88"/>
    <w:rsid w:val="00820632"/>
    <w:rsid w:val="00843F8B"/>
    <w:rsid w:val="00853336"/>
    <w:rsid w:val="008F6546"/>
    <w:rsid w:val="0092191E"/>
    <w:rsid w:val="00931712"/>
    <w:rsid w:val="00992A2C"/>
    <w:rsid w:val="00A22E16"/>
    <w:rsid w:val="00A52EF3"/>
    <w:rsid w:val="00AA0A2D"/>
    <w:rsid w:val="00AE467B"/>
    <w:rsid w:val="00B27C29"/>
    <w:rsid w:val="00B57A41"/>
    <w:rsid w:val="00C01DDC"/>
    <w:rsid w:val="00C078AB"/>
    <w:rsid w:val="00C85A2B"/>
    <w:rsid w:val="00CC7ECF"/>
    <w:rsid w:val="00CE5156"/>
    <w:rsid w:val="00D9483C"/>
    <w:rsid w:val="00EE175F"/>
    <w:rsid w:val="00F80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1730</Words>
  <Characters>9861</Characters>
  <Application>Microsoft Office Word</Application>
  <DocSecurity>0</DocSecurity>
  <Lines>82</Lines>
  <Paragraphs>23</Paragraphs>
  <ScaleCrop>false</ScaleCrop>
  <Company/>
  <LinksUpToDate>false</LinksUpToDate>
  <CharactersWithSpaces>11568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28</cp:revision>
  <dcterms:created xsi:type="dcterms:W3CDTF">2026-10-01T07:21:00Z</dcterms:created>
  <dcterms:modified xsi:type="dcterms:W3CDTF">2026-10-01T12:41:00Z</dcterms:modified>
</cp:coreProperties>
</file>