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6C7B5" w14:textId="77777777" w:rsidR="007C5ECC" w:rsidRDefault="00000000">
      <w:pPr>
        <w:spacing w:after="60"/>
        <w:jc w:val="center"/>
      </w:pPr>
      <w:r>
        <w:rPr>
          <w:b/>
          <w:bCs/>
          <w:sz w:val="28"/>
          <w:szCs w:val="28"/>
        </w:rPr>
        <w:t>115.112 Accounting — Assessment 3</w:t>
      </w:r>
    </w:p>
    <w:p w14:paraId="08E85EAC" w14:textId="77777777" w:rsidR="007C5ECC" w:rsidRDefault="00000000">
      <w:pPr>
        <w:spacing w:after="60"/>
        <w:jc w:val="center"/>
      </w:pPr>
      <w:r>
        <w:t>Business Financial Evaluation</w:t>
      </w:r>
    </w:p>
    <w:p w14:paraId="55849FF6" w14:textId="77777777" w:rsidR="007C5ECC" w:rsidRDefault="00000000">
      <w:pPr>
        <w:spacing w:after="240"/>
        <w:jc w:val="center"/>
      </w:pPr>
      <w:r>
        <w:t>Charan (26013944)</w:t>
      </w:r>
    </w:p>
    <w:p w14:paraId="20AA9B79" w14:textId="5E3E82DF" w:rsidR="007524BB" w:rsidRPr="00223827" w:rsidRDefault="00223827" w:rsidP="007524BB">
      <w:pPr>
        <w:spacing w:after="120"/>
        <w:jc w:val="both"/>
        <w:rPr>
          <w:b/>
          <w:bCs/>
        </w:rPr>
      </w:pPr>
      <w:r w:rsidRPr="00223827">
        <w:rPr>
          <w:b/>
          <w:bCs/>
        </w:rPr>
        <w:t>(iv</w:t>
      </w:r>
      <w:r w:rsidR="007524BB" w:rsidRPr="00223827">
        <w:rPr>
          <w:b/>
          <w:bCs/>
        </w:rPr>
        <w:t>) Discussion on Profitability</w:t>
      </w:r>
    </w:p>
    <w:p w14:paraId="4C1B4613" w14:textId="77777777" w:rsidR="007524BB" w:rsidRPr="00A6117C" w:rsidRDefault="007524BB" w:rsidP="007524BB">
      <w:pPr>
        <w:spacing w:after="120"/>
        <w:ind w:firstLine="720"/>
        <w:jc w:val="both"/>
      </w:pPr>
      <w:r w:rsidRPr="00A6117C">
        <w:t xml:space="preserve">Since the client is particularly interested in milk and vehicles a comparison of the profitability of </w:t>
      </w:r>
      <w:proofErr w:type="gramStart"/>
      <w:r w:rsidRPr="00A6117C">
        <w:t>The</w:t>
      </w:r>
      <w:proofErr w:type="gramEnd"/>
      <w:r w:rsidRPr="00A6117C">
        <w:t xml:space="preserve"> a2 Milk Company (a2 Milk) and Turners Automotive Group (Turners) is made. Initially each company is compared </w:t>
      </w:r>
      <w:proofErr w:type="gramStart"/>
      <w:r w:rsidRPr="00A6117C">
        <w:t>on the basis of</w:t>
      </w:r>
      <w:proofErr w:type="gramEnd"/>
      <w:r w:rsidRPr="00A6117C">
        <w:t xml:space="preserve"> the 2025 results with that of 2024 and the 2025 figures of the two companies are then compared with each other. 2025 Ratios are from my Power BI analysis while 2024 ratios are from the assessment booklet.</w:t>
      </w:r>
    </w:p>
    <w:p w14:paraId="4D5C2DEE" w14:textId="77777777" w:rsidR="007524BB" w:rsidRPr="00A6117C" w:rsidRDefault="007524BB" w:rsidP="007524BB">
      <w:pPr>
        <w:spacing w:after="120"/>
        <w:ind w:firstLine="720"/>
        <w:jc w:val="both"/>
      </w:pPr>
      <w:r w:rsidRPr="00A6117C">
        <w:rPr>
          <w:b/>
          <w:bCs/>
        </w:rPr>
        <w:t>A2 Milk Company (2025/2024):</w:t>
      </w:r>
      <w:r w:rsidRPr="00A6117C">
        <w:t xml:space="preserve"> a2 Milk was still profitable in 2025, although its profit margin, total assets’ return and owners’ equity’s return declined: profit margin was 15.23 against 16.92%; return on total assets – 15.97 against 17.19%; return on owners’ equity – 21.53 against 23.53%. While gross profit margin was higher at 46.08% than 45.81%, so the issue was not in cost of goods sold, the reduction in profit margin indicates that the other operating expenses increased at a faster rate than sales. Pure </w:t>
      </w:r>
      <w:proofErr w:type="gramStart"/>
      <w:r w:rsidRPr="00A6117C">
        <w:t>stand-out</w:t>
      </w:r>
      <w:proofErr w:type="gramEnd"/>
      <w:r w:rsidRPr="00A6117C">
        <w:t xml:space="preserve"> was sales </w:t>
      </w:r>
      <w:proofErr w:type="gramStart"/>
      <w:r w:rsidRPr="00A6117C">
        <w:t>increase</w:t>
      </w:r>
      <w:proofErr w:type="gramEnd"/>
      <w:r w:rsidRPr="00A6117C">
        <w:t xml:space="preserve"> which more than doubled from 5.17% to 13.50% reflecting robust goods request for the company. Basically, with every $100 of </w:t>
      </w:r>
      <w:proofErr w:type="spellStart"/>
      <w:proofErr w:type="gramStart"/>
      <w:r w:rsidRPr="00A6117C">
        <w:t>owners</w:t>
      </w:r>
      <w:proofErr w:type="spellEnd"/>
      <w:proofErr w:type="gramEnd"/>
      <w:r w:rsidRPr="00A6117C">
        <w:t xml:space="preserve"> equity a2 Milk made $21.53 in profit in 2025. A2 Milk sacrificed a bit of profit margin for much more rapid growth and continued to be very profitable.</w:t>
      </w:r>
    </w:p>
    <w:p w14:paraId="669ADCC9" w14:textId="77777777" w:rsidR="007524BB" w:rsidRPr="00A6117C" w:rsidRDefault="007524BB" w:rsidP="007524BB">
      <w:pPr>
        <w:spacing w:after="120"/>
        <w:ind w:firstLine="720"/>
        <w:jc w:val="both"/>
      </w:pPr>
      <w:r w:rsidRPr="00BA2CE2">
        <w:rPr>
          <w:b/>
          <w:bCs/>
        </w:rPr>
        <w:t>Turners Automotive Group (2025 vs 2024):</w:t>
      </w:r>
      <w:r w:rsidRPr="00A6117C">
        <w:t xml:space="preserve"> Turners </w:t>
      </w:r>
      <w:proofErr w:type="gramStart"/>
      <w:r w:rsidRPr="00A6117C">
        <w:t>actually went</w:t>
      </w:r>
      <w:proofErr w:type="gramEnd"/>
      <w:r w:rsidRPr="00A6117C">
        <w:t xml:space="preserve"> the other way and got somewhat more profitable despite a very small dip in sales. Sales growth was -0.78% in 2025, a slight revenue contraction relative to </w:t>
      </w:r>
      <w:proofErr w:type="gramStart"/>
      <w:r w:rsidRPr="00A6117C">
        <w:t>the +</w:t>
      </w:r>
      <w:proofErr w:type="gramEnd"/>
      <w:r w:rsidRPr="00A6117C">
        <w:t>6.97% of 2024. Nevertheless, the gross profit for the year on sales increased from 57.42% to 59.43%, profit on sales increased from 11.81% to 13.14%, return on total assets increased from 8.96% to 9.16%, and return on owners’ equity increased from 17.91% to 18.82%. The trend suggests better cost control and a movement into more profitable work as Turners made a little less money (revenue) but made more money (profit) from each dollar of that revenue. Turners derives income from finance and insurance offerings as well as from the sale of vehicles allowing it to maintain such a high gross profit margin.</w:t>
      </w:r>
    </w:p>
    <w:p w14:paraId="5E14F365" w14:textId="77777777" w:rsidR="007524BB" w:rsidRPr="00A6117C" w:rsidRDefault="007524BB" w:rsidP="007524BB">
      <w:pPr>
        <w:spacing w:after="120"/>
        <w:ind w:firstLine="720"/>
        <w:jc w:val="both"/>
      </w:pPr>
      <w:r w:rsidRPr="00BA2CE2">
        <w:rPr>
          <w:b/>
          <w:bCs/>
        </w:rPr>
        <w:t>A2 Milk Company vs Turners Automotive Group (2025):</w:t>
      </w:r>
      <w:r w:rsidRPr="00A6117C">
        <w:t xml:space="preserve"> While a2 Milk outperformed Turners Automotive Group in 2025. It achieved a higher profit margin </w:t>
      </w:r>
      <w:r w:rsidRPr="00A6117C">
        <w:lastRenderedPageBreak/>
        <w:t>(15.23% versus 13.14%)</w:t>
      </w:r>
      <w:proofErr w:type="gramStart"/>
      <w:r w:rsidRPr="00A6117C">
        <w:t xml:space="preserve"> a higher</w:t>
      </w:r>
      <w:proofErr w:type="gramEnd"/>
      <w:r w:rsidRPr="00A6117C">
        <w:t xml:space="preserve"> return on total assets (15.97% versus 9.16%)</w:t>
      </w:r>
      <w:proofErr w:type="gramStart"/>
      <w:r w:rsidRPr="00A6117C">
        <w:t xml:space="preserve"> a higher</w:t>
      </w:r>
      <w:proofErr w:type="gramEnd"/>
      <w:r w:rsidRPr="00A6117C">
        <w:t xml:space="preserve"> return on owners’ equity (21.53% versus 18.82%) and </w:t>
      </w:r>
      <w:proofErr w:type="gramStart"/>
      <w:r w:rsidRPr="00A6117C">
        <w:t>a higher</w:t>
      </w:r>
      <w:proofErr w:type="gramEnd"/>
      <w:r w:rsidRPr="00A6117C">
        <w:t xml:space="preserve"> sales growth (13.50% versus -0.78%) than that of Turners. Turners led on one metric gross profit percentage (59.43% vs 46.08%). Thus, the difference is that operating expenses and interest eat up a significantly bigger part of Turners’ gross profit. Turners is significantly more leveraged with debt/equity ratio of 67.48% compared to 26.33% for a2 Milk and an interest cover of only 2.98 times against 68.33 times so, interest is a much more substantial deduction from Turners’ profit. </w:t>
      </w:r>
      <w:proofErr w:type="gramStart"/>
      <w:r w:rsidRPr="00A6117C">
        <w:t>Basically</w:t>
      </w:r>
      <w:proofErr w:type="gramEnd"/>
      <w:r w:rsidRPr="00A6117C">
        <w:t xml:space="preserve"> a2 Milk translates more of its gross profit into net profit than Turners does, though Turners is improving and still profitable.</w:t>
      </w:r>
    </w:p>
    <w:p w14:paraId="6A8F6723" w14:textId="5C1F0EBC" w:rsidR="007C5ECC" w:rsidRDefault="00286AA8" w:rsidP="00286AA8">
      <w:pPr>
        <w:spacing w:after="120"/>
        <w:ind w:firstLine="720"/>
        <w:jc w:val="both"/>
      </w:pPr>
      <w:r w:rsidRPr="00286AA8">
        <w:t xml:space="preserve">On the whole a2 Milk was the more profitable company in 2025 </w:t>
      </w:r>
      <w:proofErr w:type="gramStart"/>
      <w:r w:rsidRPr="00286AA8">
        <w:t>and also</w:t>
      </w:r>
      <w:proofErr w:type="gramEnd"/>
      <w:r w:rsidRPr="00286AA8">
        <w:t xml:space="preserve"> grew faster; the small decreases in ratios appear to be a reasonable trade-off for 13.50% of revenue growth. Turners </w:t>
      </w:r>
      <w:proofErr w:type="gramStart"/>
      <w:r w:rsidRPr="00286AA8">
        <w:t>is</w:t>
      </w:r>
      <w:proofErr w:type="gramEnd"/>
      <w:r w:rsidRPr="00286AA8">
        <w:t xml:space="preserve"> heading in the right direction, increasing all profitability ratios, although on the back of a small drop in sales. But a2 Milk remains the top performer on most metrics. Regarding profitability, a2 Milk is presently the more earnings efficient, with Turners showing a clearly improving trend</w:t>
      </w:r>
      <w:r w:rsidR="00000000">
        <w:t>.</w:t>
      </w:r>
    </w:p>
    <w:p w14:paraId="7CCBDB3C" w14:textId="77777777" w:rsidR="00223827" w:rsidRDefault="00223827" w:rsidP="00286AA8">
      <w:pPr>
        <w:spacing w:after="120"/>
        <w:ind w:firstLine="720"/>
        <w:jc w:val="both"/>
      </w:pPr>
    </w:p>
    <w:p w14:paraId="7E677554" w14:textId="64E685C5" w:rsidR="00223827" w:rsidRPr="00223827" w:rsidRDefault="00223827" w:rsidP="00223827">
      <w:pPr>
        <w:spacing w:after="120"/>
        <w:jc w:val="both"/>
        <w:rPr>
          <w:b/>
          <w:bCs/>
        </w:rPr>
      </w:pPr>
      <w:r w:rsidRPr="00223827">
        <w:rPr>
          <w:b/>
          <w:bCs/>
        </w:rPr>
        <w:t>(v) Managerial Discussion of the Cash Conversion Cycle</w:t>
      </w:r>
    </w:p>
    <w:p w14:paraId="462B2929" w14:textId="77777777" w:rsidR="00783712" w:rsidRDefault="00783712" w:rsidP="0008781E">
      <w:pPr>
        <w:spacing w:after="120"/>
        <w:jc w:val="both"/>
      </w:pPr>
      <w:r w:rsidRPr="00783712">
        <w:t xml:space="preserve">The CCC indicates the number of days cash is invested in the operating cycle. It is the sum of days in the selling period (days inventory outstanding, DIO) and days in the collection period (days sales outstanding, DSO) </w:t>
      </w:r>
      <w:proofErr w:type="gramStart"/>
      <w:r w:rsidRPr="00783712">
        <w:t>less days</w:t>
      </w:r>
      <w:proofErr w:type="gramEnd"/>
      <w:r w:rsidRPr="00783712">
        <w:t xml:space="preserve"> payables outstanding (DPO). In a negative cycle the cash comes in from customers before it goes out to suppliers whereas in a positive cycle cash is locked up in the day-to-day operations of the business.</w:t>
      </w:r>
    </w:p>
    <w:p w14:paraId="538D5729" w14:textId="0FF96DD4" w:rsidR="007C5ECC" w:rsidRPr="00C41A4B" w:rsidRDefault="00C41A4B">
      <w:pPr>
        <w:spacing w:after="120"/>
        <w:ind w:firstLine="720"/>
        <w:jc w:val="both"/>
      </w:pPr>
      <w:r w:rsidRPr="00C41A4B">
        <w:rPr>
          <w:b/>
          <w:bCs/>
        </w:rPr>
        <w:t xml:space="preserve">The a2 Milk Company (2025 vs 2024): </w:t>
      </w:r>
      <w:r w:rsidRPr="00C41A4B">
        <w:t xml:space="preserve">a2 Milk's CCC already was negative at -41 days in 2024 and further went down to -51.77 days in 2025. Stock was the key factor with Days in the selling period dropping from 75 to 56.80 </w:t>
      </w:r>
      <w:proofErr w:type="gramStart"/>
      <w:r w:rsidRPr="00C41A4B">
        <w:t>days</w:t>
      </w:r>
      <w:proofErr w:type="gramEnd"/>
      <w:r w:rsidRPr="00C41A4B">
        <w:t xml:space="preserve"> so inventory is turning over a lot quicker. Collection period also showed some </w:t>
      </w:r>
      <w:proofErr w:type="gramStart"/>
      <w:r w:rsidRPr="00C41A4B">
        <w:t>benefit</w:t>
      </w:r>
      <w:proofErr w:type="gramEnd"/>
      <w:r w:rsidRPr="00C41A4B">
        <w:t xml:space="preserve"> going from 17 days to 16.37 days and DPO also went down from 133 days to 124.94 days which slightly worked against the improvement. Since the cycle is negative a2 Milk takes cash from customers on average about 52 days before it </w:t>
      </w:r>
      <w:proofErr w:type="gramStart"/>
      <w:r w:rsidRPr="00C41A4B">
        <w:t>has to</w:t>
      </w:r>
      <w:proofErr w:type="gramEnd"/>
      <w:r w:rsidRPr="00C41A4B">
        <w:t xml:space="preserve"> pay its suppliers and so the suppliers effectively fund the business and it therefore needs very little working capital. The primary risk is that the suppliers maintain the extended payment terms.</w:t>
      </w:r>
    </w:p>
    <w:p w14:paraId="7055ABA4" w14:textId="2E93698F" w:rsidR="007C5ECC" w:rsidRPr="00C41A4B" w:rsidRDefault="00C41A4B" w:rsidP="00C41A4B">
      <w:pPr>
        <w:spacing w:after="120"/>
        <w:ind w:firstLine="720"/>
        <w:jc w:val="both"/>
      </w:pPr>
      <w:r w:rsidRPr="00C41A4B">
        <w:rPr>
          <w:b/>
          <w:bCs/>
        </w:rPr>
        <w:lastRenderedPageBreak/>
        <w:t>Turners Automotive Group (2025 vs 2024):</w:t>
      </w:r>
      <w:r w:rsidRPr="00C41A4B">
        <w:t xml:space="preserve"> Turners’ CCC over year further shortened to 7.67 days from 13 days. The majority of the improvement was due to </w:t>
      </w:r>
      <w:proofErr w:type="gramStart"/>
      <w:r w:rsidRPr="00C41A4B">
        <w:t>delaying</w:t>
      </w:r>
      <w:proofErr w:type="gramEnd"/>
      <w:r w:rsidRPr="00C41A4B">
        <w:t xml:space="preserve"> payment to suppliers with DPO increasing from 47 days to 50.35 days and was compensated (positively) by a quicker stock rotation (days in the selling period was cut from 53 to 51.47 days) and (marginally) quicker collections of accounts </w:t>
      </w:r>
      <w:proofErr w:type="gramStart"/>
      <w:r w:rsidRPr="00C41A4B">
        <w:t>receivables</w:t>
      </w:r>
      <w:proofErr w:type="gramEnd"/>
      <w:r w:rsidRPr="00C41A4B">
        <w:t xml:space="preserve"> (by 7 days to 6.55 days). Since Turners is a vehicle dealer that collects from customers very soon after sale, </w:t>
      </w:r>
      <w:proofErr w:type="gramStart"/>
      <w:r w:rsidRPr="00C41A4B">
        <w:t>it’s</w:t>
      </w:r>
      <w:proofErr w:type="gramEnd"/>
      <w:r w:rsidRPr="00C41A4B">
        <w:t xml:space="preserve"> collection period is very short. The cycle is still positive though, so about 8 days of cash are still frozen in each cycle mostly in vehicle stock.</w:t>
      </w:r>
    </w:p>
    <w:p w14:paraId="09279D8F" w14:textId="2419F479" w:rsidR="001F1530" w:rsidRPr="001F1530" w:rsidRDefault="001F1530" w:rsidP="001F1530">
      <w:pPr>
        <w:spacing w:after="120"/>
        <w:ind w:firstLine="720"/>
        <w:jc w:val="both"/>
      </w:pPr>
      <w:r w:rsidRPr="001F1530">
        <w:rPr>
          <w:b/>
          <w:bCs/>
        </w:rPr>
        <w:t xml:space="preserve">A2 Milk Company v Turners Automotive Group (2025): </w:t>
      </w:r>
      <w:r w:rsidRPr="001F1530">
        <w:t xml:space="preserve">In 2025, the -51.77 days of a2 Milk outperformed the 7.67 days of Turners by about 60 days. The gap is the biggest in payables, with a2 Milk taking 124.94 days to pay suppliers against 50.35 days for Turners. Management sees the negative cycle of a2 Milk as an acquirer of cash and a deflator of working capital but if suppliers were to become more demanding then a2 Milk would be exposed. Turners’ largest working capital outflow is vehicle </w:t>
      </w:r>
      <w:r w:rsidRPr="001F1530">
        <w:t>inventory,</w:t>
      </w:r>
      <w:r w:rsidRPr="001F1530">
        <w:t xml:space="preserve"> so its main priority is to maintain an efficiently turning, minimal inventory stock level, even though inventory turns are usually very short (positive) for a dealer.</w:t>
      </w:r>
    </w:p>
    <w:p w14:paraId="0E8AE96E" w14:textId="48DB0E3A" w:rsidR="007C5ECC" w:rsidRDefault="001F1530" w:rsidP="001F1530">
      <w:pPr>
        <w:spacing w:after="120"/>
        <w:ind w:firstLine="720"/>
        <w:jc w:val="both"/>
      </w:pPr>
      <w:r w:rsidRPr="001F1530">
        <w:t xml:space="preserve">In general, both companies also shortened their cash conversion cycle in 2025. a2 Milk has </w:t>
      </w:r>
      <w:r w:rsidRPr="001F1530">
        <w:t>a</w:t>
      </w:r>
      <w:r w:rsidRPr="001F1530">
        <w:t xml:space="preserve"> stronger cash position, while Turners operates a short positive cycle, which is suitable for its fast-collecting, inventory-heavy business</w:t>
      </w:r>
      <w:r w:rsidR="00000000" w:rsidRPr="001F1530">
        <w:t>.</w:t>
      </w:r>
    </w:p>
    <w:p w14:paraId="28981537" w14:textId="77777777" w:rsidR="00A37B20" w:rsidRPr="001F1530" w:rsidRDefault="00A37B20" w:rsidP="001F1530">
      <w:pPr>
        <w:spacing w:after="120"/>
        <w:ind w:firstLine="720"/>
        <w:jc w:val="both"/>
        <w:rPr>
          <w:b/>
          <w:bCs/>
        </w:rPr>
      </w:pPr>
    </w:p>
    <w:p w14:paraId="74BA7FE8" w14:textId="4138E243" w:rsidR="00A37B20" w:rsidRPr="00A37B20" w:rsidRDefault="00A37B20" w:rsidP="006034E6">
      <w:pPr>
        <w:spacing w:after="120"/>
        <w:jc w:val="both"/>
        <w:rPr>
          <w:b/>
          <w:bCs/>
        </w:rPr>
      </w:pPr>
      <w:r w:rsidRPr="00A37B20">
        <w:rPr>
          <w:b/>
          <w:bCs/>
        </w:rPr>
        <w:t>(vi) Māori Asset Ownership Objectives</w:t>
      </w:r>
    </w:p>
    <w:p w14:paraId="53AAD958" w14:textId="77777777" w:rsidR="00A37B20" w:rsidRPr="00A37B20" w:rsidRDefault="00A37B20" w:rsidP="00A37B20">
      <w:pPr>
        <w:spacing w:after="120"/>
        <w:ind w:firstLine="720"/>
        <w:jc w:val="both"/>
      </w:pPr>
      <w:r w:rsidRPr="00A37B20">
        <w:t>Māori asset holders act according to a Māori way of thinking where profit is but one matter among several. Four goals are prominent.</w:t>
      </w:r>
    </w:p>
    <w:p w14:paraId="5C60F3A3" w14:textId="77777777" w:rsidR="00A37B20" w:rsidRPr="00A37B20" w:rsidRDefault="00A37B20" w:rsidP="00A37B20">
      <w:pPr>
        <w:spacing w:after="120"/>
        <w:ind w:firstLine="720"/>
        <w:jc w:val="both"/>
      </w:pPr>
      <w:r w:rsidRPr="00A37B20">
        <w:rPr>
          <w:b/>
          <w:bCs/>
        </w:rPr>
        <w:t>Perpetual conservation of taonga objects:</w:t>
      </w:r>
      <w:r w:rsidRPr="00A37B20">
        <w:t xml:space="preserve"> Numerous taonga of the Māori are taonga </w:t>
      </w:r>
      <w:proofErr w:type="spellStart"/>
      <w:r w:rsidRPr="00A37B20">
        <w:t>tuku</w:t>
      </w:r>
      <w:proofErr w:type="spellEnd"/>
      <w:r w:rsidRPr="00A37B20">
        <w:t xml:space="preserve"> </w:t>
      </w:r>
      <w:proofErr w:type="spellStart"/>
      <w:r w:rsidRPr="00A37B20">
        <w:t>iho</w:t>
      </w:r>
      <w:proofErr w:type="spellEnd"/>
      <w:r w:rsidRPr="00A37B20">
        <w:t xml:space="preserve"> (treasures of the past) notably land and waters (lakes and rivers). Current cultural possessions are not the possessions of the current generation: each generation guards them and hands them on (Barrett, 2005). Territory is more important than the enterprises within it.</w:t>
      </w:r>
    </w:p>
    <w:p w14:paraId="0E6F98EC" w14:textId="77777777" w:rsidR="00A37B20" w:rsidRPr="00A37B20" w:rsidRDefault="00A37B20" w:rsidP="00A37B20">
      <w:pPr>
        <w:spacing w:after="120"/>
        <w:ind w:firstLine="720"/>
        <w:jc w:val="both"/>
      </w:pPr>
      <w:r w:rsidRPr="00A37B20">
        <w:rPr>
          <w:b/>
          <w:bCs/>
        </w:rPr>
        <w:t xml:space="preserve">Segregated </w:t>
      </w:r>
      <w:proofErr w:type="gramStart"/>
      <w:r w:rsidRPr="00A37B20">
        <w:rPr>
          <w:b/>
          <w:bCs/>
        </w:rPr>
        <w:t>taonga assets</w:t>
      </w:r>
      <w:proofErr w:type="gramEnd"/>
      <w:r w:rsidRPr="00A37B20">
        <w:rPr>
          <w:b/>
          <w:bCs/>
        </w:rPr>
        <w:t>:</w:t>
      </w:r>
      <w:r w:rsidRPr="00A37B20">
        <w:t xml:space="preserve"> Owners differentiate </w:t>
      </w:r>
      <w:proofErr w:type="gramStart"/>
      <w:r w:rsidRPr="00A37B20">
        <w:t>taonga assets</w:t>
      </w:r>
      <w:proofErr w:type="gramEnd"/>
      <w:r w:rsidRPr="00A37B20">
        <w:t xml:space="preserve"> from their other assets (Te Tumu Paeroa, n.d.). Taonga assets are kept </w:t>
      </w:r>
      <w:proofErr w:type="gramStart"/>
      <w:r w:rsidRPr="00A37B20">
        <w:t>indefinitely</w:t>
      </w:r>
      <w:proofErr w:type="gramEnd"/>
      <w:r w:rsidRPr="00A37B20">
        <w:t xml:space="preserve"> and other assets are time-bound and can be purchased or sold as the needs of the business evolve.</w:t>
      </w:r>
    </w:p>
    <w:p w14:paraId="6A4A4E01" w14:textId="77777777" w:rsidR="00A37B20" w:rsidRPr="00A37B20" w:rsidRDefault="00A37B20" w:rsidP="00A37B20">
      <w:pPr>
        <w:spacing w:after="120"/>
        <w:ind w:firstLine="720"/>
        <w:jc w:val="both"/>
      </w:pPr>
      <w:r w:rsidRPr="00A37B20">
        <w:rPr>
          <w:b/>
          <w:bCs/>
        </w:rPr>
        <w:lastRenderedPageBreak/>
        <w:t xml:space="preserve">Avoiding accidental transfer of ownership and control: </w:t>
      </w:r>
      <w:r w:rsidRPr="00A37B20">
        <w:t>Fundamental to the concept is the avoidance of the transfer of ownership and control resulting from commercial failure or environmental damage, and thus owners prefer prudent, risk-averse, and long-term decisions over short-term benefits.</w:t>
      </w:r>
    </w:p>
    <w:p w14:paraId="3F9F6603" w14:textId="77777777" w:rsidR="00A37B20" w:rsidRPr="00A37B20" w:rsidRDefault="00A37B20" w:rsidP="00A37B20">
      <w:pPr>
        <w:spacing w:after="120"/>
        <w:ind w:firstLine="720"/>
        <w:jc w:val="both"/>
      </w:pPr>
      <w:r w:rsidRPr="00A37B20">
        <w:rPr>
          <w:b/>
          <w:bCs/>
        </w:rPr>
        <w:t>Kaitiakitanga (guardianship) and general well-being:</w:t>
      </w:r>
      <w:r w:rsidRPr="00A37B20">
        <w:t xml:space="preserve"> Owners are kaitiaki (guardians) of their possessions, not just investors (</w:t>
      </w:r>
      <w:proofErr w:type="spellStart"/>
      <w:r w:rsidRPr="00A37B20">
        <w:t>Hawkesby</w:t>
      </w:r>
      <w:proofErr w:type="spellEnd"/>
      <w:r w:rsidRPr="00A37B20">
        <w:t xml:space="preserve">, 2020). This is reinforced by the Te Ture Whenua Māori Act 1993 which maintains the land of Māori in the hapū and whānau that historically owned it (Te Ture Whenua Māori Act 1993). Achievement is quantified in economic </w:t>
      </w:r>
      <w:proofErr w:type="gramStart"/>
      <w:r w:rsidRPr="00A37B20">
        <w:t>ecological</w:t>
      </w:r>
      <w:proofErr w:type="gramEnd"/>
      <w:r w:rsidRPr="00A37B20">
        <w:t xml:space="preserve"> cultural and social metrics not only in financial ones.</w:t>
      </w:r>
    </w:p>
    <w:p w14:paraId="590DC644" w14:textId="6D48C94B" w:rsidR="007C5ECC" w:rsidRDefault="00A37B20" w:rsidP="005B1BF1">
      <w:pPr>
        <w:spacing w:after="120"/>
        <w:ind w:firstLine="720"/>
        <w:jc w:val="both"/>
      </w:pPr>
      <w:r w:rsidRPr="00A37B20">
        <w:t>Such targets are economically significant: as of 2023, the Māori asset base was put at NZ$126b (Schulze, 2025).</w:t>
      </w:r>
    </w:p>
    <w:p w14:paraId="007C1193" w14:textId="77777777" w:rsidR="007C5ECC" w:rsidRDefault="00000000">
      <w:pPr>
        <w:pStyle w:val="Heading1"/>
        <w:keepNext/>
      </w:pPr>
      <w:r>
        <w:t>(vii) References</w:t>
      </w:r>
    </w:p>
    <w:p w14:paraId="32BAD2F9" w14:textId="77777777" w:rsidR="007C5ECC" w:rsidRDefault="00000000">
      <w:pPr>
        <w:spacing w:after="120"/>
        <w:ind w:left="720" w:hanging="720"/>
      </w:pPr>
      <w:r>
        <w:t xml:space="preserve">Barrett, M. (2005). </w:t>
      </w:r>
      <w:r>
        <w:rPr>
          <w:i/>
          <w:iCs/>
        </w:rPr>
        <w:t xml:space="preserve">Accounting and accountability in Māori </w:t>
      </w:r>
      <w:proofErr w:type="spellStart"/>
      <w:r>
        <w:rPr>
          <w:i/>
          <w:iCs/>
        </w:rPr>
        <w:t>organisations</w:t>
      </w:r>
      <w:proofErr w:type="spellEnd"/>
      <w:r>
        <w:rPr>
          <w:i/>
          <w:iCs/>
        </w:rPr>
        <w:t xml:space="preserve"> in Aotearoa New Zealand</w:t>
      </w:r>
      <w:r>
        <w:t xml:space="preserve"> [Doctoral thesis, Glasgow Caledonian University].</w:t>
      </w:r>
    </w:p>
    <w:p w14:paraId="443C787E" w14:textId="77777777" w:rsidR="007C5ECC" w:rsidRDefault="00000000">
      <w:pPr>
        <w:spacing w:after="120"/>
        <w:ind w:left="720" w:hanging="720"/>
      </w:pPr>
      <w:proofErr w:type="spellStart"/>
      <w:r>
        <w:t>Hawkesby</w:t>
      </w:r>
      <w:proofErr w:type="spellEnd"/>
      <w:r>
        <w:t xml:space="preserve">, C. (2020, February 13). </w:t>
      </w:r>
      <w:r>
        <w:rPr>
          <w:i/>
          <w:iCs/>
        </w:rPr>
        <w:t xml:space="preserve">Kaitiakitanga: Te Ao Māori o Te </w:t>
      </w:r>
      <w:proofErr w:type="spellStart"/>
      <w:r>
        <w:rPr>
          <w:i/>
          <w:iCs/>
        </w:rPr>
        <w:t>Pūtea</w:t>
      </w:r>
      <w:proofErr w:type="spellEnd"/>
      <w:r>
        <w:rPr>
          <w:i/>
          <w:iCs/>
        </w:rPr>
        <w:t xml:space="preserve"> Matua – Guardianship: The Māori world view of the Reserve Bank</w:t>
      </w:r>
      <w:r>
        <w:t xml:space="preserve"> [Speech transcript]. Reserve Bank of New Zealand. https://www.rbnz.govt.nz/hub/publications/speech/2020/speech2020-02-13</w:t>
      </w:r>
    </w:p>
    <w:p w14:paraId="5EE75D8A" w14:textId="77777777" w:rsidR="007C5ECC" w:rsidRDefault="00000000">
      <w:pPr>
        <w:spacing w:after="120"/>
        <w:ind w:left="720" w:hanging="720"/>
      </w:pPr>
      <w:r>
        <w:t xml:space="preserve">Schulze, H. (2025, March 10). </w:t>
      </w:r>
      <w:r>
        <w:rPr>
          <w:i/>
          <w:iCs/>
        </w:rPr>
        <w:t xml:space="preserve">Te </w:t>
      </w:r>
      <w:proofErr w:type="spellStart"/>
      <w:r>
        <w:rPr>
          <w:i/>
          <w:iCs/>
        </w:rPr>
        <w:t>Ōhanga</w:t>
      </w:r>
      <w:proofErr w:type="spellEnd"/>
      <w:r>
        <w:rPr>
          <w:i/>
          <w:iCs/>
        </w:rPr>
        <w:t xml:space="preserve"> Māori 2023: The Māori economy 2023</w:t>
      </w:r>
      <w:r>
        <w:t>. BERL. https://berl.co.nz/our-mahi/te-ohanga-maori-2023</w:t>
      </w:r>
    </w:p>
    <w:p w14:paraId="6CFC5E88" w14:textId="77777777" w:rsidR="007C5ECC" w:rsidRDefault="00000000">
      <w:pPr>
        <w:spacing w:after="120"/>
        <w:ind w:left="720" w:hanging="720"/>
      </w:pPr>
      <w:r>
        <w:t xml:space="preserve">Te Tumu Paeroa. (n.d.). </w:t>
      </w:r>
      <w:r>
        <w:rPr>
          <w:i/>
          <w:iCs/>
        </w:rPr>
        <w:t>About us</w:t>
      </w:r>
      <w:r>
        <w:t>. https://www.tetumupaeroa.co.nz/who-we-are/about-us</w:t>
      </w:r>
    </w:p>
    <w:p w14:paraId="28C37AB9" w14:textId="77777777" w:rsidR="007C5ECC" w:rsidRDefault="00000000">
      <w:pPr>
        <w:spacing w:after="120"/>
        <w:ind w:left="720" w:hanging="720"/>
      </w:pPr>
      <w:r>
        <w:rPr>
          <w:i/>
          <w:iCs/>
        </w:rPr>
        <w:t>Te Ture Whenua Māori Act 1993</w:t>
      </w:r>
      <w:r>
        <w:t xml:space="preserve"> (New Zealand). https://www.legislation.govt.nz/act/public/1993/0004/latest/DLM317085.html</w:t>
      </w:r>
    </w:p>
    <w:sectPr w:rsidR="007C5ECC">
      <w:footerReference w:type="default" r:id="rId7"/>
      <w:pgSz w:w="11906" w:h="16838"/>
      <w:pgMar w:top="1440" w:right="1417" w:bottom="1440"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BF6D5" w14:textId="77777777" w:rsidR="006521C4" w:rsidRDefault="006521C4">
      <w:pPr>
        <w:spacing w:line="240" w:lineRule="auto"/>
      </w:pPr>
      <w:r>
        <w:separator/>
      </w:r>
    </w:p>
  </w:endnote>
  <w:endnote w:type="continuationSeparator" w:id="0">
    <w:p w14:paraId="7494306F" w14:textId="77777777" w:rsidR="006521C4" w:rsidRDefault="006521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016D5" w14:textId="77777777" w:rsidR="007C5ECC" w:rsidRDefault="00000000">
    <w:pPr>
      <w:jc w:val="center"/>
    </w:pPr>
    <w:r>
      <w:rPr>
        <w:sz w:val="21"/>
        <w:szCs w:val="21"/>
      </w:rPr>
      <w:fldChar w:fldCharType="begin"/>
    </w:r>
    <w:r>
      <w:rPr>
        <w:sz w:val="21"/>
        <w:szCs w:val="21"/>
      </w:rPr>
      <w:instrText>PAGE</w:instrText>
    </w:r>
    <w:r>
      <w:rPr>
        <w:sz w:val="21"/>
        <w:szCs w:val="21"/>
      </w:rPr>
      <w:fldChar w:fldCharType="separate"/>
    </w:r>
    <w:r w:rsidR="007524BB">
      <w:rPr>
        <w:noProof/>
        <w:sz w:val="21"/>
        <w:szCs w:val="21"/>
      </w:rPr>
      <w:t>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C2263" w14:textId="77777777" w:rsidR="006521C4" w:rsidRDefault="006521C4">
      <w:pPr>
        <w:spacing w:line="240" w:lineRule="auto"/>
      </w:pPr>
      <w:r>
        <w:separator/>
      </w:r>
    </w:p>
  </w:footnote>
  <w:footnote w:type="continuationSeparator" w:id="0">
    <w:p w14:paraId="492CC7DF" w14:textId="77777777" w:rsidR="006521C4" w:rsidRDefault="006521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90634"/>
    <w:multiLevelType w:val="hybridMultilevel"/>
    <w:tmpl w:val="397E167E"/>
    <w:lvl w:ilvl="0" w:tplc="23F03A06">
      <w:start w:val="1"/>
      <w:numFmt w:val="bullet"/>
      <w:lvlText w:val="●"/>
      <w:lvlJc w:val="left"/>
      <w:pPr>
        <w:ind w:left="720" w:hanging="360"/>
      </w:pPr>
    </w:lvl>
    <w:lvl w:ilvl="1" w:tplc="72C2E282">
      <w:start w:val="1"/>
      <w:numFmt w:val="bullet"/>
      <w:lvlText w:val="○"/>
      <w:lvlJc w:val="left"/>
      <w:pPr>
        <w:ind w:left="1440" w:hanging="360"/>
      </w:pPr>
    </w:lvl>
    <w:lvl w:ilvl="2" w:tplc="131C6D54">
      <w:start w:val="1"/>
      <w:numFmt w:val="bullet"/>
      <w:lvlText w:val="■"/>
      <w:lvlJc w:val="left"/>
      <w:pPr>
        <w:ind w:left="2160" w:hanging="360"/>
      </w:pPr>
    </w:lvl>
    <w:lvl w:ilvl="3" w:tplc="B1B8626C">
      <w:start w:val="1"/>
      <w:numFmt w:val="bullet"/>
      <w:lvlText w:val="●"/>
      <w:lvlJc w:val="left"/>
      <w:pPr>
        <w:ind w:left="2880" w:hanging="360"/>
      </w:pPr>
    </w:lvl>
    <w:lvl w:ilvl="4" w:tplc="2D241F78">
      <w:start w:val="1"/>
      <w:numFmt w:val="bullet"/>
      <w:lvlText w:val="○"/>
      <w:lvlJc w:val="left"/>
      <w:pPr>
        <w:ind w:left="3600" w:hanging="360"/>
      </w:pPr>
    </w:lvl>
    <w:lvl w:ilvl="5" w:tplc="9B50F58A">
      <w:start w:val="1"/>
      <w:numFmt w:val="bullet"/>
      <w:lvlText w:val="■"/>
      <w:lvlJc w:val="left"/>
      <w:pPr>
        <w:ind w:left="4320" w:hanging="360"/>
      </w:pPr>
    </w:lvl>
    <w:lvl w:ilvl="6" w:tplc="5BF40AF0">
      <w:start w:val="1"/>
      <w:numFmt w:val="bullet"/>
      <w:lvlText w:val="●"/>
      <w:lvlJc w:val="left"/>
      <w:pPr>
        <w:ind w:left="5040" w:hanging="360"/>
      </w:pPr>
    </w:lvl>
    <w:lvl w:ilvl="7" w:tplc="D460F8BE">
      <w:start w:val="1"/>
      <w:numFmt w:val="bullet"/>
      <w:lvlText w:val="●"/>
      <w:lvlJc w:val="left"/>
      <w:pPr>
        <w:ind w:left="5760" w:hanging="360"/>
      </w:pPr>
    </w:lvl>
    <w:lvl w:ilvl="8" w:tplc="3E12C68E">
      <w:start w:val="1"/>
      <w:numFmt w:val="bullet"/>
      <w:lvlText w:val="●"/>
      <w:lvlJc w:val="left"/>
      <w:pPr>
        <w:ind w:left="6480" w:hanging="360"/>
      </w:pPr>
    </w:lvl>
  </w:abstractNum>
  <w:num w:numId="1" w16cid:durableId="567037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ECC"/>
    <w:rsid w:val="0008781E"/>
    <w:rsid w:val="001A7F0D"/>
    <w:rsid w:val="001F1530"/>
    <w:rsid w:val="00223827"/>
    <w:rsid w:val="00286AA8"/>
    <w:rsid w:val="005B1BF1"/>
    <w:rsid w:val="006034E6"/>
    <w:rsid w:val="006521C4"/>
    <w:rsid w:val="007524BB"/>
    <w:rsid w:val="007747DB"/>
    <w:rsid w:val="00783712"/>
    <w:rsid w:val="007C5ECC"/>
    <w:rsid w:val="0092062B"/>
    <w:rsid w:val="00A37B20"/>
    <w:rsid w:val="00A6117C"/>
    <w:rsid w:val="00BA2CE2"/>
    <w:rsid w:val="00C41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4FB50"/>
  <w15:docId w15:val="{54F9BED0-23DA-4DA7-92D2-F7BC3296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1311</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115.112 Accounting — Assessment 3</vt:lpstr>
    </vt:vector>
  </TitlesOfParts>
  <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115.112 Accounting — Assessment 3</dc:title>
  <dc:subject>Business Financial Evaluation</dc:subject>
  <dc:creator>Charan</dc:creator>
  <dc:description>Assessment 3 requirements (iv)-(vii)</dc:description>
  <cp:lastModifiedBy>Savnit Prasad</cp:lastModifiedBy>
  <cp:revision>14</cp:revision>
  <dcterms:created xsi:type="dcterms:W3CDTF">2026-09-26T13:06:00Z</dcterms:created>
  <dcterms:modified xsi:type="dcterms:W3CDTF">2026-09-26T14:38:00Z</dcterms:modified>
</cp:coreProperties>
</file>