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B5DF1" w14:textId="06C42A4B" w:rsidR="00495163" w:rsidRDefault="000A55C6" w:rsidP="00BF683E">
      <w:pPr>
        <w:spacing w:line="360" w:lineRule="auto"/>
        <w:jc w:val="both"/>
        <w:rPr>
          <w:b/>
          <w:bCs/>
        </w:rPr>
      </w:pPr>
      <w:r w:rsidRPr="000A55C6">
        <w:rPr>
          <w:b/>
          <w:bCs/>
        </w:rPr>
        <w:t>(iv) Profitability Discussion</w:t>
      </w:r>
    </w:p>
    <w:p w14:paraId="0A7D5680" w14:textId="0DED2630" w:rsidR="005010FB" w:rsidRPr="0066727A" w:rsidRDefault="005010FB" w:rsidP="00BF683E">
      <w:pPr>
        <w:spacing w:line="360" w:lineRule="auto"/>
        <w:jc w:val="both"/>
      </w:pPr>
      <w:r w:rsidRPr="0066727A">
        <w:t xml:space="preserve">Since the client is very interested in milk and cars this debate is about comparing the profits of </w:t>
      </w:r>
      <w:r w:rsidR="005E2590" w:rsidRPr="0066727A">
        <w:t>the</w:t>
      </w:r>
      <w:r w:rsidRPr="0066727A">
        <w:t xml:space="preserve"> a2 Milk Company (a2 Milk) and Turners Automotive Group (Turners). Initially, each company is assessed by juxtaposing 2025 numbers with those of 2024 and, subsequently, the 2025 figures of both companies are set side by side. 2025 Ratios comes from Power BI </w:t>
      </w:r>
      <w:r w:rsidR="005E2590" w:rsidRPr="0066727A">
        <w:t>analysis;</w:t>
      </w:r>
      <w:r w:rsidRPr="0066727A">
        <w:t xml:space="preserve"> 2024 figures are taken from the assessment booklet.</w:t>
      </w:r>
    </w:p>
    <w:p w14:paraId="72F1830A" w14:textId="701561C1" w:rsidR="00D933C0" w:rsidRPr="00177BF5" w:rsidRDefault="00D933C0" w:rsidP="00BF683E">
      <w:pPr>
        <w:pStyle w:val="ListParagraph"/>
        <w:numPr>
          <w:ilvl w:val="0"/>
          <w:numId w:val="1"/>
        </w:numPr>
        <w:spacing w:line="360" w:lineRule="auto"/>
        <w:jc w:val="both"/>
      </w:pPr>
      <w:r w:rsidRPr="002A4380">
        <w:rPr>
          <w:b/>
          <w:bCs/>
        </w:rPr>
        <w:t>A2 Milk Company (2025 vs 2024):</w:t>
      </w:r>
      <w:r w:rsidRPr="00177BF5">
        <w:t xml:space="preserve"> a2 Milk was consistently profitable in 2025 but, its return-on-assets, return-on-equity, operating-margin, and net-margin ratios were all lower. Net profit margin decreased from 16.92% to 15.23%, ROA decreased from 17.19% to </w:t>
      </w:r>
      <w:r w:rsidR="006D0DCC" w:rsidRPr="00177BF5">
        <w:t>15.97%,</w:t>
      </w:r>
      <w:r w:rsidRPr="00177BF5">
        <w:t xml:space="preserve"> and ROTE decreased from 23.53% to 21.53%. Gross profit margin in fact increased a little, from 45.81 to 46.08, so cost of goods sold wasn't the problem, the reduction in profit margin indicates the other operating expenses grew quicker than sales. The obvious bright spot was sales </w:t>
      </w:r>
      <w:r w:rsidR="006D0DCC" w:rsidRPr="00177BF5">
        <w:t>growth,</w:t>
      </w:r>
      <w:r w:rsidRPr="00177BF5">
        <w:t xml:space="preserve"> which more than doubled from 5.17% to 13.50%</w:t>
      </w:r>
      <w:r w:rsidR="006D0DCC" w:rsidRPr="00177BF5">
        <w:t>, indicating</w:t>
      </w:r>
      <w:r w:rsidRPr="00177BF5">
        <w:t xml:space="preserve"> that there is robust demand for its products. Loosely put, for each $100 of owners' equity, $21.53 of profit was still being made in 2025. A2 Milk sacrificed a bit of profit margin for significantly accelerated growth, and its margins remained at a comfortable level.</w:t>
      </w:r>
    </w:p>
    <w:p w14:paraId="2422B0D7" w14:textId="3D7011B3" w:rsidR="00DF53FB" w:rsidRPr="00DF53FB" w:rsidRDefault="00DF53FB" w:rsidP="00BF683E">
      <w:pPr>
        <w:pStyle w:val="ListParagraph"/>
        <w:numPr>
          <w:ilvl w:val="0"/>
          <w:numId w:val="1"/>
        </w:numPr>
        <w:spacing w:line="360" w:lineRule="auto"/>
        <w:jc w:val="both"/>
      </w:pPr>
      <w:r w:rsidRPr="002A4380">
        <w:rPr>
          <w:b/>
          <w:bCs/>
        </w:rPr>
        <w:t>Turners Automotive Group (2025 against 2024):</w:t>
      </w:r>
      <w:r w:rsidRPr="00DF53FB">
        <w:t xml:space="preserve"> Turners went the other way and became profitable, despite sales dropping. Sales growth was-0.78 % in </w:t>
      </w:r>
      <w:r w:rsidR="006D0DCC" w:rsidRPr="00DF53FB">
        <w:t>2025,</w:t>
      </w:r>
      <w:r w:rsidRPr="00DF53FB">
        <w:t xml:space="preserve"> that is also a small revenue decrease, from 6.97 % of 2024. However, gross profit ratio increased from 57.42% to 59.43%, profit ratio increased from 11.81% to 13.14%, return on total assets increased from 8.96% to 9.16% and return on owners’ equity increased from 17.91% to 18.82%. This trend indicates improved cost management and a move to more profitable work, as the company was more profitable for each dollar of revenue even though it earned somewhat less revenue. Turners also </w:t>
      </w:r>
      <w:r w:rsidR="006D0DCC" w:rsidRPr="00DF53FB">
        <w:t>generate</w:t>
      </w:r>
      <w:r w:rsidRPr="00DF53FB">
        <w:t xml:space="preserve"> revenue from finance and insurance services, accounting for the maintained high gross margin.</w:t>
      </w:r>
    </w:p>
    <w:p w14:paraId="074FDD4A" w14:textId="4C0ADAF3" w:rsidR="007E374F" w:rsidRPr="00980FD0" w:rsidRDefault="007E374F" w:rsidP="00BF683E">
      <w:pPr>
        <w:pStyle w:val="ListParagraph"/>
        <w:numPr>
          <w:ilvl w:val="0"/>
          <w:numId w:val="1"/>
        </w:numPr>
        <w:spacing w:line="360" w:lineRule="auto"/>
        <w:jc w:val="both"/>
      </w:pPr>
      <w:r w:rsidRPr="002A4380">
        <w:rPr>
          <w:b/>
          <w:bCs/>
        </w:rPr>
        <w:lastRenderedPageBreak/>
        <w:t>A2 Milk Company versus Turners Automotive Group (2025):</w:t>
      </w:r>
      <w:r w:rsidRPr="00980FD0">
        <w:t xml:space="preserve"> In 2025 a2 Milk was the better performer. It outperformed Turners in profit margin (15.23% vs. 13.14%), return on total assets (15.97% vs. 9.16%), return on owners= equity (21.53% vs. 18.82%) and sales growth (13.50% vs. -0.78%). Turners </w:t>
      </w:r>
      <w:r w:rsidR="006D0DCC" w:rsidRPr="00980FD0">
        <w:t>were</w:t>
      </w:r>
      <w:r w:rsidRPr="00980FD0">
        <w:t xml:space="preserve"> only victorious on gross profit margin (59.43% versus 46.08%). The difference indicates that Turners erodes a larger portion of its gross profit in the process mainly through increased operating expenses. Turners also has significantly more debt, with an interest coverage of just 2.98 times compared to the 68.33 times covered by a2 Milk so interest is a much larger drain on its profit. </w:t>
      </w:r>
      <w:r w:rsidR="006D0DCC" w:rsidRPr="00980FD0">
        <w:t>Basically,</w:t>
      </w:r>
      <w:r w:rsidRPr="00980FD0">
        <w:t xml:space="preserve"> a2 Milk translates a greater proportion of revenue into bottom line net profit and while Turners is profitable it is weaker at translating a strong gross margin into bottom line net profit.</w:t>
      </w:r>
    </w:p>
    <w:p w14:paraId="5F10AC5F" w14:textId="2A552543" w:rsidR="00472AA7" w:rsidRDefault="00472AA7" w:rsidP="00BF683E">
      <w:pPr>
        <w:spacing w:line="360" w:lineRule="auto"/>
        <w:jc w:val="both"/>
      </w:pPr>
      <w:r w:rsidRPr="00472AA7">
        <w:t xml:space="preserve">Overall, A2 Milk is the </w:t>
      </w:r>
      <w:r w:rsidR="006D0DCC" w:rsidRPr="00472AA7">
        <w:t>most</w:t>
      </w:r>
      <w:r w:rsidRPr="00472AA7">
        <w:t xml:space="preserve"> profitable business of 2025 and also has rapid growth, and the slight decline from 2024 appears to be a reasonable exchange for 13.50% revenue expansion. Turners is heading in the right direction, raising all the profitability ratios apart from its sales, which got beaten down a little, but it’s still a little behind a2 Milk on most measures.</w:t>
      </w:r>
    </w:p>
    <w:p w14:paraId="5A254ED5" w14:textId="77777777" w:rsidR="003E4421" w:rsidRPr="00472AA7" w:rsidRDefault="003E4421" w:rsidP="00BF683E">
      <w:pPr>
        <w:spacing w:line="360" w:lineRule="auto"/>
        <w:jc w:val="both"/>
      </w:pPr>
    </w:p>
    <w:p w14:paraId="5BAF4F3B" w14:textId="77777777" w:rsidR="00C40362" w:rsidRPr="00C40362" w:rsidRDefault="00C40362" w:rsidP="00BF683E">
      <w:pPr>
        <w:spacing w:line="360" w:lineRule="auto"/>
        <w:jc w:val="both"/>
        <w:rPr>
          <w:b/>
          <w:bCs/>
        </w:rPr>
      </w:pPr>
      <w:r w:rsidRPr="00C40362">
        <w:rPr>
          <w:b/>
          <w:bCs/>
        </w:rPr>
        <w:t>(v) Cash Conversion Cycle Discussion</w:t>
      </w:r>
    </w:p>
    <w:p w14:paraId="7895FF7B" w14:textId="07318226" w:rsidR="00850A62" w:rsidRDefault="00396901" w:rsidP="00BF683E">
      <w:pPr>
        <w:spacing w:line="360" w:lineRule="auto"/>
        <w:jc w:val="both"/>
      </w:pPr>
      <w:r w:rsidRPr="00BE4761">
        <w:t xml:space="preserve">This section considers the CCC definitions for both companies as the number of DIO (days of inventory outstanding) plus DSO (days sales outstanding) </w:t>
      </w:r>
      <w:r w:rsidR="006D0DCC" w:rsidRPr="00BE4761">
        <w:t>less than</w:t>
      </w:r>
      <w:r w:rsidRPr="00BE4761">
        <w:t xml:space="preserve"> the DPO (days payables outstanding). Negative cycle occurs when a firm receives cash from customers before it pays cash to suppliers; positive cycle occurs when a firm has cash tied up in the operating cycle.</w:t>
      </w:r>
    </w:p>
    <w:p w14:paraId="23CF51CD" w14:textId="4D451D95" w:rsidR="0014279B" w:rsidRPr="0014279B" w:rsidRDefault="0014279B" w:rsidP="00BF683E">
      <w:pPr>
        <w:pStyle w:val="ListParagraph"/>
        <w:numPr>
          <w:ilvl w:val="0"/>
          <w:numId w:val="2"/>
        </w:numPr>
        <w:spacing w:line="360" w:lineRule="auto"/>
        <w:jc w:val="both"/>
      </w:pPr>
      <w:r w:rsidRPr="001E5929">
        <w:rPr>
          <w:b/>
          <w:bCs/>
        </w:rPr>
        <w:t>The a2 Milk Company (2025 over 2024):</w:t>
      </w:r>
      <w:r w:rsidRPr="0014279B">
        <w:t xml:space="preserve"> The a2 Milk’s CCC was already negative at -41 days in 2024, further improving to -51.77 days in 2025. Primarily, stock was the cause, as the days we are in the selling period </w:t>
      </w:r>
      <w:r w:rsidR="006D0DCC" w:rsidRPr="0014279B">
        <w:t>were</w:t>
      </w:r>
      <w:r w:rsidRPr="0014279B">
        <w:t xml:space="preserve"> down from 75 days to 56.80 days, so stock is moving a lot quicker. Collection period days remained consistent at </w:t>
      </w:r>
      <w:r w:rsidRPr="0014279B">
        <w:lastRenderedPageBreak/>
        <w:t xml:space="preserve">approximately 16 to 17 days with DPO decreasing from 133 d to 124.94 d </w:t>
      </w:r>
      <w:r w:rsidR="006D0DCC" w:rsidRPr="0014279B">
        <w:t>at</w:t>
      </w:r>
      <w:r w:rsidRPr="0014279B">
        <w:t xml:space="preserve"> the same time (which slightly worked against the improvement). Due to the negative cycle a2 Milk receives money from the customer about 52 days before it </w:t>
      </w:r>
      <w:r w:rsidR="006D0DCC" w:rsidRPr="0014279B">
        <w:t>must</w:t>
      </w:r>
      <w:r w:rsidRPr="0014279B">
        <w:t xml:space="preserve"> pay suppliers and as a consequence the suppliers are funding a2 </w:t>
      </w:r>
      <w:r w:rsidR="006D0DCC" w:rsidRPr="0014279B">
        <w:t>Milk</w:t>
      </w:r>
      <w:r w:rsidRPr="0014279B">
        <w:t xml:space="preserve"> operations and a2 Milk has very little working capital. However, the downside is that the company relies on the continuation of extended payment periods.</w:t>
      </w:r>
    </w:p>
    <w:p w14:paraId="60B91BCA" w14:textId="257E7452" w:rsidR="00BE1975" w:rsidRPr="00BE1975" w:rsidRDefault="00BE1975" w:rsidP="00BF683E">
      <w:pPr>
        <w:pStyle w:val="ListParagraph"/>
        <w:numPr>
          <w:ilvl w:val="0"/>
          <w:numId w:val="2"/>
        </w:numPr>
        <w:spacing w:line="360" w:lineRule="auto"/>
        <w:jc w:val="both"/>
      </w:pPr>
      <w:r w:rsidRPr="001E5929">
        <w:rPr>
          <w:b/>
          <w:bCs/>
        </w:rPr>
        <w:t>Turners Automotive Group (2025 v 2024</w:t>
      </w:r>
      <w:r w:rsidRPr="00BE1975">
        <w:t xml:space="preserve">): Turners’ CCC improved from 13 days to 7.67 days. The majority of the improvement was in </w:t>
      </w:r>
      <w:r w:rsidR="006D0DCC" w:rsidRPr="00BE1975">
        <w:t>delayed</w:t>
      </w:r>
      <w:r w:rsidRPr="00BE1975">
        <w:t xml:space="preserve"> payments to suppliers, with DPO increasing from 47 days to 50.35 days, supported by more rapid stock turnover (days in the selling period declined from 53 to 51.47) and somewhat more rapid collection (7 days to 6.55 days). Since Turners is a vehicle dealer it collects almost straight away from the </w:t>
      </w:r>
      <w:r w:rsidR="006D0DCC" w:rsidRPr="00BE1975">
        <w:t>clients,</w:t>
      </w:r>
      <w:r w:rsidRPr="00BE1975">
        <w:t xml:space="preserve"> so collection days are very low. However, the cycle remains positive and approximately 8 days of cash are still stuck in each operating cycle mainly in vehicle stock.</w:t>
      </w:r>
    </w:p>
    <w:p w14:paraId="7A85CA70" w14:textId="6E54B0D3" w:rsidR="007E0826" w:rsidRPr="007E0826" w:rsidRDefault="007E0826" w:rsidP="00BF683E">
      <w:pPr>
        <w:pStyle w:val="ListParagraph"/>
        <w:numPr>
          <w:ilvl w:val="0"/>
          <w:numId w:val="2"/>
        </w:numPr>
        <w:spacing w:line="360" w:lineRule="auto"/>
        <w:jc w:val="both"/>
      </w:pPr>
      <w:r w:rsidRPr="001E5929">
        <w:rPr>
          <w:b/>
          <w:bCs/>
        </w:rPr>
        <w:t>A2 Milk Company vs Turners Automotive Group (2025):</w:t>
      </w:r>
      <w:r w:rsidRPr="007E0826">
        <w:t xml:space="preserve"> In 2025, the a2 Milk Company's -51.77 days cycle significantly outperforms Turners Automotive Group's 7.67 days cycle by around 60 days. The one major difference is in the supplier days payable, with a2 Milk taking 124.94 days to pay suppliers against 50.35 days for Turners. For the management, a2 Milk's position releases cash and reduces the requirements for working capital, but the company would be hurt if its suppliers were to ever tighten the terms of trade. Turners' major working capital sink is its vehicle stock, so reducing the level of the stock is the key, even if its recent short positive cycle remains easy to manage.</w:t>
      </w:r>
    </w:p>
    <w:p w14:paraId="79B42006" w14:textId="0491323F" w:rsidR="007E0826" w:rsidRPr="007E0826" w:rsidRDefault="007E0826" w:rsidP="00BF683E">
      <w:pPr>
        <w:spacing w:line="360" w:lineRule="auto"/>
        <w:jc w:val="both"/>
      </w:pPr>
      <w:r>
        <w:t xml:space="preserve">Overall, </w:t>
      </w:r>
      <w:r w:rsidR="006D0DCC" w:rsidRPr="007E0826">
        <w:t>both</w:t>
      </w:r>
      <w:r w:rsidRPr="007E0826">
        <w:t xml:space="preserve"> companies reduced their cash conversion cycle in 2025 but a2 Milk outperforms Turners with a clear superior cash position while Turners operates a short positive cycle more suited to its fast-collecting, stock-heavy business.</w:t>
      </w:r>
    </w:p>
    <w:p w14:paraId="54A480BF" w14:textId="77777777" w:rsidR="00510788" w:rsidRPr="00BE4761" w:rsidRDefault="00510788" w:rsidP="00BF683E">
      <w:pPr>
        <w:spacing w:line="360" w:lineRule="auto"/>
        <w:jc w:val="both"/>
      </w:pPr>
    </w:p>
    <w:p w14:paraId="35B4CABD" w14:textId="77777777" w:rsidR="00D40ABB" w:rsidRPr="00D40ABB" w:rsidRDefault="00D40ABB" w:rsidP="00BF683E">
      <w:pPr>
        <w:spacing w:line="360" w:lineRule="auto"/>
        <w:jc w:val="both"/>
        <w:rPr>
          <w:b/>
          <w:bCs/>
        </w:rPr>
      </w:pPr>
      <w:r w:rsidRPr="00D40ABB">
        <w:rPr>
          <w:b/>
          <w:bCs/>
        </w:rPr>
        <w:t>(vi) Goals for Māori Asset Ownership</w:t>
      </w:r>
    </w:p>
    <w:p w14:paraId="73D28F78" w14:textId="2409CFAD" w:rsidR="00D40ABB" w:rsidRPr="00D40ABB" w:rsidRDefault="00D40ABB" w:rsidP="00BF683E">
      <w:pPr>
        <w:spacing w:line="360" w:lineRule="auto"/>
        <w:jc w:val="both"/>
      </w:pPr>
      <w:r w:rsidRPr="00D40ABB">
        <w:lastRenderedPageBreak/>
        <w:t xml:space="preserve">Māori asset owners operate from a Māori </w:t>
      </w:r>
      <w:r w:rsidR="006D0DCC" w:rsidRPr="00D40ABB">
        <w:t>perspective,</w:t>
      </w:r>
      <w:r w:rsidRPr="00D40ABB">
        <w:t xml:space="preserve"> and profit is just one of the many factors they consider. Four goals are clear.</w:t>
      </w:r>
    </w:p>
    <w:p w14:paraId="6FD6F47D" w14:textId="4B90CA8C" w:rsidR="00D40ABB" w:rsidRPr="00D40ABB" w:rsidRDefault="00D40ABB" w:rsidP="00BF683E">
      <w:pPr>
        <w:pStyle w:val="ListParagraph"/>
        <w:numPr>
          <w:ilvl w:val="0"/>
          <w:numId w:val="3"/>
        </w:numPr>
        <w:spacing w:line="360" w:lineRule="auto"/>
        <w:jc w:val="both"/>
      </w:pPr>
      <w:r w:rsidRPr="00D40ABB">
        <w:t xml:space="preserve">Everlasting preservation of taonga assets: Numerous Māori assets are taonga </w:t>
      </w:r>
      <w:r w:rsidR="006D0DCC">
        <w:rPr>
          <w:rFonts w:ascii="Times New Roman" w:eastAsia="Times New Roman"/>
          <w:color w:val="000000"/>
        </w:rPr>
        <w:t>tuku iho</w:t>
      </w:r>
      <w:r w:rsidRPr="00D40ABB">
        <w:t>, heirlooms, including whenua (land), and bodies of water like lakes and rivers. They are not the products of the present generation; generation after generation defends them and hands them down</w:t>
      </w:r>
      <w:r w:rsidR="001E388B">
        <w:t xml:space="preserve"> </w:t>
      </w:r>
      <w:sdt>
        <w:sdtPr>
          <w:id w:val="1306428940"/>
          <w:citation/>
        </w:sdtPr>
        <w:sdtContent>
          <w:r w:rsidR="001E388B">
            <w:fldChar w:fldCharType="begin"/>
          </w:r>
          <w:r w:rsidR="001E388B">
            <w:instrText xml:space="preserve"> CITATION Bar05 \l 1033 </w:instrText>
          </w:r>
          <w:r w:rsidR="001E388B">
            <w:fldChar w:fldCharType="separate"/>
          </w:r>
          <w:r w:rsidR="001E388B">
            <w:rPr>
              <w:noProof/>
            </w:rPr>
            <w:t>(Barrett, 2005)</w:t>
          </w:r>
          <w:r w:rsidR="001E388B">
            <w:fldChar w:fldCharType="end"/>
          </w:r>
        </w:sdtContent>
      </w:sdt>
      <w:r w:rsidRPr="00D40ABB">
        <w:t>. Ownership of the land is worth more than the factories that operate on it.</w:t>
      </w:r>
    </w:p>
    <w:p w14:paraId="246E5008" w14:textId="368B03A0" w:rsidR="00D40ABB" w:rsidRPr="00D40ABB" w:rsidRDefault="00D40ABB" w:rsidP="00BF683E">
      <w:pPr>
        <w:pStyle w:val="ListParagraph"/>
        <w:numPr>
          <w:ilvl w:val="0"/>
          <w:numId w:val="3"/>
        </w:numPr>
        <w:spacing w:line="360" w:lineRule="auto"/>
        <w:jc w:val="both"/>
      </w:pPr>
      <w:r w:rsidRPr="00D40ABB">
        <w:t>Taonga assets comparison to other assets: Owners categorize continuing (taonga) assets apart from other assets</w:t>
      </w:r>
      <w:r w:rsidR="001E388B">
        <w:t xml:space="preserve"> </w:t>
      </w:r>
      <w:sdt>
        <w:sdtPr>
          <w:id w:val="-2106490181"/>
          <w:citation/>
        </w:sdtPr>
        <w:sdtContent>
          <w:r w:rsidR="001E388B">
            <w:fldChar w:fldCharType="begin"/>
          </w:r>
          <w:r w:rsidR="001E388B">
            <w:instrText xml:space="preserve"> CITATION Bar05 \l 1033 </w:instrText>
          </w:r>
          <w:r w:rsidR="001E388B">
            <w:fldChar w:fldCharType="separate"/>
          </w:r>
          <w:r w:rsidR="001E388B">
            <w:rPr>
              <w:noProof/>
            </w:rPr>
            <w:t>(Barrett, 2005)</w:t>
          </w:r>
          <w:r w:rsidR="001E388B">
            <w:fldChar w:fldCharType="end"/>
          </w:r>
        </w:sdtContent>
      </w:sdt>
      <w:r w:rsidRPr="00D40ABB">
        <w:t>. Taonga assets are preserved forever, whereas other assets are a temporary way of doing business and can be acquired or disposed of as the interests of the business change</w:t>
      </w:r>
      <w:r w:rsidR="001E388B">
        <w:t xml:space="preserve"> </w:t>
      </w:r>
      <w:sdt>
        <w:sdtPr>
          <w:id w:val="1375739705"/>
          <w:citation/>
        </w:sdtPr>
        <w:sdtContent>
          <w:r w:rsidR="001E388B">
            <w:fldChar w:fldCharType="begin"/>
          </w:r>
          <w:r w:rsidR="001E388B">
            <w:instrText xml:space="preserve">CITATION TeT \l 1033 </w:instrText>
          </w:r>
          <w:r w:rsidR="001E388B">
            <w:fldChar w:fldCharType="separate"/>
          </w:r>
          <w:r w:rsidR="001E388B">
            <w:rPr>
              <w:noProof/>
            </w:rPr>
            <w:t>(Te Tumu Paeroa)</w:t>
          </w:r>
          <w:r w:rsidR="001E388B">
            <w:fldChar w:fldCharType="end"/>
          </w:r>
        </w:sdtContent>
      </w:sdt>
      <w:r w:rsidRPr="00D40ABB">
        <w:t xml:space="preserve"> </w:t>
      </w:r>
    </w:p>
    <w:p w14:paraId="3700F6AF" w14:textId="03A16868" w:rsidR="00D40ABB" w:rsidRPr="00D40ABB" w:rsidRDefault="00D40ABB" w:rsidP="00BF683E">
      <w:pPr>
        <w:pStyle w:val="ListParagraph"/>
        <w:numPr>
          <w:ilvl w:val="0"/>
          <w:numId w:val="3"/>
        </w:numPr>
        <w:spacing w:line="360" w:lineRule="auto"/>
        <w:jc w:val="both"/>
      </w:pPr>
      <w:r w:rsidRPr="00D40ABB">
        <w:t>Fending off the unintentional forfeiture of ownership and control: A main purpose is to prevent the unintentional loss of ownership and control through commercial failure or environmental degradation. Hence the importance of sound risk and management procedures and the tendency of owners to favor cautious, long-term over short-term gains.</w:t>
      </w:r>
    </w:p>
    <w:p w14:paraId="3B045EC2" w14:textId="2D4D7B14" w:rsidR="00D40ABB" w:rsidRPr="00D40ABB" w:rsidRDefault="00D40ABB" w:rsidP="00BF683E">
      <w:pPr>
        <w:pStyle w:val="ListParagraph"/>
        <w:numPr>
          <w:ilvl w:val="0"/>
          <w:numId w:val="3"/>
        </w:numPr>
        <w:spacing w:line="360" w:lineRule="auto"/>
        <w:jc w:val="both"/>
      </w:pPr>
      <w:r w:rsidRPr="00D40ABB">
        <w:t xml:space="preserve">Kaitiakitanga (guardianship) and broader well-being: Owners are kaitiaki (guardians) of their assets, not merely investors </w:t>
      </w:r>
      <w:sdt>
        <w:sdtPr>
          <w:id w:val="754247292"/>
          <w:citation/>
        </w:sdtPr>
        <w:sdtContent>
          <w:r w:rsidR="001E388B">
            <w:fldChar w:fldCharType="begin"/>
          </w:r>
          <w:r w:rsidR="001E388B">
            <w:instrText xml:space="preserve"> CITATION Haw20 \l 1033 </w:instrText>
          </w:r>
          <w:r w:rsidR="001E388B">
            <w:fldChar w:fldCharType="separate"/>
          </w:r>
          <w:r w:rsidR="001E388B">
            <w:rPr>
              <w:noProof/>
            </w:rPr>
            <w:t>(Hawkesby, 2020)</w:t>
          </w:r>
          <w:r w:rsidR="001E388B">
            <w:fldChar w:fldCharType="end"/>
          </w:r>
        </w:sdtContent>
      </w:sdt>
      <w:r w:rsidRPr="00D40ABB">
        <w:t>. The Te Ture Whenua Māori Act 1993 facilitates this through the retention of Māori land within the ownership of the whānau and hapū who have traditionally owned such land. Achievement is assessed through economic, ecological, cultural and social standards, not monetary ones</w:t>
      </w:r>
      <w:r w:rsidR="001E388B">
        <w:t xml:space="preserve"> </w:t>
      </w:r>
      <w:sdt>
        <w:sdtPr>
          <w:id w:val="1191563725"/>
          <w:citation/>
        </w:sdtPr>
        <w:sdtContent>
          <w:r w:rsidR="001E388B">
            <w:fldChar w:fldCharType="begin"/>
          </w:r>
          <w:r w:rsidR="001E388B">
            <w:instrText xml:space="preserve"> CITATION TeT \l 1033 </w:instrText>
          </w:r>
          <w:r w:rsidR="001E388B">
            <w:fldChar w:fldCharType="separate"/>
          </w:r>
          <w:r w:rsidR="001E388B">
            <w:rPr>
              <w:noProof/>
            </w:rPr>
            <w:t>(Te Tumu Paeroa)</w:t>
          </w:r>
          <w:r w:rsidR="001E388B">
            <w:fldChar w:fldCharType="end"/>
          </w:r>
        </w:sdtContent>
      </w:sdt>
      <w:r w:rsidRPr="00D40ABB">
        <w:t>.</w:t>
      </w:r>
    </w:p>
    <w:p w14:paraId="31B40162" w14:textId="1150651C" w:rsidR="00D40ABB" w:rsidRPr="00D40ABB" w:rsidRDefault="00D40ABB" w:rsidP="00BF683E">
      <w:pPr>
        <w:spacing w:line="360" w:lineRule="auto"/>
        <w:jc w:val="both"/>
      </w:pPr>
      <w:r w:rsidRPr="00D40ABB">
        <w:t>These goals constitute a significant part of the New Zealand economy given the estimated value of the Māori asset base of NZ$126 billion in 2023</w:t>
      </w:r>
      <w:r w:rsidR="001E388B">
        <w:t xml:space="preserve"> </w:t>
      </w:r>
      <w:sdt>
        <w:sdtPr>
          <w:id w:val="797655463"/>
          <w:citation/>
        </w:sdtPr>
        <w:sdtContent>
          <w:r w:rsidR="001E388B">
            <w:fldChar w:fldCharType="begin"/>
          </w:r>
          <w:r w:rsidR="001E388B">
            <w:instrText xml:space="preserve"> CITATION Sch25 \l 1033 </w:instrText>
          </w:r>
          <w:r w:rsidR="001E388B">
            <w:fldChar w:fldCharType="separate"/>
          </w:r>
          <w:r w:rsidR="001E388B">
            <w:rPr>
              <w:noProof/>
            </w:rPr>
            <w:t>(Schulze, 2025)</w:t>
          </w:r>
          <w:r w:rsidR="001E388B">
            <w:fldChar w:fldCharType="end"/>
          </w:r>
        </w:sdtContent>
      </w:sdt>
      <w:r w:rsidR="001E388B">
        <w:t>.</w:t>
      </w:r>
    </w:p>
    <w:p w14:paraId="6228C836" w14:textId="77777777" w:rsidR="00DA4F1D" w:rsidRDefault="00DA4F1D" w:rsidP="00BF683E">
      <w:pPr>
        <w:pStyle w:val="Heading1"/>
        <w:spacing w:line="360" w:lineRule="auto"/>
      </w:pPr>
      <w:r>
        <w:rPr>
          <w:rFonts w:ascii="Times New Roman" w:eastAsia="Times New Roman"/>
          <w:b/>
          <w:bCs/>
          <w:color w:val="000000"/>
          <w:sz w:val="28"/>
          <w:szCs w:val="28"/>
        </w:rPr>
        <w:t>(vii) References</w:t>
      </w:r>
    </w:p>
    <w:p w14:paraId="015CD405" w14:textId="77777777" w:rsidR="00BF4F61" w:rsidRDefault="00BF4F61" w:rsidP="00BF4F61">
      <w:pPr>
        <w:pStyle w:val="Bibliography"/>
        <w:ind w:left="720" w:hanging="720"/>
        <w:rPr>
          <w:noProof/>
          <w:kern w:val="0"/>
          <w14:ligatures w14:val="none"/>
        </w:rPr>
      </w:pPr>
      <w:r>
        <w:fldChar w:fldCharType="begin"/>
      </w:r>
      <w:r>
        <w:instrText xml:space="preserve"> BIBLIOGRAPHY  \l 1033 </w:instrText>
      </w:r>
      <w:r>
        <w:fldChar w:fldCharType="separate"/>
      </w:r>
      <w:r>
        <w:rPr>
          <w:noProof/>
        </w:rPr>
        <w:t>Barrett, M. (2005). Accounting and accountability in Māori organisations in Aotearoa New Zealand. Glasgow: Glasgow Caledonian University.</w:t>
      </w:r>
    </w:p>
    <w:p w14:paraId="613E6861" w14:textId="6F2E645F" w:rsidR="00BF4F61" w:rsidRDefault="00BF4F61" w:rsidP="00BF4F61">
      <w:pPr>
        <w:pStyle w:val="Bibliography"/>
        <w:ind w:left="720" w:hanging="720"/>
        <w:rPr>
          <w:noProof/>
        </w:rPr>
      </w:pPr>
      <w:r>
        <w:rPr>
          <w:noProof/>
        </w:rPr>
        <w:lastRenderedPageBreak/>
        <w:t xml:space="preserve">Hawkesby, C. (2020, February 13). </w:t>
      </w:r>
      <w:r>
        <w:rPr>
          <w:i/>
          <w:iCs/>
          <w:noProof/>
        </w:rPr>
        <w:t>Kaitiakitanga: Te Ao Māori o Te Pūtea Matua – Guardianship: The Māori world view of the Reserve Bank.</w:t>
      </w:r>
      <w:r>
        <w:rPr>
          <w:noProof/>
        </w:rPr>
        <w:t xml:space="preserve"> Retrieved from Reserve Bank of New Zealand: </w:t>
      </w:r>
      <w:hyperlink r:id="rId6" w:history="1">
        <w:r w:rsidRPr="00BF4F61">
          <w:rPr>
            <w:rStyle w:val="Hyperlink"/>
            <w:noProof/>
          </w:rPr>
          <w:t>https://www.rbnz.govt.nz/hub/publications/speech/2020/speech2020-02-13</w:t>
        </w:r>
      </w:hyperlink>
    </w:p>
    <w:p w14:paraId="323743A8" w14:textId="77777777" w:rsidR="00BF4F61" w:rsidRDefault="00BF4F61" w:rsidP="00BF4F61">
      <w:pPr>
        <w:pStyle w:val="Bibliography"/>
        <w:ind w:left="720" w:hanging="720"/>
        <w:rPr>
          <w:noProof/>
        </w:rPr>
      </w:pPr>
      <w:r>
        <w:rPr>
          <w:noProof/>
        </w:rPr>
        <w:t>Parliament, N. Z. (1993). Te Ture Whenua Māori Act 1993. Wellington: New Zealand Legislation.</w:t>
      </w:r>
    </w:p>
    <w:p w14:paraId="0D2B50FC" w14:textId="3711AD15" w:rsidR="00BF4F61" w:rsidRDefault="00BF4F61" w:rsidP="00BF4F61">
      <w:pPr>
        <w:pStyle w:val="Bibliography"/>
        <w:ind w:left="720" w:hanging="720"/>
        <w:rPr>
          <w:noProof/>
        </w:rPr>
      </w:pPr>
      <w:r>
        <w:rPr>
          <w:noProof/>
        </w:rPr>
        <w:t xml:space="preserve">Schulze, H. (2025, March 10). </w:t>
      </w:r>
      <w:r>
        <w:rPr>
          <w:i/>
          <w:iCs/>
          <w:noProof/>
        </w:rPr>
        <w:t>Te Ōhanga Māori 2023: The Māori economy 2023.</w:t>
      </w:r>
      <w:r>
        <w:rPr>
          <w:noProof/>
        </w:rPr>
        <w:t xml:space="preserve"> Retrieved from</w:t>
      </w:r>
      <w:r w:rsidRPr="00BF4F61">
        <w:rPr>
          <w:noProof/>
        </w:rPr>
        <w:t xml:space="preserve"> </w:t>
      </w:r>
      <w:hyperlink r:id="rId7" w:history="1">
        <w:r w:rsidRPr="00BF4F61">
          <w:rPr>
            <w:rStyle w:val="Hyperlink"/>
            <w:noProof/>
          </w:rPr>
          <w:t>https://berl.co.nz/our-mahi/te-ohanga-maori-2023</w:t>
        </w:r>
      </w:hyperlink>
    </w:p>
    <w:p w14:paraId="51CE9BED" w14:textId="62F1B079" w:rsidR="00BF4F61" w:rsidRDefault="00BF4F61" w:rsidP="00BF4F61">
      <w:pPr>
        <w:pStyle w:val="Bibliography"/>
        <w:ind w:left="720" w:hanging="720"/>
        <w:rPr>
          <w:noProof/>
        </w:rPr>
      </w:pPr>
      <w:r>
        <w:rPr>
          <w:noProof/>
        </w:rPr>
        <w:t xml:space="preserve">Te Tumu Paeroa. (n.d.). </w:t>
      </w:r>
      <w:r>
        <w:rPr>
          <w:i/>
          <w:iCs/>
          <w:noProof/>
        </w:rPr>
        <w:t>About us.</w:t>
      </w:r>
      <w:r>
        <w:rPr>
          <w:noProof/>
        </w:rPr>
        <w:t xml:space="preserve"> Retrieved from Te Tumu Paeroa: </w:t>
      </w:r>
      <w:hyperlink r:id="rId8" w:history="1">
        <w:r w:rsidRPr="00BF4F61">
          <w:rPr>
            <w:rStyle w:val="Hyperlink"/>
            <w:noProof/>
          </w:rPr>
          <w:t>https://www.tetumupaeroa.co.nz/who-we-are/about-us</w:t>
        </w:r>
      </w:hyperlink>
    </w:p>
    <w:p w14:paraId="77289E22" w14:textId="7E40BEC4" w:rsidR="008C2E01" w:rsidRDefault="00BF4F61" w:rsidP="00BF4F61">
      <w:pPr>
        <w:spacing w:line="360" w:lineRule="auto"/>
        <w:jc w:val="both"/>
      </w:pPr>
      <w:r>
        <w:fldChar w:fldCharType="end"/>
      </w:r>
    </w:p>
    <w:p w14:paraId="514E0C7F" w14:textId="77777777" w:rsidR="00BF4F61" w:rsidRPr="00BE4761" w:rsidRDefault="00BF4F61" w:rsidP="00BF4F61">
      <w:pPr>
        <w:spacing w:line="360" w:lineRule="auto"/>
        <w:jc w:val="both"/>
      </w:pPr>
    </w:p>
    <w:sectPr w:rsidR="00BF4F61" w:rsidRPr="00BE47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E4DA2"/>
    <w:multiLevelType w:val="hybridMultilevel"/>
    <w:tmpl w:val="19EE0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3C947C9"/>
    <w:multiLevelType w:val="hybridMultilevel"/>
    <w:tmpl w:val="6192A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5033CC"/>
    <w:multiLevelType w:val="hybridMultilevel"/>
    <w:tmpl w:val="BC44E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1154625">
    <w:abstractNumId w:val="2"/>
  </w:num>
  <w:num w:numId="2" w16cid:durableId="1661612311">
    <w:abstractNumId w:val="1"/>
  </w:num>
  <w:num w:numId="3" w16cid:durableId="1331103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F58"/>
    <w:rsid w:val="00031187"/>
    <w:rsid w:val="000A55C6"/>
    <w:rsid w:val="0014279B"/>
    <w:rsid w:val="00177BF5"/>
    <w:rsid w:val="001E2F58"/>
    <w:rsid w:val="001E388B"/>
    <w:rsid w:val="001E5929"/>
    <w:rsid w:val="002A4380"/>
    <w:rsid w:val="00396901"/>
    <w:rsid w:val="003E4421"/>
    <w:rsid w:val="00472AA7"/>
    <w:rsid w:val="00495163"/>
    <w:rsid w:val="004A3B3C"/>
    <w:rsid w:val="005010FB"/>
    <w:rsid w:val="00510788"/>
    <w:rsid w:val="005433B9"/>
    <w:rsid w:val="005E2590"/>
    <w:rsid w:val="005E5054"/>
    <w:rsid w:val="0066727A"/>
    <w:rsid w:val="006829B2"/>
    <w:rsid w:val="006D0DCC"/>
    <w:rsid w:val="007E0826"/>
    <w:rsid w:val="007E374F"/>
    <w:rsid w:val="00850A62"/>
    <w:rsid w:val="008C2E01"/>
    <w:rsid w:val="008D2106"/>
    <w:rsid w:val="00980FD0"/>
    <w:rsid w:val="00BE1975"/>
    <w:rsid w:val="00BE4761"/>
    <w:rsid w:val="00BF4F61"/>
    <w:rsid w:val="00BF683E"/>
    <w:rsid w:val="00C40362"/>
    <w:rsid w:val="00D40ABB"/>
    <w:rsid w:val="00D933C0"/>
    <w:rsid w:val="00DA4F1D"/>
    <w:rsid w:val="00DF5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580AD"/>
  <w15:chartTrackingRefBased/>
  <w15:docId w15:val="{AFC1020E-C312-44BE-B81F-403574246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F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F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F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F58"/>
    <w:rPr>
      <w:rFonts w:eastAsiaTheme="majorEastAsia" w:cstheme="majorBidi"/>
      <w:color w:val="272727" w:themeColor="text1" w:themeTint="D8"/>
    </w:rPr>
  </w:style>
  <w:style w:type="paragraph" w:styleId="Title">
    <w:name w:val="Title"/>
    <w:basedOn w:val="Normal"/>
    <w:next w:val="Normal"/>
    <w:link w:val="TitleChar"/>
    <w:uiPriority w:val="10"/>
    <w:qFormat/>
    <w:rsid w:val="001E2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F58"/>
    <w:pPr>
      <w:spacing w:before="160"/>
      <w:jc w:val="center"/>
    </w:pPr>
    <w:rPr>
      <w:i/>
      <w:iCs/>
      <w:color w:val="404040" w:themeColor="text1" w:themeTint="BF"/>
    </w:rPr>
  </w:style>
  <w:style w:type="character" w:customStyle="1" w:styleId="QuoteChar">
    <w:name w:val="Quote Char"/>
    <w:basedOn w:val="DefaultParagraphFont"/>
    <w:link w:val="Quote"/>
    <w:uiPriority w:val="29"/>
    <w:rsid w:val="001E2F58"/>
    <w:rPr>
      <w:i/>
      <w:iCs/>
      <w:color w:val="404040" w:themeColor="text1" w:themeTint="BF"/>
    </w:rPr>
  </w:style>
  <w:style w:type="paragraph" w:styleId="ListParagraph">
    <w:name w:val="List Paragraph"/>
    <w:basedOn w:val="Normal"/>
    <w:uiPriority w:val="34"/>
    <w:qFormat/>
    <w:rsid w:val="001E2F58"/>
    <w:pPr>
      <w:ind w:left="720"/>
      <w:contextualSpacing/>
    </w:pPr>
  </w:style>
  <w:style w:type="character" w:styleId="IntenseEmphasis">
    <w:name w:val="Intense Emphasis"/>
    <w:basedOn w:val="DefaultParagraphFont"/>
    <w:uiPriority w:val="21"/>
    <w:qFormat/>
    <w:rsid w:val="001E2F58"/>
    <w:rPr>
      <w:i/>
      <w:iCs/>
      <w:color w:val="0F4761" w:themeColor="accent1" w:themeShade="BF"/>
    </w:rPr>
  </w:style>
  <w:style w:type="paragraph" w:styleId="IntenseQuote">
    <w:name w:val="Intense Quote"/>
    <w:basedOn w:val="Normal"/>
    <w:next w:val="Normal"/>
    <w:link w:val="IntenseQuoteChar"/>
    <w:uiPriority w:val="30"/>
    <w:qFormat/>
    <w:rsid w:val="001E2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F58"/>
    <w:rPr>
      <w:i/>
      <w:iCs/>
      <w:color w:val="0F4761" w:themeColor="accent1" w:themeShade="BF"/>
    </w:rPr>
  </w:style>
  <w:style w:type="character" w:styleId="IntenseReference">
    <w:name w:val="Intense Reference"/>
    <w:basedOn w:val="DefaultParagraphFont"/>
    <w:uiPriority w:val="32"/>
    <w:qFormat/>
    <w:rsid w:val="001E2F58"/>
    <w:rPr>
      <w:b/>
      <w:bCs/>
      <w:smallCaps/>
      <w:color w:val="0F4761" w:themeColor="accent1" w:themeShade="BF"/>
      <w:spacing w:val="5"/>
    </w:rPr>
  </w:style>
  <w:style w:type="paragraph" w:styleId="Bibliography">
    <w:name w:val="Bibliography"/>
    <w:basedOn w:val="Normal"/>
    <w:next w:val="Normal"/>
    <w:uiPriority w:val="37"/>
    <w:unhideWhenUsed/>
    <w:rsid w:val="008C2E01"/>
  </w:style>
  <w:style w:type="character" w:styleId="Hyperlink">
    <w:name w:val="Hyperlink"/>
    <w:basedOn w:val="DefaultParagraphFont"/>
    <w:uiPriority w:val="99"/>
    <w:unhideWhenUsed/>
    <w:rsid w:val="00BF4F61"/>
    <w:rPr>
      <w:color w:val="467886" w:themeColor="hyperlink"/>
      <w:u w:val="single"/>
    </w:rPr>
  </w:style>
  <w:style w:type="character" w:styleId="UnresolvedMention">
    <w:name w:val="Unresolved Mention"/>
    <w:basedOn w:val="DefaultParagraphFont"/>
    <w:uiPriority w:val="99"/>
    <w:semiHidden/>
    <w:unhideWhenUsed/>
    <w:rsid w:val="00BF4F61"/>
    <w:rPr>
      <w:color w:val="605E5C"/>
      <w:shd w:val="clear" w:color="auto" w:fill="E1DFDD"/>
    </w:rPr>
  </w:style>
  <w:style w:type="character" w:styleId="FollowedHyperlink">
    <w:name w:val="FollowedHyperlink"/>
    <w:basedOn w:val="DefaultParagraphFont"/>
    <w:uiPriority w:val="99"/>
    <w:semiHidden/>
    <w:unhideWhenUsed/>
    <w:rsid w:val="006D0D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68452">
      <w:bodyDiv w:val="1"/>
      <w:marLeft w:val="0"/>
      <w:marRight w:val="0"/>
      <w:marTop w:val="0"/>
      <w:marBottom w:val="0"/>
      <w:divBdr>
        <w:top w:val="none" w:sz="0" w:space="0" w:color="auto"/>
        <w:left w:val="none" w:sz="0" w:space="0" w:color="auto"/>
        <w:bottom w:val="none" w:sz="0" w:space="0" w:color="auto"/>
        <w:right w:val="none" w:sz="0" w:space="0" w:color="auto"/>
      </w:divBdr>
    </w:div>
    <w:div w:id="208032966">
      <w:bodyDiv w:val="1"/>
      <w:marLeft w:val="0"/>
      <w:marRight w:val="0"/>
      <w:marTop w:val="0"/>
      <w:marBottom w:val="0"/>
      <w:divBdr>
        <w:top w:val="none" w:sz="0" w:space="0" w:color="auto"/>
        <w:left w:val="none" w:sz="0" w:space="0" w:color="auto"/>
        <w:bottom w:val="none" w:sz="0" w:space="0" w:color="auto"/>
        <w:right w:val="none" w:sz="0" w:space="0" w:color="auto"/>
      </w:divBdr>
    </w:div>
    <w:div w:id="347293298">
      <w:bodyDiv w:val="1"/>
      <w:marLeft w:val="0"/>
      <w:marRight w:val="0"/>
      <w:marTop w:val="0"/>
      <w:marBottom w:val="0"/>
      <w:divBdr>
        <w:top w:val="none" w:sz="0" w:space="0" w:color="auto"/>
        <w:left w:val="none" w:sz="0" w:space="0" w:color="auto"/>
        <w:bottom w:val="none" w:sz="0" w:space="0" w:color="auto"/>
        <w:right w:val="none" w:sz="0" w:space="0" w:color="auto"/>
      </w:divBdr>
    </w:div>
    <w:div w:id="371268549">
      <w:bodyDiv w:val="1"/>
      <w:marLeft w:val="0"/>
      <w:marRight w:val="0"/>
      <w:marTop w:val="0"/>
      <w:marBottom w:val="0"/>
      <w:divBdr>
        <w:top w:val="none" w:sz="0" w:space="0" w:color="auto"/>
        <w:left w:val="none" w:sz="0" w:space="0" w:color="auto"/>
        <w:bottom w:val="none" w:sz="0" w:space="0" w:color="auto"/>
        <w:right w:val="none" w:sz="0" w:space="0" w:color="auto"/>
      </w:divBdr>
    </w:div>
    <w:div w:id="555630495">
      <w:bodyDiv w:val="1"/>
      <w:marLeft w:val="0"/>
      <w:marRight w:val="0"/>
      <w:marTop w:val="0"/>
      <w:marBottom w:val="0"/>
      <w:divBdr>
        <w:top w:val="none" w:sz="0" w:space="0" w:color="auto"/>
        <w:left w:val="none" w:sz="0" w:space="0" w:color="auto"/>
        <w:bottom w:val="none" w:sz="0" w:space="0" w:color="auto"/>
        <w:right w:val="none" w:sz="0" w:space="0" w:color="auto"/>
      </w:divBdr>
    </w:div>
    <w:div w:id="707529375">
      <w:bodyDiv w:val="1"/>
      <w:marLeft w:val="0"/>
      <w:marRight w:val="0"/>
      <w:marTop w:val="0"/>
      <w:marBottom w:val="0"/>
      <w:divBdr>
        <w:top w:val="none" w:sz="0" w:space="0" w:color="auto"/>
        <w:left w:val="none" w:sz="0" w:space="0" w:color="auto"/>
        <w:bottom w:val="none" w:sz="0" w:space="0" w:color="auto"/>
        <w:right w:val="none" w:sz="0" w:space="0" w:color="auto"/>
      </w:divBdr>
    </w:div>
    <w:div w:id="751775019">
      <w:bodyDiv w:val="1"/>
      <w:marLeft w:val="0"/>
      <w:marRight w:val="0"/>
      <w:marTop w:val="0"/>
      <w:marBottom w:val="0"/>
      <w:divBdr>
        <w:top w:val="none" w:sz="0" w:space="0" w:color="auto"/>
        <w:left w:val="none" w:sz="0" w:space="0" w:color="auto"/>
        <w:bottom w:val="none" w:sz="0" w:space="0" w:color="auto"/>
        <w:right w:val="none" w:sz="0" w:space="0" w:color="auto"/>
      </w:divBdr>
    </w:div>
    <w:div w:id="759258204">
      <w:bodyDiv w:val="1"/>
      <w:marLeft w:val="0"/>
      <w:marRight w:val="0"/>
      <w:marTop w:val="0"/>
      <w:marBottom w:val="0"/>
      <w:divBdr>
        <w:top w:val="none" w:sz="0" w:space="0" w:color="auto"/>
        <w:left w:val="none" w:sz="0" w:space="0" w:color="auto"/>
        <w:bottom w:val="none" w:sz="0" w:space="0" w:color="auto"/>
        <w:right w:val="none" w:sz="0" w:space="0" w:color="auto"/>
      </w:divBdr>
    </w:div>
    <w:div w:id="793253524">
      <w:bodyDiv w:val="1"/>
      <w:marLeft w:val="0"/>
      <w:marRight w:val="0"/>
      <w:marTop w:val="0"/>
      <w:marBottom w:val="0"/>
      <w:divBdr>
        <w:top w:val="none" w:sz="0" w:space="0" w:color="auto"/>
        <w:left w:val="none" w:sz="0" w:space="0" w:color="auto"/>
        <w:bottom w:val="none" w:sz="0" w:space="0" w:color="auto"/>
        <w:right w:val="none" w:sz="0" w:space="0" w:color="auto"/>
      </w:divBdr>
    </w:div>
    <w:div w:id="885482175">
      <w:bodyDiv w:val="1"/>
      <w:marLeft w:val="0"/>
      <w:marRight w:val="0"/>
      <w:marTop w:val="0"/>
      <w:marBottom w:val="0"/>
      <w:divBdr>
        <w:top w:val="none" w:sz="0" w:space="0" w:color="auto"/>
        <w:left w:val="none" w:sz="0" w:space="0" w:color="auto"/>
        <w:bottom w:val="none" w:sz="0" w:space="0" w:color="auto"/>
        <w:right w:val="none" w:sz="0" w:space="0" w:color="auto"/>
      </w:divBdr>
    </w:div>
    <w:div w:id="965349714">
      <w:bodyDiv w:val="1"/>
      <w:marLeft w:val="0"/>
      <w:marRight w:val="0"/>
      <w:marTop w:val="0"/>
      <w:marBottom w:val="0"/>
      <w:divBdr>
        <w:top w:val="none" w:sz="0" w:space="0" w:color="auto"/>
        <w:left w:val="none" w:sz="0" w:space="0" w:color="auto"/>
        <w:bottom w:val="none" w:sz="0" w:space="0" w:color="auto"/>
        <w:right w:val="none" w:sz="0" w:space="0" w:color="auto"/>
      </w:divBdr>
    </w:div>
    <w:div w:id="1151101207">
      <w:bodyDiv w:val="1"/>
      <w:marLeft w:val="0"/>
      <w:marRight w:val="0"/>
      <w:marTop w:val="0"/>
      <w:marBottom w:val="0"/>
      <w:divBdr>
        <w:top w:val="none" w:sz="0" w:space="0" w:color="auto"/>
        <w:left w:val="none" w:sz="0" w:space="0" w:color="auto"/>
        <w:bottom w:val="none" w:sz="0" w:space="0" w:color="auto"/>
        <w:right w:val="none" w:sz="0" w:space="0" w:color="auto"/>
      </w:divBdr>
    </w:div>
    <w:div w:id="1184131660">
      <w:bodyDiv w:val="1"/>
      <w:marLeft w:val="0"/>
      <w:marRight w:val="0"/>
      <w:marTop w:val="0"/>
      <w:marBottom w:val="0"/>
      <w:divBdr>
        <w:top w:val="none" w:sz="0" w:space="0" w:color="auto"/>
        <w:left w:val="none" w:sz="0" w:space="0" w:color="auto"/>
        <w:bottom w:val="none" w:sz="0" w:space="0" w:color="auto"/>
        <w:right w:val="none" w:sz="0" w:space="0" w:color="auto"/>
      </w:divBdr>
    </w:div>
    <w:div w:id="1280185922">
      <w:bodyDiv w:val="1"/>
      <w:marLeft w:val="0"/>
      <w:marRight w:val="0"/>
      <w:marTop w:val="0"/>
      <w:marBottom w:val="0"/>
      <w:divBdr>
        <w:top w:val="none" w:sz="0" w:space="0" w:color="auto"/>
        <w:left w:val="none" w:sz="0" w:space="0" w:color="auto"/>
        <w:bottom w:val="none" w:sz="0" w:space="0" w:color="auto"/>
        <w:right w:val="none" w:sz="0" w:space="0" w:color="auto"/>
      </w:divBdr>
    </w:div>
    <w:div w:id="1314138836">
      <w:bodyDiv w:val="1"/>
      <w:marLeft w:val="0"/>
      <w:marRight w:val="0"/>
      <w:marTop w:val="0"/>
      <w:marBottom w:val="0"/>
      <w:divBdr>
        <w:top w:val="none" w:sz="0" w:space="0" w:color="auto"/>
        <w:left w:val="none" w:sz="0" w:space="0" w:color="auto"/>
        <w:bottom w:val="none" w:sz="0" w:space="0" w:color="auto"/>
        <w:right w:val="none" w:sz="0" w:space="0" w:color="auto"/>
      </w:divBdr>
    </w:div>
    <w:div w:id="1403092890">
      <w:bodyDiv w:val="1"/>
      <w:marLeft w:val="0"/>
      <w:marRight w:val="0"/>
      <w:marTop w:val="0"/>
      <w:marBottom w:val="0"/>
      <w:divBdr>
        <w:top w:val="none" w:sz="0" w:space="0" w:color="auto"/>
        <w:left w:val="none" w:sz="0" w:space="0" w:color="auto"/>
        <w:bottom w:val="none" w:sz="0" w:space="0" w:color="auto"/>
        <w:right w:val="none" w:sz="0" w:space="0" w:color="auto"/>
      </w:divBdr>
    </w:div>
    <w:div w:id="1544321553">
      <w:bodyDiv w:val="1"/>
      <w:marLeft w:val="0"/>
      <w:marRight w:val="0"/>
      <w:marTop w:val="0"/>
      <w:marBottom w:val="0"/>
      <w:divBdr>
        <w:top w:val="none" w:sz="0" w:space="0" w:color="auto"/>
        <w:left w:val="none" w:sz="0" w:space="0" w:color="auto"/>
        <w:bottom w:val="none" w:sz="0" w:space="0" w:color="auto"/>
        <w:right w:val="none" w:sz="0" w:space="0" w:color="auto"/>
      </w:divBdr>
    </w:div>
    <w:div w:id="1734153954">
      <w:bodyDiv w:val="1"/>
      <w:marLeft w:val="0"/>
      <w:marRight w:val="0"/>
      <w:marTop w:val="0"/>
      <w:marBottom w:val="0"/>
      <w:divBdr>
        <w:top w:val="none" w:sz="0" w:space="0" w:color="auto"/>
        <w:left w:val="none" w:sz="0" w:space="0" w:color="auto"/>
        <w:bottom w:val="none" w:sz="0" w:space="0" w:color="auto"/>
        <w:right w:val="none" w:sz="0" w:space="0" w:color="auto"/>
      </w:divBdr>
    </w:div>
    <w:div w:id="1811433902">
      <w:bodyDiv w:val="1"/>
      <w:marLeft w:val="0"/>
      <w:marRight w:val="0"/>
      <w:marTop w:val="0"/>
      <w:marBottom w:val="0"/>
      <w:divBdr>
        <w:top w:val="none" w:sz="0" w:space="0" w:color="auto"/>
        <w:left w:val="none" w:sz="0" w:space="0" w:color="auto"/>
        <w:bottom w:val="none" w:sz="0" w:space="0" w:color="auto"/>
        <w:right w:val="none" w:sz="0" w:space="0" w:color="auto"/>
      </w:divBdr>
    </w:div>
    <w:div w:id="1817410390">
      <w:bodyDiv w:val="1"/>
      <w:marLeft w:val="0"/>
      <w:marRight w:val="0"/>
      <w:marTop w:val="0"/>
      <w:marBottom w:val="0"/>
      <w:divBdr>
        <w:top w:val="none" w:sz="0" w:space="0" w:color="auto"/>
        <w:left w:val="none" w:sz="0" w:space="0" w:color="auto"/>
        <w:bottom w:val="none" w:sz="0" w:space="0" w:color="auto"/>
        <w:right w:val="none" w:sz="0" w:space="0" w:color="auto"/>
      </w:divBdr>
    </w:div>
    <w:div w:id="1870101256">
      <w:bodyDiv w:val="1"/>
      <w:marLeft w:val="0"/>
      <w:marRight w:val="0"/>
      <w:marTop w:val="0"/>
      <w:marBottom w:val="0"/>
      <w:divBdr>
        <w:top w:val="none" w:sz="0" w:space="0" w:color="auto"/>
        <w:left w:val="none" w:sz="0" w:space="0" w:color="auto"/>
        <w:bottom w:val="none" w:sz="0" w:space="0" w:color="auto"/>
        <w:right w:val="none" w:sz="0" w:space="0" w:color="auto"/>
      </w:divBdr>
    </w:div>
    <w:div w:id="2090226328">
      <w:bodyDiv w:val="1"/>
      <w:marLeft w:val="0"/>
      <w:marRight w:val="0"/>
      <w:marTop w:val="0"/>
      <w:marBottom w:val="0"/>
      <w:divBdr>
        <w:top w:val="none" w:sz="0" w:space="0" w:color="auto"/>
        <w:left w:val="none" w:sz="0" w:space="0" w:color="auto"/>
        <w:bottom w:val="none" w:sz="0" w:space="0" w:color="auto"/>
        <w:right w:val="none" w:sz="0" w:space="0" w:color="auto"/>
      </w:divBdr>
    </w:div>
    <w:div w:id="2105148600">
      <w:bodyDiv w:val="1"/>
      <w:marLeft w:val="0"/>
      <w:marRight w:val="0"/>
      <w:marTop w:val="0"/>
      <w:marBottom w:val="0"/>
      <w:divBdr>
        <w:top w:val="none" w:sz="0" w:space="0" w:color="auto"/>
        <w:left w:val="none" w:sz="0" w:space="0" w:color="auto"/>
        <w:bottom w:val="none" w:sz="0" w:space="0" w:color="auto"/>
        <w:right w:val="none" w:sz="0" w:space="0" w:color="auto"/>
      </w:divBdr>
    </w:div>
    <w:div w:id="2123644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tumupaeroa.co.nz/who-we-are/about-us" TargetMode="External"/><Relationship Id="rId3" Type="http://schemas.openxmlformats.org/officeDocument/2006/relationships/styles" Target="styles.xml"/><Relationship Id="rId7" Type="http://schemas.openxmlformats.org/officeDocument/2006/relationships/hyperlink" Target="https://berl.co.nz/our-mahi/te-ohanga-maori-202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bnz.govt.nz/hub/publications/speech/2020/speech2020-02-1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Bar05</b:Tag>
    <b:SourceType>Misc</b:SourceType>
    <b:Guid>{5FD8633A-E119-440E-98BF-C2447C8435EB}</b:Guid>
    <b:Title>Accounting and accountability in Māori organisations in Aotearoa New Zealand</b:Title>
    <b:Year>2005</b:Year>
    <b:City>Glasgow</b:City>
    <b:Publisher>Glasgow Caledonian University</b:Publisher>
    <b:Author>
      <b:Author>
        <b:NameList>
          <b:Person>
            <b:Last>Barrett</b:Last>
            <b:First>M</b:First>
          </b:Person>
        </b:NameList>
      </b:Author>
    </b:Author>
    <b:RefOrder>1</b:RefOrder>
  </b:Source>
  <b:Source>
    <b:Tag>Haw20</b:Tag>
    <b:SourceType>DocumentFromInternetSite</b:SourceType>
    <b:Guid>{F0591D12-E8A6-4171-8255-CEDB5B1D177C}</b:Guid>
    <b:Title>Kaitiakitanga: Te Ao Māori o Te Pūtea Matua – Guardianship: The Māori world view of the Reserve Bank</b:Title>
    <b:Year>2020</b:Year>
    <b:Month>February</b:Month>
    <b:Day>13</b:Day>
    <b:Author>
      <b:Author>
        <b:NameList>
          <b:Person>
            <b:Last>Hawkesby</b:Last>
            <b:First>C</b:First>
          </b:Person>
        </b:NameList>
      </b:Author>
    </b:Author>
    <b:InternetSiteTitle> Reserve Bank of New Zealand</b:InternetSiteTitle>
    <b:URL>https://www.rbnz.govt.nz/hub/publications/speech/2020/speech2020-02-13</b:URL>
    <b:RefOrder>3</b:RefOrder>
  </b:Source>
  <b:Source>
    <b:Tag>Sch25</b:Tag>
    <b:SourceType>DocumentFromInternetSite</b:SourceType>
    <b:Guid>{C067AC95-AC30-4296-8B0A-A21ECFF0A561}</b:Guid>
    <b:Title>Te Ōhanga Māori 2023: The Māori economy 2023</b:Title>
    <b:Year>2025</b:Year>
    <b:Month>March</b:Month>
    <b:Day>10</b:Day>
    <b:URL> https://berl.co.nz/our-mahi/te-ohanga-maori-2023</b:URL>
    <b:Author>
      <b:Author>
        <b:NameList>
          <b:Person>
            <b:Last>Schulze</b:Last>
            <b:First>H.</b:First>
          </b:Person>
        </b:NameList>
      </b:Author>
    </b:Author>
    <b:Publisher>Business and Economic Research Limited</b:Publisher>
    <b:RefOrder>4</b:RefOrder>
  </b:Source>
  <b:Source>
    <b:Tag>New93</b:Tag>
    <b:SourceType>Misc</b:SourceType>
    <b:Guid>{4534F39C-2826-4C0D-9270-FFD2AFC74E72}</b:Guid>
    <b:Title>Te Ture Whenua Māori Act 1993</b:Title>
    <b:Year>1993</b:Year>
    <b:Author>
      <b:Author>
        <b:NameList>
          <b:Person>
            <b:Last>Parliament</b:Last>
            <b:First>New</b:First>
            <b:Middle>Zealand</b:Middle>
          </b:Person>
        </b:NameList>
      </b:Author>
    </b:Author>
    <b:City>Wellington</b:City>
    <b:Publisher>New Zealand Legislation</b:Publisher>
    <b:RefOrder>5</b:RefOrder>
  </b:Source>
  <b:Source>
    <b:Tag>TeT</b:Tag>
    <b:SourceType>DocumentFromInternetSite</b:SourceType>
    <b:Guid>{B02F6C62-75DB-41CD-BA3E-8261509EA78A}</b:Guid>
    <b:Author>
      <b:Author>
        <b:NameList>
          <b:Person>
            <b:Last>Te Tumu Paeroa</b:Last>
          </b:Person>
        </b:NameList>
      </b:Author>
    </b:Author>
    <b:Title>About us</b:Title>
    <b:InternetSiteTitle>Te Tumu Paeroa</b:InternetSiteTitle>
    <b:URL>https://www.tetumupaeroa.co.nz/who-we-are/about-us</b:URL>
    <b:RefOrder>2</b:RefOrder>
  </b:Source>
</b:Sources>
</file>

<file path=customXml/itemProps1.xml><?xml version="1.0" encoding="utf-8"?>
<ds:datastoreItem xmlns:ds="http://schemas.openxmlformats.org/officeDocument/2006/customXml" ds:itemID="{8A5213A9-6E03-4F69-BD77-4B8CA791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1347</Words>
  <Characters>7684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Savnit Prasad</dc:creator>
  <cp:keywords/>
  <dc:description/>
  <cp:lastModifiedBy>Savnit Prasad</cp:lastModifiedBy>
  <cp:revision>30</cp:revision>
  <dcterms:created xsi:type="dcterms:W3CDTF">2026-09-25T12:51:00Z</dcterms:created>
  <dcterms:modified xsi:type="dcterms:W3CDTF">2026-09-26T10:05:00Z</dcterms:modified>
</cp:coreProperties>
</file>