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0" w:after="360" w:line="360" w:lineRule="auto"/>
        <w:jc w:val="center"/>
      </w:pPr>
      <w:r>
        <w:rPr>
          <w:rFonts w:ascii="Times New Roman" w:hAnsi="Times New Roman"/>
          <w:b/>
          <w:sz w:val="28"/>
        </w:rPr>
        <w:t>115.112 Accounting for Business</w:t>
      </w:r>
    </w:p>
    <w:p>
      <w:pPr>
        <w:spacing w:after="120" w:line="360" w:lineRule="auto"/>
        <w:jc w:val="center"/>
      </w:pPr>
      <w:r>
        <w:rPr>
          <w:rFonts w:ascii="Times New Roman" w:hAnsi="Times New Roman"/>
          <w:b/>
          <w:sz w:val="56"/>
        </w:rPr>
        <w:t>Assessment 3</w:t>
      </w:r>
    </w:p>
    <w:p>
      <w:pPr>
        <w:spacing w:after="2400" w:line="360" w:lineRule="auto"/>
        <w:jc w:val="center"/>
      </w:pPr>
      <w:r>
        <w:rPr>
          <w:rFonts w:ascii="Times New Roman" w:hAnsi="Times New Roman"/>
          <w:i/>
          <w:sz w:val="32"/>
        </w:rPr>
        <w:t>Financial Statements Evaluation and Māori Business Reporting</w:t>
      </w:r>
    </w:p>
    <w:p>
      <w:pPr>
        <w:spacing w:line="360" w:lineRule="auto"/>
      </w:pPr>
    </w:p>
    <w:p>
      <w:pPr>
        <w:spacing w:after="160" w:line="360" w:lineRule="auto"/>
        <w:jc w:val="center"/>
      </w:pPr>
      <w:r>
        <w:rPr>
          <w:rFonts w:ascii="Times New Roman" w:hAnsi="Times New Roman"/>
          <w:b/>
          <w:sz w:val="26"/>
        </w:rPr>
        <w:t xml:space="preserve">Student Name:  </w:t>
      </w:r>
      <w:r>
        <w:rPr>
          <w:rFonts w:ascii="Times New Roman" w:hAnsi="Times New Roman"/>
          <w:sz w:val="26"/>
        </w:rPr>
        <w:t>Charan</w:t>
      </w:r>
    </w:p>
    <w:p>
      <w:pPr>
        <w:spacing w:after="160" w:line="360" w:lineRule="auto"/>
        <w:jc w:val="center"/>
      </w:pPr>
      <w:r>
        <w:rPr>
          <w:rFonts w:ascii="Times New Roman" w:hAnsi="Times New Roman"/>
          <w:b/>
          <w:sz w:val="26"/>
        </w:rPr>
        <w:t xml:space="preserve">Student ID:  </w:t>
      </w:r>
      <w:r>
        <w:rPr>
          <w:rFonts w:ascii="Times New Roman" w:hAnsi="Times New Roman"/>
          <w:sz w:val="26"/>
        </w:rPr>
        <w:t>26013944</w:t>
      </w:r>
    </w:p>
    <w:p>
      <w:pPr>
        <w:spacing w:after="160" w:line="360" w:lineRule="auto"/>
        <w:jc w:val="center"/>
      </w:pPr>
      <w:r>
        <w:rPr>
          <w:rFonts w:ascii="Times New Roman" w:hAnsi="Times New Roman"/>
          <w:b/>
          <w:sz w:val="26"/>
        </w:rPr>
        <w:t xml:space="preserve">Paper:  </w:t>
      </w:r>
      <w:r>
        <w:rPr>
          <w:rFonts w:ascii="Times New Roman" w:hAnsi="Times New Roman"/>
          <w:sz w:val="26"/>
        </w:rPr>
        <w:t>115.112 Accounting for Business</w:t>
      </w:r>
    </w:p>
    <w:p>
      <w:pPr>
        <w:spacing w:after="160" w:line="360" w:lineRule="auto"/>
        <w:jc w:val="center"/>
      </w:pPr>
      <w:r>
        <w:rPr>
          <w:rFonts w:ascii="Times New Roman" w:hAnsi="Times New Roman"/>
          <w:b/>
          <w:sz w:val="26"/>
        </w:rPr>
        <w:t xml:space="preserve">Trimester:  </w:t>
      </w:r>
      <w:r>
        <w:rPr>
          <w:rFonts w:ascii="Times New Roman" w:hAnsi="Times New Roman"/>
          <w:sz w:val="26"/>
        </w:rPr>
        <w:t>Trimester 3, 2026</w:t>
      </w:r>
    </w:p>
    <w:p>
      <w:pPr>
        <w:spacing w:after="160" w:line="360" w:lineRule="auto"/>
        <w:jc w:val="center"/>
      </w:pPr>
      <w:r>
        <w:rPr>
          <w:rFonts w:ascii="Times New Roman" w:hAnsi="Times New Roman"/>
          <w:b/>
          <w:sz w:val="26"/>
        </w:rPr>
        <w:t xml:space="preserve">Submitted To:  </w:t>
      </w:r>
      <w:r>
        <w:rPr>
          <w:rFonts w:ascii="Times New Roman" w:hAnsi="Times New Roman"/>
          <w:sz w:val="26"/>
        </w:rPr>
        <w:t>Massey University</w:t>
      </w:r>
    </w:p>
    <w:p>
      <w:pPr>
        <w:spacing w:line="360" w:lineRule="auto"/>
      </w:pPr>
      <w:r>
        <w:br w:type="page"/>
      </w:r>
    </w:p>
    <w:p>
      <w:pPr>
        <w:pStyle w:val="Heading1"/>
      </w:pPr>
      <w:r>
        <w:t>(iv) Profitability Discussion</w:t>
      </w:r>
    </w:p>
    <w:p>
      <w:pPr>
        <w:spacing w:line="360" w:lineRule="auto" w:after="160"/>
        <w:ind w:firstLine="0"/>
        <w:jc w:val="both"/>
      </w:pPr>
      <w:r>
        <w:rPr>
          <w:rFonts w:ascii="Times New Roman" w:hAnsi="Times New Roman"/>
          <w:sz w:val="24"/>
        </w:rPr>
        <w:t>This discussion evaluates Briscoe Group's profitability in 2025 against its 2024 results and against the six other New Zealand retailers in the assessment data set. The five profitability ratios examined are the profit margin, gross profit percentage, return on total assets (ROA), return on owners' equity (ROE) and the sales percentage increase. The 2025 figures are taken from the Power BI analysis and the 2024 comparatives are taken from the Assessment 3 booklet.</w:t>
      </w:r>
    </w:p>
    <w:p>
      <w:pPr>
        <w:spacing w:line="360" w:lineRule="auto" w:after="160"/>
        <w:ind w:firstLine="0"/>
        <w:jc w:val="both"/>
      </w:pPr>
      <w:r>
        <w:rPr>
          <w:rFonts w:ascii="Times New Roman" w:hAnsi="Times New Roman"/>
          <w:sz w:val="24"/>
        </w:rPr>
        <w:t>Briscoe Group's 2025 results show a deterioration across nearly every profitability ratio. The profit margin fell from 14.81% in 2024 to 12.01% in 2025, a drop of 2.80 percentage points, while the gross profit percentage eased from 42.40% to 40.37%, indicating modest pressure on merchandise margins. ROA declined from 18.42% to 15.64% and ROE fell more sharply, from 37.57% to 30.89%. Sales essentially stagnated, edging down 0.06% after rising 0.78% in 2024. Together these movements show that, although Briscoe remained solidly profitable, every dollar of sales generated less profit and every dollar of assets and equity earned a lower return than a year earlier.</w:t>
      </w:r>
    </w:p>
    <w:p>
      <w:pPr>
        <w:spacing w:line="360" w:lineRule="auto" w:after="160"/>
        <w:ind w:firstLine="0"/>
        <w:jc w:val="both"/>
      </w:pPr>
      <w:r>
        <w:rPr>
          <w:rFonts w:ascii="Times New Roman" w:hAnsi="Times New Roman"/>
          <w:sz w:val="24"/>
        </w:rPr>
        <w:t>Compared with the other six companies in 2025, Briscoe sits in the middle of the profitability pack. Fisher &amp; Paykal Healthcare is the clear leader on operating returns, with a 24.90% profit margin, 21.29% ROA and 27.58% ROE, supported by 15.96% sales growth. The a2 Milk Company also outperforms Briscoe on every profitability measure, including a 15.23% profit margin, 15.97% ROA, 21.53% ROE and particularly its 13.50% sales growth. Turners Automotive Group earns a higher gross profit percentage (59.43%) and a comparable 13.14% profit margin, although its ROA of 9.16% is below Briscoe's, reflecting Turners' more capital-intensive vehicle inventory. Briscoe is comfortably ahead of My Food Bag, which earns only a 5.33% profit margin and 9.84% ROA, and well ahead of The Warehouse Group, which slipped to a -0.10% profit margin and a -0.98% ROE. Kathmandu is the weakest performer, with a -10.58% profit margin, -5.58% ROA and -14.19% ROE.</w:t>
      </w:r>
    </w:p>
    <w:p>
      <w:pPr>
        <w:spacing w:line="360" w:lineRule="auto" w:after="160"/>
        <w:ind w:firstLine="0"/>
        <w:jc w:val="both"/>
      </w:pPr>
      <w:r>
        <w:rPr>
          <w:rFonts w:ascii="Times New Roman" w:hAnsi="Times New Roman"/>
          <w:sz w:val="24"/>
        </w:rPr>
        <w:t>Overall, Briscoe Group remains a profitable, mid-pack retailer in 2025, but the year-on-year declines in profit margin, ROA and ROE indicate that operating costs and the absence of sales growth are eroding the strong returns achieved in 2024. The flat top line is the most important warning sign: in a year when Fisher &amp; Paykel Healthcare and a2 Milk grew sales by double digits, Briscoe's 0.06% contraction left it relying on cost control rather than revenue expansion to protect profitability.</w:t>
      </w:r>
    </w:p>
    <w:p>
      <w:pPr>
        <w:spacing w:line="360" w:lineRule="auto"/>
      </w:pPr>
    </w:p>
    <w:p>
      <w:pPr>
        <w:pStyle w:val="Heading1"/>
      </w:pPr>
      <w:r>
        <w:t>(v) Liquidity and Financial Gearing Discussion</w:t>
      </w:r>
    </w:p>
    <w:p>
      <w:pPr>
        <w:spacing w:line="360" w:lineRule="auto" w:after="160"/>
        <w:ind w:firstLine="0"/>
        <w:jc w:val="both"/>
      </w:pPr>
      <w:r>
        <w:rPr>
          <w:rFonts w:ascii="Times New Roman" w:hAnsi="Times New Roman"/>
          <w:sz w:val="24"/>
        </w:rPr>
        <w:t>This discussion evaluates Briscoe Group's liquidity and financial gearing in 2025 against its 2024 results and against the six other New Zealand retailers in the data set. Liquidity is assessed using the current ratio and the quick (acid-test) ratio, while financial gearing is assessed using the debt ratio and the interest coverage ratio. The 2025 figures are taken from the Power BI analysis and the 2024 comparatives are taken from the Assessment 3 booklet.</w:t>
      </w:r>
    </w:p>
    <w:p>
      <w:pPr>
        <w:spacing w:line="360" w:lineRule="auto" w:after="160"/>
        <w:ind w:firstLine="0"/>
        <w:jc w:val="both"/>
      </w:pPr>
      <w:r>
        <w:rPr>
          <w:rFonts w:ascii="Times New Roman" w:hAnsi="Times New Roman"/>
          <w:sz w:val="24"/>
        </w:rPr>
        <w:t>On liquidity, Briscoe's current ratio fell from 2.14 in 2024 to 1.86 in 2025 and its quick ratio fell from 1.36 to 1.13. Both ratios remain above the conventional benchmarks of 2.0 for the current ratio and 1.0 for the quick ratio, but the decline indicates that working capital has tightened. The drop in the quick ratio is particularly noteworthy because it shows that a larger share of current assets is tied up in inventory rather than in cash or near-cash items, leaving Briscoe less able to meet short-term obligations if pressed.</w:t>
      </w:r>
    </w:p>
    <w:p>
      <w:pPr>
        <w:spacing w:line="360" w:lineRule="auto" w:after="160"/>
        <w:ind w:firstLine="0"/>
        <w:jc w:val="both"/>
      </w:pPr>
      <w:r>
        <w:rPr>
          <w:rFonts w:ascii="Times New Roman" w:hAnsi="Times New Roman"/>
          <w:sz w:val="24"/>
        </w:rPr>
        <w:t>Compared with the other six companies in 2025, Briscoe sits in the middle of the liquidity range. The a2 Milk Company (3.22 and 2.67), Turners Automotive Group (7.24 and 6.97) and Fisher &amp; Paykal Healthcare (1.87 and 1.16) all report stronger liquidity. The Warehouse Group (0.91 and 0.18), Kathmandu (1.39 and 0.48) and My Food Bag (0.19 and 0.13) all report weaker liquidity, with My Food Bag's sub-1.0 current ratio suggesting material short-term funding pressure.</w:t>
      </w:r>
    </w:p>
    <w:p>
      <w:pPr>
        <w:spacing w:line="360" w:lineRule="auto" w:after="160"/>
        <w:ind w:firstLine="0"/>
        <w:jc w:val="both"/>
      </w:pPr>
      <w:r>
        <w:rPr>
          <w:rFonts w:ascii="Times New Roman" w:hAnsi="Times New Roman"/>
          <w:sz w:val="24"/>
        </w:rPr>
        <w:t>On financial gearing, Briscoe's debt ratio edged up from 56.20% in 2024 to 56.71% in 2025, indicating that roughly the same proportion of total assets is funded by liabilities. Interest coverage fell from 8.70 times to 7.15 times, meaning that operating profit now covers interest expense seven times rather than nearly nine times. While still comfortable, this signals a slightly thinner safety margin if interest rates or borrowings rise further.</w:t>
      </w:r>
    </w:p>
    <w:p>
      <w:pPr>
        <w:spacing w:line="360" w:lineRule="auto" w:after="160"/>
        <w:ind w:firstLine="0"/>
        <w:jc w:val="both"/>
      </w:pPr>
      <w:r>
        <w:rPr>
          <w:rFonts w:ascii="Times New Roman" w:hAnsi="Times New Roman"/>
          <w:sz w:val="24"/>
        </w:rPr>
        <w:t>Compared with the other six companies in 2025, Briscoe's gearing is middle-of-the-road. The a2 Milk Company (26.33% debt, 68.33 times coverage) and Fisher &amp; Paykal Healthcare (25.89% debt, 46.34 times coverage) are far less geared. The Warehouse Group is the most highly geared at 81.15% with interest coverage of just 0.93 times, meaning it can no longer cover its interest expense from operating profit. Turners Automotive Group (67.48% debt, 2.98 times coverage) and Kathmandu (48.92% debt, -2.89 times coverage, reflecting its 2025 loss) are also more stretched than Briscoe.</w:t>
      </w:r>
    </w:p>
    <w:p>
      <w:pPr>
        <w:spacing w:line="360" w:lineRule="auto" w:after="160"/>
        <w:ind w:firstLine="0"/>
        <w:jc w:val="both"/>
      </w:pPr>
      <w:r>
        <w:rPr>
          <w:rFonts w:ascii="Times New Roman" w:hAnsi="Times New Roman"/>
          <w:sz w:val="24"/>
        </w:rPr>
        <w:t>Overall, Briscoe enters 2026 with adequate liquidity and manageable gearing, but the year-on-year declines on all four ratios signal that the balance sheet has tightened. The most pressing concern is the declining interest coverage, which leaves less buffer against further interest-rate or earnings shocks.</w:t>
      </w:r>
    </w:p>
    <w:p>
      <w:pPr>
        <w:spacing w:line="360" w:lineRule="auto"/>
      </w:pPr>
    </w:p>
    <w:p>
      <w:pPr>
        <w:pStyle w:val="Heading1"/>
      </w:pPr>
      <w:r>
        <w:t>(vi) Investment Performance of Ngāti Whātua Ōrākei and Ngati Porou</w:t>
      </w:r>
    </w:p>
    <w:p>
      <w:pPr>
        <w:spacing w:line="360" w:lineRule="auto" w:after="160"/>
        <w:ind w:firstLine="0"/>
        <w:jc w:val="both"/>
      </w:pPr>
      <w:r>
        <w:rPr>
          <w:rFonts w:ascii="Times New Roman" w:hAnsi="Times New Roman"/>
          <w:sz w:val="24"/>
        </w:rPr>
        <w:t>This discussion compares the investment performance of Ngāti Whātua Ōrākei and Ngati Porou in FY2025 using the TDB Advisory Iwi Investment Report 2025. Performance is assessed on the three dimensions requested by the assessment brief: total assets and net worth, return on invested capital (RoIC), and the asset classes each iwi has invested in. Both iwi report on a 30 June year-end.</w:t>
      </w:r>
    </w:p>
    <w:p>
      <w:pPr>
        <w:spacing w:line="360" w:lineRule="auto" w:after="160"/>
        <w:ind w:firstLine="0"/>
        <w:jc w:val="both"/>
      </w:pPr>
      <w:r>
        <w:rPr>
          <w:rFonts w:ascii="Times New Roman" w:hAnsi="Times New Roman"/>
          <w:sz w:val="24"/>
        </w:rPr>
        <w:t>In scale, Ngāti Whātua Ōrākei is by far the larger, with total assets of $1,486m and net worth of $1,200m at 30 June 2025, compared with Ngati Porou's $310.4m and $263.7m. Over the decade to 2025, Ngāti Whātua Ōrākei's assets grew at about 5.2% p.a. and net worth at 5.9% p.a., supported by the long Auckland property cycle. Ngati Porou's assets grew more slowly, at 3.7% p.a., with net worth at 3.0% p.a. In 2025 itself, Ngāti Whātua Ōrākei's net worth fell by $64m (5%), while Ngati Porou's rose by $4.5m (1.8%). On a per-member basis, Ngāti Whātua Ōrākei's net assets per member fell 10% to $150,774, whereas Ngati Porou's rose 0.9% to $9,349.</w:t>
      </w:r>
    </w:p>
    <w:p>
      <w:pPr>
        <w:spacing w:line="360" w:lineRule="auto" w:after="160"/>
        <w:ind w:firstLine="0"/>
        <w:jc w:val="both"/>
      </w:pPr>
      <w:r>
        <w:rPr>
          <w:rFonts w:ascii="Times New Roman" w:hAnsi="Times New Roman"/>
          <w:sz w:val="24"/>
        </w:rPr>
        <w:t>On return on invested capital, Ngati Porou recorded 2.3% in 2025 (down from 3.5% in 2024), its third consecutive year of low single-digit returns. Ngāti Whātua Ōrākei recorded -2.3% in 2025 (down from -1.5% in 2024), its third consecutive year of negative returns, driven by $74m of investment property valuation losses in a soft Auckland commercial and development land market. Over the ten-year period to FY2025, however, Ngāti Whātua Ōrākei has averaged 7.6% p.a. RoIC, comfortably above Ngati Porou's 3.3% average, reflecting the earlier Auckland property revaluations between 2016 and 2022.</w:t>
      </w:r>
    </w:p>
    <w:p>
      <w:pPr>
        <w:spacing w:line="360" w:lineRule="auto" w:after="160"/>
        <w:ind w:firstLine="0"/>
        <w:jc w:val="both"/>
      </w:pPr>
      <w:r>
        <w:rPr>
          <w:rFonts w:ascii="Times New Roman" w:hAnsi="Times New Roman"/>
          <w:sz w:val="24"/>
        </w:rPr>
        <w:t>The two iwi have very different asset class exposures. Ngāti Whātua Ōrākei is heavily property-weighted, with 94% of assets in Tāmaki Makaurau property (a $1.36b portfolio anchored by the Te Tōangaroa waterfront precinct), 3% in financial assets (a new $31.6m NZX-listed equity portfolio introduced in 2025 plus $10.4m of member housing loans) and 4% in other assets. Ngati Porou has the most diversified portfolio in the cohort: 51% in financial assets (global equities, growth assets, private equity and debt, real estate, income assets and alternatives totalling about $159.3m), 23% in primary industries (legacy fishing assets, biological assets and joint ventures including Ahi Mokupuna salmon), 18% in property, 5% in cash and 3% in other.</w:t>
      </w:r>
    </w:p>
    <w:p>
      <w:pPr>
        <w:spacing w:line="360" w:lineRule="auto" w:after="160"/>
        <w:ind w:firstLine="0"/>
        <w:jc w:val="both"/>
      </w:pPr>
      <w:r>
        <w:rPr>
          <w:rFonts w:ascii="Times New Roman" w:hAnsi="Times New Roman"/>
          <w:sz w:val="24"/>
        </w:rPr>
        <w:t>The contrast is stark: Ngāti Whātua Ōrākei concentrates in a single asset class and a single region, amplifying both upside and downside, as the post-2022 Auckland property correction has shown. Ngati Porou diversifies widely across asset classes and geographies, which has produced steadier but lower returns. The 2025 results illustrate this trade-off: Ngati Porou preserved capital, while Ngāti Whātua Ōrākei absorbed a 5% net-worth decline.</w:t>
      </w:r>
    </w:p>
    <w:p>
      <w:pPr>
        <w:spacing w:line="360" w:lineRule="auto"/>
      </w:pPr>
    </w:p>
    <w:p>
      <w:pPr>
        <w:pStyle w:val="Heading1"/>
      </w:pPr>
      <w:r>
        <w:t>(vii) References</w:t>
      </w:r>
    </w:p>
    <w:p>
      <w:pPr>
        <w:spacing w:line="360" w:lineRule="auto" w:after="160"/>
        <w:ind w:left="720" w:hanging="720"/>
        <w:jc w:val="left"/>
      </w:pPr>
      <w:r>
        <w:rPr>
          <w:rFonts w:ascii="Times New Roman" w:hAnsi="Times New Roman"/>
          <w:i w:val="0"/>
          <w:sz w:val="24"/>
        </w:rPr>
        <w:t xml:space="preserve">Business and Economic Research Limited. (2025). </w:t>
      </w:r>
      <w:r>
        <w:rPr>
          <w:rFonts w:ascii="Times New Roman" w:hAnsi="Times New Roman"/>
          <w:i/>
          <w:sz w:val="24"/>
        </w:rPr>
        <w:t>Te Ōhanga Māori 2023: The Māori economy 2023</w:t>
      </w:r>
      <w:r>
        <w:rPr>
          <w:rFonts w:ascii="Times New Roman" w:hAnsi="Times New Roman"/>
          <w:i w:val="0"/>
          <w:sz w:val="24"/>
        </w:rPr>
        <w:t>. https://berl.co.nz/our-mahi/te-ohanga-maori-2023</w:t>
      </w:r>
    </w:p>
    <w:p>
      <w:pPr>
        <w:spacing w:line="360" w:lineRule="auto" w:after="160"/>
        <w:ind w:left="720" w:hanging="720"/>
        <w:jc w:val="left"/>
      </w:pPr>
      <w:r>
        <w:rPr>
          <w:rFonts w:ascii="Times New Roman" w:hAnsi="Times New Roman"/>
          <w:i w:val="0"/>
          <w:sz w:val="24"/>
        </w:rPr>
        <w:t xml:space="preserve">National Business Review. (2026, February 24). </w:t>
      </w:r>
      <w:r>
        <w:rPr>
          <w:rFonts w:ascii="Times New Roman" w:hAnsi="Times New Roman"/>
          <w:i/>
          <w:sz w:val="24"/>
        </w:rPr>
        <w:t>Iwi returns lift but stay low</w:t>
      </w:r>
      <w:r>
        <w:rPr>
          <w:rFonts w:ascii="Times New Roman" w:hAnsi="Times New Roman"/>
          <w:i w:val="0"/>
          <w:sz w:val="24"/>
        </w:rPr>
        <w:t>. https://www.nbr.co.nz/te-ao-maori/iwi-returns-steady-under-pressure</w:t>
      </w:r>
    </w:p>
    <w:p>
      <w:pPr>
        <w:spacing w:line="360" w:lineRule="auto" w:after="160"/>
        <w:ind w:left="720" w:hanging="720"/>
        <w:jc w:val="left"/>
      </w:pPr>
      <w:r>
        <w:rPr>
          <w:rFonts w:ascii="Times New Roman" w:hAnsi="Times New Roman"/>
          <w:i w:val="0"/>
          <w:sz w:val="24"/>
        </w:rPr>
        <w:t xml:space="preserve">New Zealand Herald. (2026, February 23). </w:t>
      </w:r>
      <w:r>
        <w:rPr>
          <w:rFonts w:ascii="Times New Roman" w:hAnsi="Times New Roman"/>
          <w:i/>
          <w:sz w:val="24"/>
        </w:rPr>
        <w:t>Biggest iwi grow assets to $8.5b as Waikato Tainui stays</w:t>
      </w:r>
      <w:r>
        <w:rPr>
          <w:rFonts w:ascii="Times New Roman" w:hAnsi="Times New Roman"/>
          <w:i w:val="0"/>
          <w:sz w:val="24"/>
        </w:rPr>
        <w:t>. https://www.nzherald.co.nz</w:t>
      </w:r>
    </w:p>
    <w:p>
      <w:pPr>
        <w:spacing w:line="360" w:lineRule="auto" w:after="160"/>
        <w:ind w:left="720" w:hanging="720"/>
        <w:jc w:val="left"/>
      </w:pPr>
      <w:r>
        <w:rPr>
          <w:rFonts w:ascii="Times New Roman" w:hAnsi="Times New Roman"/>
          <w:i w:val="0"/>
          <w:sz w:val="24"/>
        </w:rPr>
        <w:t xml:space="preserve">TDB Advisory. (2026). </w:t>
      </w:r>
      <w:r>
        <w:rPr>
          <w:rFonts w:ascii="Times New Roman" w:hAnsi="Times New Roman"/>
          <w:i/>
          <w:sz w:val="24"/>
        </w:rPr>
        <w:t>Iwi investment report 2025</w:t>
      </w:r>
      <w:r>
        <w:rPr>
          <w:rFonts w:ascii="Times New Roman" w:hAnsi="Times New Roman"/>
          <w:i w:val="0"/>
          <w:sz w:val="24"/>
        </w:rPr>
        <w:t xml:space="preserve"> [PDF]. TDB Advisory Ltd. https://www.tdb.co.nz/wp-content/uploads/2026/02/TDB-Iwi-Investment-Report-2025.pdf</w:t>
      </w:r>
    </w:p>
    <w:p>
      <w:pPr>
        <w:spacing w:line="360" w:lineRule="auto" w:after="160"/>
        <w:ind w:left="720" w:hanging="720"/>
        <w:jc w:val="left"/>
      </w:pPr>
      <w:r>
        <w:rPr>
          <w:rFonts w:ascii="Times New Roman" w:hAnsi="Times New Roman"/>
          <w:i w:val="0"/>
          <w:sz w:val="24"/>
        </w:rPr>
        <w:t xml:space="preserve">TDB Advisory. (2026, February 23). </w:t>
      </w:r>
      <w:r>
        <w:rPr>
          <w:rFonts w:ascii="Times New Roman" w:hAnsi="Times New Roman"/>
          <w:i/>
          <w:sz w:val="24"/>
        </w:rPr>
        <w:t>Iwi investment in 2025</w:t>
      </w:r>
      <w:r>
        <w:rPr>
          <w:rFonts w:ascii="Times New Roman" w:hAnsi="Times New Roman"/>
          <w:i w:val="0"/>
          <w:sz w:val="24"/>
        </w:rPr>
        <w:t xml:space="preserve"> [Web page]. https://www.tdb.co.nz/2025-iwi-investment-report-tdb-advisory</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360" w:lineRule="auto"/>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