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jc w:val="center"/>
      </w:pPr>
      <w:r>
        <w:rPr>
          <w:rFonts w:ascii="Times New Roman" w:hAnsi="Times New Roman"/>
          <w:b/>
          <w:color w:val="000000"/>
          <w:sz w:val="28"/>
        </w:rPr>
        <w:t>115.112 Accounting — Assessment 3</w:t>
      </w:r>
    </w:p>
    <w:p>
      <w:pPr>
        <w:spacing w:line="276" w:lineRule="auto" w:after="40"/>
        <w:jc w:val="center"/>
      </w:pPr>
      <w:r>
        <w:rPr>
          <w:rFonts w:ascii="Times New Roman" w:hAnsi="Times New Roman"/>
          <w:b w:val="0"/>
          <w:color w:val="000000"/>
          <w:sz w:val="24"/>
        </w:rPr>
        <w:t>Business Financial Evaluation</w:t>
      </w:r>
    </w:p>
    <w:p>
      <w:pPr>
        <w:spacing w:line="276" w:lineRule="auto" w:after="40"/>
        <w:jc w:val="center"/>
      </w:pPr>
      <w:r>
        <w:rPr>
          <w:rFonts w:ascii="Times New Roman" w:hAnsi="Times New Roman"/>
          <w:b w:val="0"/>
          <w:color w:val="000000"/>
          <w:sz w:val="24"/>
        </w:rPr>
        <w:t>Charan (26013944)</w:t>
      </w:r>
    </w:p>
    <w:p>
      <w:pPr>
        <w:spacing w:after="40"/>
      </w:pPr>
    </w:p>
    <w:p>
      <w:pPr>
        <w:pStyle w:val="Heading1"/>
        <w:keepNext/>
        <w:spacing w:before="280" w:after="160" w:line="276" w:lineRule="auto"/>
      </w:pPr>
      <w:r>
        <w:rPr>
          <w:rFonts w:ascii="Times New Roman" w:hAnsi="Times New Roman"/>
          <w:b/>
          <w:color w:val="000000"/>
          <w:sz w:val="28"/>
        </w:rPr>
        <w:t>(iv) Profitability Discussion</w:t>
      </w:r>
    </w:p>
    <w:p>
      <w:pPr>
        <w:spacing w:before="0" w:after="120" w:line="360" w:lineRule="auto"/>
        <w:jc w:val="both"/>
      </w:pPr>
      <w:r>
        <w:rPr>
          <w:rFonts w:ascii="Times New Roman" w:hAnsi="Times New Roman"/>
          <w:b w:val="0"/>
          <w:i w:val="0"/>
          <w:color w:val="000000"/>
          <w:sz w:val="24"/>
        </w:rPr>
        <w:t>The client has a special interest in milk and vehicles, so this discussion compares the profits of The a2 Milk Company (a2 Milk) and Turners Automotive Group (Turners). Each company is first assessed by comparing its 2025 results with its 2024 results, and the 2025 figures of both companies are then set side by side. The 2025 ratios come from my Power BI analysis, while the 2024 figures are taken from the assessment booklet.</w:t>
      </w:r>
    </w:p>
    <w:p>
      <w:pPr>
        <w:spacing w:before="0" w:after="120" w:line="360" w:lineRule="auto"/>
        <w:jc w:val="both"/>
      </w:pPr>
      <w:r>
        <w:rPr>
          <w:rFonts w:ascii="Times New Roman" w:hAnsi="Times New Roman"/>
          <w:b/>
          <w:i w:val="0"/>
          <w:color w:val="000000"/>
          <w:sz w:val="24"/>
        </w:rPr>
        <w:t xml:space="preserve">The a2 Milk Company (2025 vs 2024): </w:t>
      </w:r>
      <w:r>
        <w:rPr>
          <w:rFonts w:ascii="Times New Roman" w:hAnsi="Times New Roman"/>
          <w:b w:val="0"/>
          <w:i w:val="0"/>
          <w:color w:val="000000"/>
          <w:sz w:val="24"/>
        </w:rPr>
        <w:t>a2 Milk was consistently profitable in 2025, but its return on assets, return on equity, and net profit margin ratios were all lower. Net profit margin decreased from 16.92% to 15.23%, return on total assets decreased from 17.19% to 15.97%, and return on owners’ equity (ROE) decreased from 23.53% to 21.53%. Gross profit percentage, however, increased slightly, from 45.81% to 46.08%, so cost of goods sold was not the problem; the fall in profit margin indicates that other operating expenses grew faster than sales. The obvious bright spot was sales growth, which more than doubled from 5.17% to 13.50%, indicating robust demand for its products. In other words, for each $100 of owners’ equity, a2 Milk still made $21.53 of profit in 2025. Overall, a2 Milk sacrificed a little profit margin for significantly faster growth, while its margins remained at a comfortable level.</w:t>
      </w:r>
    </w:p>
    <w:p>
      <w:pPr>
        <w:spacing w:before="0" w:after="120" w:line="360" w:lineRule="auto"/>
        <w:jc w:val="both"/>
      </w:pPr>
      <w:r>
        <w:rPr>
          <w:rFonts w:ascii="Times New Roman" w:hAnsi="Times New Roman"/>
          <w:b/>
          <w:i w:val="0"/>
          <w:color w:val="000000"/>
          <w:sz w:val="24"/>
        </w:rPr>
        <w:t xml:space="preserve">Turners Automotive Group (2025 vs 2024): </w:t>
      </w:r>
      <w:r>
        <w:rPr>
          <w:rFonts w:ascii="Times New Roman" w:hAnsi="Times New Roman"/>
          <w:b w:val="0"/>
          <w:i w:val="0"/>
          <w:color w:val="000000"/>
          <w:sz w:val="24"/>
        </w:rPr>
        <w:t>Turners went the other way and became more profitable, even though its sales dropped slightly. Sales growth was -0.78% in 2025, that is, a small revenue decrease compared with the 6.97% growth of 2024. However, gross profit percentage increased from 57.42% to 59.43%, net profit margin increased from 11.81% to 13.14%, return on total assets increased from 8.96% to 9.16%, and return on owners’ equity increased from 17.91% to 18.82%. This trend indicates improved cost management and a move towards more profitable work, as the company earned more profit for each dollar of revenue even though it earned somewhat less revenue in total. Turners also generates revenue from finance and insurance services, which helps it maintain a high gross margin.</w:t>
      </w:r>
    </w:p>
    <w:p>
      <w:pPr>
        <w:spacing w:before="0" w:after="120" w:line="360" w:lineRule="auto"/>
        <w:jc w:val="both"/>
      </w:pPr>
      <w:r>
        <w:rPr>
          <w:rFonts w:ascii="Times New Roman" w:hAnsi="Times New Roman"/>
          <w:b/>
          <w:i w:val="0"/>
          <w:color w:val="000000"/>
          <w:sz w:val="24"/>
        </w:rPr>
        <w:t xml:space="preserve">The a2 Milk Company vs Turners Automotive Group (2025): </w:t>
      </w:r>
      <w:r>
        <w:rPr>
          <w:rFonts w:ascii="Times New Roman" w:hAnsi="Times New Roman"/>
          <w:b w:val="0"/>
          <w:i w:val="0"/>
          <w:color w:val="000000"/>
          <w:sz w:val="24"/>
        </w:rPr>
        <w:t>In 2025, a2 Milk was the better performer. It outperformed Turners in net profit margin (15.23% vs 13.14%), return on total assets (15.97% vs 9.16%), return on owners’ equity (21.53% vs 18.82%), and sales growth (13.50% vs -0.78%). Turners was better only in gross profit percentage (59.43% vs 46.08%). The difference indicates that Turners loses a larger share of its gross profit to operating expenses. Turners also carries significantly more debt, with an interest coverage of just 2.98 times compared with 68.33 times for a2 Milk, so interest is a much larger drain on its profit. In summary, a2 Milk turns a greater proportion of revenue into bottom-line net profit, while Turners, although profitable, is weaker at turning its strong gross margin into net profit.</w:t>
      </w:r>
    </w:p>
    <w:p>
      <w:pPr>
        <w:spacing w:before="0" w:after="120" w:line="360" w:lineRule="auto"/>
        <w:jc w:val="both"/>
      </w:pPr>
      <w:r>
        <w:rPr>
          <w:rFonts w:ascii="Times New Roman" w:hAnsi="Times New Roman"/>
          <w:b w:val="0"/>
          <w:i w:val="0"/>
          <w:color w:val="000000"/>
          <w:sz w:val="24"/>
        </w:rPr>
        <w:t>Overall, a2 Milk was more profitable than Turners in 2025 and also grew faster; the slight decline in its ratios from 2024 appears to be a reasonable exchange for 13.50% revenue expansion. Turners is heading in the right direction, lifting all of its profitability ratios, but with sales that fell slightly, it remains behind a2 Milk on most measures.</w:t>
      </w:r>
    </w:p>
    <w:p>
      <w:pPr>
        <w:pStyle w:val="Heading1"/>
        <w:keepNext/>
        <w:spacing w:before="280" w:after="160" w:line="276" w:lineRule="auto"/>
      </w:pPr>
      <w:r>
        <w:rPr>
          <w:rFonts w:ascii="Times New Roman" w:hAnsi="Times New Roman"/>
          <w:b/>
          <w:color w:val="000000"/>
          <w:sz w:val="28"/>
        </w:rPr>
        <w:t>(v) Cash Conversion Cycle Discussion</w:t>
      </w:r>
    </w:p>
    <w:p>
      <w:pPr>
        <w:spacing w:before="0" w:after="120" w:line="360" w:lineRule="auto"/>
        <w:jc w:val="both"/>
      </w:pPr>
      <w:r>
        <w:rPr>
          <w:rFonts w:ascii="Times New Roman" w:hAnsi="Times New Roman"/>
          <w:b w:val="0"/>
          <w:i w:val="0"/>
          <w:color w:val="000000"/>
          <w:sz w:val="24"/>
        </w:rPr>
        <w:t>The cash conversion cycle (CCC) measures how many days cash is tied up in the operating cycle. It is calculated as days of inventory outstanding (DIO) plus days sales outstanding (DSO) minus days payables outstanding (DPO). A negative cycle occurs when a firm collects cash from customers before it pays its suppliers; a positive cycle means cash is tied up in day-to-day operations.</w:t>
      </w:r>
    </w:p>
    <w:p>
      <w:pPr>
        <w:spacing w:before="0" w:after="120" w:line="360" w:lineRule="auto"/>
        <w:jc w:val="both"/>
      </w:pPr>
      <w:r>
        <w:rPr>
          <w:rFonts w:ascii="Times New Roman" w:hAnsi="Times New Roman"/>
          <w:b/>
          <w:i w:val="0"/>
          <w:color w:val="000000"/>
          <w:sz w:val="24"/>
        </w:rPr>
        <w:t xml:space="preserve">The a2 Milk Company (2025 vs 2024): </w:t>
      </w:r>
      <w:r>
        <w:rPr>
          <w:rFonts w:ascii="Times New Roman" w:hAnsi="Times New Roman"/>
          <w:b w:val="0"/>
          <w:i w:val="0"/>
          <w:color w:val="000000"/>
          <w:sz w:val="24"/>
        </w:rPr>
        <w:t>a2 Milk’s CCC was already negative at -41 days in 2024 and improved further to -51.77 days in 2025. Inventory was the main driver, as days in the selling period fell from 75 days to 56.80 days, so stock is moving much faster. The collection period stayed at approximately 16 to 17 days, while DPO decreased from 133 days to 124.94 days, which slightly worked against the improvement. Because of the negative cycle, a2 Milk receives money from customers about 52 days before it must pay its suppliers; as a consequence, suppliers are funding a2 Milk’s operations and the company needs very little working capital. The downside is that a2 Milk relies on suppliers continuing to offer extended payment terms.</w:t>
      </w:r>
    </w:p>
    <w:p>
      <w:pPr>
        <w:spacing w:before="0" w:after="120" w:line="360" w:lineRule="auto"/>
        <w:jc w:val="both"/>
      </w:pPr>
      <w:r>
        <w:rPr>
          <w:rFonts w:ascii="Times New Roman" w:hAnsi="Times New Roman"/>
          <w:b/>
          <w:i w:val="0"/>
          <w:color w:val="000000"/>
          <w:sz w:val="24"/>
        </w:rPr>
        <w:t xml:space="preserve">Turners Automotive Group (2025 vs 2024): </w:t>
      </w:r>
      <w:r>
        <w:rPr>
          <w:rFonts w:ascii="Times New Roman" w:hAnsi="Times New Roman"/>
          <w:b w:val="0"/>
          <w:i w:val="0"/>
          <w:color w:val="000000"/>
          <w:sz w:val="24"/>
        </w:rPr>
        <w:t>Turners’ CCC improved from 13 days to 7.67 days. Most of the improvement came from paying suppliers more slowly, with DPO increasing from 47 days to 50.35 days, supported by faster stock turnover (days in the selling period declined from 53 to 51.47) and slightly faster collection (7 days to 6.55 days). Since Turners is a vehicle dealer, it collects from customers almost immediately, so collection days are very low. However, the cycle remains positive, and approximately 8 days of cash are still tied up in each operating cycle, mostly in vehicle stock.</w:t>
      </w:r>
    </w:p>
    <w:p>
      <w:pPr>
        <w:spacing w:before="0" w:after="120" w:line="360" w:lineRule="auto"/>
        <w:jc w:val="both"/>
      </w:pPr>
      <w:r>
        <w:rPr>
          <w:rFonts w:ascii="Times New Roman" w:hAnsi="Times New Roman"/>
          <w:b/>
          <w:i w:val="0"/>
          <w:color w:val="000000"/>
          <w:sz w:val="24"/>
        </w:rPr>
        <w:t xml:space="preserve">The a2 Milk Company vs Turners Automotive Group (2025): </w:t>
      </w:r>
      <w:r>
        <w:rPr>
          <w:rFonts w:ascii="Times New Roman" w:hAnsi="Times New Roman"/>
          <w:b w:val="0"/>
          <w:i w:val="0"/>
          <w:color w:val="000000"/>
          <w:sz w:val="24"/>
        </w:rPr>
        <w:t>In 2025, a2 Milk’s -51.77 day cycle significantly outperforms Turners’ 7.67 day cycle by around 60 days. The major difference is in days payables outstanding, with a2 Milk taking 124.94 days to pay suppliers against 50.35 days for Turners. For management, a2 Milk’s position releases cash and reduces the need for working capital, but the company would be hurt if its suppliers tightened their terms of trade. Turners’ main working capital drain is its vehicle stock, so reducing stock levels is the key, even though its short positive cycle is easy to manage.</w:t>
      </w:r>
    </w:p>
    <w:p>
      <w:pPr>
        <w:spacing w:before="0" w:after="120" w:line="360" w:lineRule="auto"/>
        <w:jc w:val="both"/>
      </w:pPr>
      <w:r>
        <w:rPr>
          <w:rFonts w:ascii="Times New Roman" w:hAnsi="Times New Roman"/>
          <w:b w:val="0"/>
          <w:i w:val="0"/>
          <w:color w:val="000000"/>
          <w:sz w:val="24"/>
        </w:rPr>
        <w:t>Overall, both companies reduced their cash conversion cycle in 2025. a2 Milk outperforms Turners with a clearly superior cash position, while Turners runs a short positive cycle that suits its fast-collecting, stock-heavy business.</w:t>
      </w:r>
    </w:p>
    <w:p>
      <w:pPr>
        <w:pStyle w:val="Heading1"/>
        <w:keepNext/>
        <w:spacing w:before="280" w:after="160" w:line="276" w:lineRule="auto"/>
      </w:pPr>
      <w:r>
        <w:rPr>
          <w:rFonts w:ascii="Times New Roman" w:hAnsi="Times New Roman"/>
          <w:b/>
          <w:color w:val="000000"/>
          <w:sz w:val="28"/>
        </w:rPr>
        <w:t>(vi) Māori Asset Ownership Objectives</w:t>
      </w:r>
    </w:p>
    <w:p>
      <w:pPr>
        <w:spacing w:before="0" w:after="120" w:line="360" w:lineRule="auto"/>
        <w:jc w:val="both"/>
      </w:pPr>
      <w:r>
        <w:rPr>
          <w:rFonts w:ascii="Times New Roman" w:hAnsi="Times New Roman"/>
          <w:b w:val="0"/>
          <w:i w:val="0"/>
          <w:color w:val="000000"/>
          <w:sz w:val="24"/>
        </w:rPr>
        <w:t>Māori asset owners operate from a Māori perspective, and profit is only one of many factors they consider. Four key objectives stand out.</w:t>
      </w:r>
    </w:p>
    <w:p>
      <w:pPr>
        <w:spacing w:before="0" w:after="120" w:line="360" w:lineRule="auto"/>
        <w:jc w:val="both"/>
      </w:pPr>
      <w:r>
        <w:rPr>
          <w:rFonts w:ascii="Times New Roman" w:hAnsi="Times New Roman"/>
          <w:b/>
          <w:i w:val="0"/>
          <w:color w:val="000000"/>
          <w:sz w:val="24"/>
        </w:rPr>
        <w:t xml:space="preserve">Everlasting preservation of taonga assets: </w:t>
      </w:r>
      <w:r>
        <w:rPr>
          <w:rFonts w:ascii="Times New Roman" w:hAnsi="Times New Roman"/>
          <w:b w:val="0"/>
          <w:i w:val="0"/>
          <w:color w:val="000000"/>
          <w:sz w:val="24"/>
        </w:rPr>
        <w:t>Numerous Māori assets are taonga tuku iho (treasures handed down), including whenua (land) and water bodies such as lakes and rivers. They are not the products of the present generation; each generation defends them and hands them on (Barrett, 2005). The land itself is worth more than the factories that operate on it.</w:t>
      </w:r>
    </w:p>
    <w:p>
      <w:pPr>
        <w:spacing w:before="0" w:after="120" w:line="360" w:lineRule="auto"/>
        <w:jc w:val="both"/>
      </w:pPr>
      <w:r>
        <w:rPr>
          <w:rFonts w:ascii="Times New Roman" w:hAnsi="Times New Roman"/>
          <w:b/>
          <w:i w:val="0"/>
          <w:color w:val="000000"/>
          <w:sz w:val="24"/>
        </w:rPr>
        <w:t xml:space="preserve">Taonga assets vs other assets: </w:t>
      </w:r>
      <w:r>
        <w:rPr>
          <w:rFonts w:ascii="Times New Roman" w:hAnsi="Times New Roman"/>
          <w:b w:val="0"/>
          <w:i w:val="0"/>
          <w:color w:val="000000"/>
          <w:sz w:val="24"/>
        </w:rPr>
        <w:t>Owners separate taonga assets from their other assets (Te Tumu Paeroa, n.d.). Taonga assets are preserved forever, whereas other assets are temporary and can be bought or sold as the interests of the business change.</w:t>
      </w:r>
    </w:p>
    <w:p>
      <w:pPr>
        <w:spacing w:before="0" w:after="120" w:line="360" w:lineRule="auto"/>
        <w:jc w:val="both"/>
      </w:pPr>
      <w:r>
        <w:rPr>
          <w:rFonts w:ascii="Times New Roman" w:hAnsi="Times New Roman"/>
          <w:b/>
          <w:i w:val="0"/>
          <w:color w:val="000000"/>
          <w:sz w:val="24"/>
        </w:rPr>
        <w:t xml:space="preserve">Preventing unintentional loss of ownership: </w:t>
      </w:r>
      <w:r>
        <w:rPr>
          <w:rFonts w:ascii="Times New Roman" w:hAnsi="Times New Roman"/>
          <w:b w:val="0"/>
          <w:i w:val="0"/>
          <w:color w:val="000000"/>
          <w:sz w:val="24"/>
        </w:rPr>
        <w:t>A main purpose is to prevent the unintentional loss of ownership and control through commercial failure or environmental degradation, which explains the focus on sound risk management and cautious, long-term decision-making over short-term gains.</w:t>
      </w:r>
    </w:p>
    <w:p>
      <w:pPr>
        <w:spacing w:before="0" w:after="120" w:line="360" w:lineRule="auto"/>
        <w:jc w:val="both"/>
      </w:pPr>
      <w:r>
        <w:rPr>
          <w:rFonts w:ascii="Times New Roman" w:hAnsi="Times New Roman"/>
          <w:b/>
          <w:i w:val="0"/>
          <w:color w:val="000000"/>
          <w:sz w:val="24"/>
        </w:rPr>
        <w:t xml:space="preserve">Kaitiakitanga (guardianship) and broader well-being: </w:t>
      </w:r>
      <w:r>
        <w:rPr>
          <w:rFonts w:ascii="Times New Roman" w:hAnsi="Times New Roman"/>
          <w:b w:val="0"/>
          <w:i w:val="0"/>
          <w:color w:val="000000"/>
          <w:sz w:val="24"/>
        </w:rPr>
        <w:t>Owners are kaitiaki (guardians) of their assets, not merely investors (Hawkesby, 2020). The Te Ture Whenua Māori Act 1993 supports this by keeping Māori land within the whānau and hapū who have traditionally owned it (Te Ture Whenua Māori Act, 1993). Success is measured in economic, ecological, cultural, and social terms, not monetary ones.</w:t>
      </w:r>
    </w:p>
    <w:p>
      <w:pPr>
        <w:spacing w:before="0" w:after="120" w:line="360" w:lineRule="auto"/>
        <w:jc w:val="both"/>
      </w:pPr>
      <w:r>
        <w:rPr>
          <w:rFonts w:ascii="Times New Roman" w:hAnsi="Times New Roman"/>
          <w:b w:val="0"/>
          <w:i w:val="0"/>
          <w:color w:val="000000"/>
          <w:sz w:val="24"/>
        </w:rPr>
        <w:t>These objectives matter to the New Zealand economy: the Māori asset base was estimated at NZ$126 billion in 2023 (Schulze, 2025).</w:t>
      </w:r>
    </w:p>
    <w:p>
      <w:pPr>
        <w:pStyle w:val="Heading1"/>
        <w:keepNext/>
        <w:spacing w:before="280" w:after="160" w:line="276" w:lineRule="auto"/>
      </w:pPr>
      <w:r>
        <w:rPr>
          <w:rFonts w:ascii="Times New Roman" w:hAnsi="Times New Roman"/>
          <w:b/>
          <w:color w:val="000000"/>
          <w:sz w:val="28"/>
        </w:rPr>
        <w:t>(vii) References</w:t>
      </w:r>
    </w:p>
    <w:p>
      <w:pPr>
        <w:spacing w:before="0" w:after="120" w:line="276" w:lineRule="auto"/>
        <w:ind w:left="720" w:hanging="720"/>
        <w:jc w:val="left"/>
      </w:pPr>
      <w:r>
        <w:rPr>
          <w:rFonts w:ascii="Times New Roman" w:hAnsi="Times New Roman"/>
          <w:b w:val="0"/>
          <w:i w:val="0"/>
          <w:color w:val="000000"/>
          <w:sz w:val="24"/>
        </w:rPr>
        <w:t xml:space="preserve">Barrett, M. (2005). </w:t>
      </w:r>
      <w:r>
        <w:rPr>
          <w:rFonts w:ascii="Times New Roman" w:hAnsi="Times New Roman"/>
          <w:b w:val="0"/>
          <w:i/>
          <w:color w:val="000000"/>
          <w:sz w:val="24"/>
        </w:rPr>
        <w:t>Accounting and accountability in Māori organisations in Aotearoa New Zealand</w:t>
      </w:r>
      <w:r>
        <w:rPr>
          <w:rFonts w:ascii="Times New Roman" w:hAnsi="Times New Roman"/>
          <w:b w:val="0"/>
          <w:i w:val="0"/>
          <w:color w:val="000000"/>
          <w:sz w:val="24"/>
        </w:rPr>
        <w:t>. Glasgow Caledonian University.</w:t>
      </w:r>
    </w:p>
    <w:p>
      <w:pPr>
        <w:spacing w:before="0" w:after="120" w:line="276" w:lineRule="auto"/>
        <w:ind w:left="720" w:hanging="720"/>
        <w:jc w:val="left"/>
      </w:pPr>
      <w:r>
        <w:rPr>
          <w:rFonts w:ascii="Times New Roman" w:hAnsi="Times New Roman"/>
          <w:b w:val="0"/>
          <w:i w:val="0"/>
          <w:color w:val="000000"/>
          <w:sz w:val="24"/>
        </w:rPr>
        <w:t xml:space="preserve">Hawkesby, C. (2020, February 13). </w:t>
      </w:r>
      <w:r>
        <w:rPr>
          <w:rFonts w:ascii="Times New Roman" w:hAnsi="Times New Roman"/>
          <w:b w:val="0"/>
          <w:i/>
          <w:color w:val="000000"/>
          <w:sz w:val="24"/>
        </w:rPr>
        <w:t>Kaitiakitanga: Te Ao Māori o Te Pūtea Matua – Guardianship: The Māori world view of the Reserve Bank</w:t>
      </w:r>
      <w:r>
        <w:rPr>
          <w:rFonts w:ascii="Times New Roman" w:hAnsi="Times New Roman"/>
          <w:b w:val="0"/>
          <w:i w:val="0"/>
          <w:color w:val="000000"/>
          <w:sz w:val="24"/>
        </w:rPr>
        <w:t xml:space="preserve"> [Speech transcript]. Reserve Bank of New Zealand. https://www.rbnz.govt.nz/hub/publications/speech/2020/speech2020-02-13</w:t>
      </w:r>
    </w:p>
    <w:p>
      <w:pPr>
        <w:spacing w:before="0" w:after="120" w:line="276" w:lineRule="auto"/>
        <w:ind w:left="720" w:hanging="720"/>
        <w:jc w:val="left"/>
      </w:pPr>
      <w:r>
        <w:rPr>
          <w:rFonts w:ascii="Times New Roman" w:hAnsi="Times New Roman"/>
          <w:b w:val="0"/>
          <w:i w:val="0"/>
          <w:color w:val="000000"/>
          <w:sz w:val="24"/>
        </w:rPr>
        <w:t xml:space="preserve">Schulze, H. (2025, March 10). </w:t>
      </w:r>
      <w:r>
        <w:rPr>
          <w:rFonts w:ascii="Times New Roman" w:hAnsi="Times New Roman"/>
          <w:b w:val="0"/>
          <w:i/>
          <w:color w:val="000000"/>
          <w:sz w:val="24"/>
        </w:rPr>
        <w:t>Te Ōhanga Māori 2023: The Māori economy 2023</w:t>
      </w:r>
      <w:r>
        <w:rPr>
          <w:rFonts w:ascii="Times New Roman" w:hAnsi="Times New Roman"/>
          <w:b w:val="0"/>
          <w:i w:val="0"/>
          <w:color w:val="000000"/>
          <w:sz w:val="24"/>
        </w:rPr>
        <w:t>. BERL. https://berl.co.nz/our-mahi/te-ohanga-maori-2023</w:t>
      </w:r>
    </w:p>
    <w:p>
      <w:pPr>
        <w:spacing w:before="0" w:after="120" w:line="276" w:lineRule="auto"/>
        <w:ind w:left="720" w:hanging="720"/>
        <w:jc w:val="left"/>
      </w:pPr>
      <w:r>
        <w:rPr>
          <w:rFonts w:ascii="Times New Roman" w:hAnsi="Times New Roman"/>
          <w:b w:val="0"/>
          <w:i w:val="0"/>
          <w:color w:val="000000"/>
          <w:sz w:val="24"/>
        </w:rPr>
        <w:t xml:space="preserve">Te Tumu Paeroa. (n.d.). </w:t>
      </w:r>
      <w:r>
        <w:rPr>
          <w:rFonts w:ascii="Times New Roman" w:hAnsi="Times New Roman"/>
          <w:b w:val="0"/>
          <w:i/>
          <w:color w:val="000000"/>
          <w:sz w:val="24"/>
        </w:rPr>
        <w:t>About us</w:t>
      </w:r>
      <w:r>
        <w:rPr>
          <w:rFonts w:ascii="Times New Roman" w:hAnsi="Times New Roman"/>
          <w:b w:val="0"/>
          <w:i w:val="0"/>
          <w:color w:val="000000"/>
          <w:sz w:val="24"/>
        </w:rPr>
        <w:t>. https://www.tetumupaeroa.co.nz/who-we-are/about-us</w:t>
      </w:r>
    </w:p>
    <w:p>
      <w:pPr>
        <w:spacing w:before="0" w:after="120" w:line="276" w:lineRule="auto"/>
        <w:ind w:left="720" w:hanging="720"/>
        <w:jc w:val="left"/>
      </w:pPr>
      <w:r>
        <w:rPr>
          <w:rFonts w:ascii="Times New Roman" w:hAnsi="Times New Roman"/>
          <w:b w:val="0"/>
          <w:i w:val="0"/>
          <w:color w:val="000000"/>
          <w:sz w:val="24"/>
        </w:rPr>
        <w:t xml:space="preserve">Te Ture Whenua Māori Act 1993. (1993). </w:t>
      </w:r>
      <w:r>
        <w:rPr>
          <w:rFonts w:ascii="Times New Roman" w:hAnsi="Times New Roman"/>
          <w:b w:val="0"/>
          <w:i/>
          <w:color w:val="000000"/>
          <w:sz w:val="24"/>
        </w:rPr>
        <w:t>Te Ture Whenua Māori Act 1993</w:t>
      </w:r>
      <w:r>
        <w:rPr>
          <w:rFonts w:ascii="Times New Roman" w:hAnsi="Times New Roman"/>
          <w:b w:val="0"/>
          <w:i w:val="0"/>
          <w:color w:val="000000"/>
          <w:sz w:val="24"/>
        </w:rPr>
        <w:t>. New Zealand Legislation. https://www.legislation.govt.nz/act/public/1993/0004/latest/DLM317085.html</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fldChar w:fldCharType="begin"/>
      <w:instrText xml:space="preserve">PAGE \* arabic \* MERGEFORMAT</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595959"/>
        <w:sz w:val="20"/>
      </w:rPr>
      <w:t>Charan 26013944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