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280" w:line="360"/>
      </w:pPr>
      <w:r>
        <w:rPr>
          <w:rFonts w:ascii="Times New Roman" w:eastAsia="Times New Roman"/>
          <w:b/>
          <w:bCs/>
          <w:color w:val="000000"/>
          <w:sz w:val="28"/>
          <w:szCs w:val="28"/>
        </w:rPr>
        <w:t xml:space="preserve">(vi) Māori Asset Ownership Objectives</w:t>
      </w:r>
    </w:p>
    <w:p>
      <w:pPr>
        <w:spacing w:after="160" w:line="360"/>
        <w:jc w:val="both"/>
      </w:pPr>
      <w:r>
        <w:rPr>
          <w:rFonts w:ascii="Times New Roman" w:eastAsia="Times New Roman"/>
          <w:color w:val="000000"/>
          <w:sz w:val="24"/>
          <w:szCs w:val="24"/>
        </w:rPr>
        <w:t xml:space="preserve">Māori asset owners are guided by a Māori worldview, so their objectives go well beyond profit. Four objectives stand out.</w:t>
      </w:r>
    </w:p>
    <w:p>
      <w:pPr>
        <w:pStyle w:val="ListParagraph"/>
        <w:numPr>
          <w:ilvl w:val="0"/>
          <w:numId w:val="1"/>
        </w:numPr>
        <w:spacing w:after="140" w:line="360"/>
        <w:jc w:val="left"/>
      </w:pPr>
      <w:r>
        <w:rPr>
          <w:rFonts w:ascii="Times New Roman" w:eastAsia="Times New Roman"/>
          <w:b/>
          <w:bCs/>
          <w:color w:val="000000"/>
          <w:sz w:val="24"/>
          <w:szCs w:val="24"/>
        </w:rPr>
        <w:t xml:space="preserve">Perpetual retention of taonga assets: </w:t>
      </w:r>
      <w:r>
        <w:rPr>
          <w:rFonts w:ascii="Times New Roman" w:eastAsia="Times New Roman"/>
          <w:b w:val="false"/>
          <w:bCs w:val="false"/>
          <w:color w:val="000000"/>
          <w:sz w:val="24"/>
          <w:szCs w:val="24"/>
        </w:rPr>
        <w:t xml:space="preserve">Many Māori assets are taonga tuku iho, treasures handed down from the ancestors, such as whenua (land), lakes and rivers. They do not belong to the current generation; each generation protects them and passes them on (Barrett, 2005). Keeping the land forever can matter more than the businesses run on it.</w:t>
      </w:r>
    </w:p>
    <w:p>
      <w:pPr>
        <w:pStyle w:val="ListParagraph"/>
        <w:numPr>
          <w:ilvl w:val="0"/>
          <w:numId w:val="1"/>
        </w:numPr>
        <w:spacing w:after="140" w:line="360"/>
        <w:jc w:val="left"/>
      </w:pPr>
      <w:r>
        <w:rPr>
          <w:rFonts w:ascii="Times New Roman" w:eastAsia="Times New Roman"/>
          <w:b/>
          <w:bCs/>
          <w:color w:val="000000"/>
          <w:sz w:val="24"/>
          <w:szCs w:val="24"/>
        </w:rPr>
        <w:t xml:space="preserve">Taonga assets versus other assets: </w:t>
      </w:r>
      <w:r>
        <w:rPr>
          <w:rFonts w:ascii="Times New Roman" w:eastAsia="Times New Roman"/>
          <w:b w:val="false"/>
          <w:bCs w:val="false"/>
          <w:color w:val="000000"/>
          <w:sz w:val="24"/>
          <w:szCs w:val="24"/>
        </w:rPr>
        <w:t xml:space="preserve">Owners separate perpetual (taonga) assets from other assets. Taonga assets are held in perpetuity, while other assets are only a current means to an end and can be bought or sold as business needs change (Barrett, 2005; Te Tumu Paeroa, n.d.).</w:t>
      </w:r>
    </w:p>
    <w:p>
      <w:pPr>
        <w:pStyle w:val="ListParagraph"/>
        <w:numPr>
          <w:ilvl w:val="0"/>
          <w:numId w:val="1"/>
        </w:numPr>
        <w:spacing w:after="140" w:line="360"/>
        <w:jc w:val="left"/>
      </w:pPr>
      <w:r>
        <w:rPr>
          <w:rFonts w:ascii="Times New Roman" w:eastAsia="Times New Roman"/>
          <w:b/>
          <w:bCs/>
          <w:color w:val="000000"/>
          <w:sz w:val="24"/>
          <w:szCs w:val="24"/>
        </w:rPr>
        <w:t xml:space="preserve">Avoiding loss of ownership and control: </w:t>
      </w:r>
      <w:r>
        <w:rPr>
          <w:rFonts w:ascii="Times New Roman" w:eastAsia="Times New Roman"/>
          <w:b w:val="false"/>
          <w:bCs w:val="false"/>
          <w:color w:val="000000"/>
          <w:sz w:val="24"/>
          <w:szCs w:val="24"/>
        </w:rPr>
        <w:t xml:space="preserve">A key objective is avoiding involuntary loss of ownership and control, whether caused by commercial failure or environmental damage. This is why appropriate risk and management processes matter, and why owners prefer careful, long-term decisions over short-term profits.</w:t>
      </w:r>
    </w:p>
    <w:p>
      <w:pPr>
        <w:pStyle w:val="ListParagraph"/>
        <w:numPr>
          <w:ilvl w:val="0"/>
          <w:numId w:val="1"/>
        </w:numPr>
        <w:spacing w:after="140" w:line="360"/>
        <w:jc w:val="left"/>
      </w:pPr>
      <w:r>
        <w:rPr>
          <w:rFonts w:ascii="Times New Roman" w:eastAsia="Times New Roman"/>
          <w:b/>
          <w:bCs/>
          <w:color w:val="000000"/>
          <w:sz w:val="24"/>
          <w:szCs w:val="24"/>
        </w:rPr>
        <w:t xml:space="preserve">Kaitiakitanga (guardianship) and wider wellbeing: </w:t>
      </w:r>
      <w:r>
        <w:rPr>
          <w:rFonts w:ascii="Times New Roman" w:eastAsia="Times New Roman"/>
          <w:b w:val="false"/>
          <w:bCs w:val="false"/>
          <w:color w:val="000000"/>
          <w:sz w:val="24"/>
          <w:szCs w:val="24"/>
        </w:rPr>
        <w:t xml:space="preserve">Owners act as kaitiaki (guardians) of their assets, not just investors (Hawkesby, 2020). Te Ture Whenua Māori Act 1993 supports this by keeping Māori land in the hands of its owners, whānau and hapū. Success is measured across financial, environmental, cultural and social outcomes, not dollars alone (Te Tumu Paeroa, n.d.).</w:t>
      </w:r>
    </w:p>
    <w:p>
      <w:pPr>
        <w:spacing w:after="160" w:line="360"/>
        <w:jc w:val="both"/>
      </w:pPr>
      <w:r>
        <w:rPr>
          <w:rFonts w:ascii="Times New Roman" w:eastAsia="Times New Roman"/>
          <w:color w:val="000000"/>
          <w:sz w:val="24"/>
          <w:szCs w:val="24"/>
        </w:rPr>
        <w:t xml:space="preserve">These objectives shape a large share of the New Zealand economy, as the Māori asset base reached about $126 billion in 2023 (Schulze, 2025).</w:t>
      </w:r>
    </w:p>
    <w:p>
      <w:pPr>
        <w:pStyle w:val="Heading1"/>
        <w:keepNext/>
        <w:spacing w:after="200" w:before="280" w:line="360"/>
      </w:pPr>
      <w:r>
        <w:rPr>
          <w:rFonts w:ascii="Times New Roman" w:eastAsia="Times New Roman"/>
          <w:b/>
          <w:bCs/>
          <w:color w:val="000000"/>
          <w:sz w:val="28"/>
          <w:szCs w:val="28"/>
        </w:rPr>
        <w:t xml:space="preserve">(vii) References</w:t>
      </w:r>
    </w:p>
    <w:p>
      <w:pPr>
        <w:keepNext/>
        <w:keepLines/>
        <w:spacing w:after="140" w:line="360"/>
        <w:ind w:left="480" w:hanging="480"/>
        <w:jc w:val="left"/>
      </w:pPr>
      <w:r>
        <w:rPr>
          <w:rFonts w:ascii="Times New Roman" w:eastAsia="Times New Roman"/>
          <w:i w:val="false"/>
          <w:iCs w:val="false"/>
          <w:color w:val="000000"/>
          <w:sz w:val="24"/>
          <w:szCs w:val="24"/>
        </w:rPr>
        <w:t xml:space="preserve">Barrett, M. (2005). </w:t>
      </w:r>
      <w:r>
        <w:rPr>
          <w:rFonts w:ascii="Times New Roman" w:eastAsia="Times New Roman"/>
          <w:i/>
          <w:iCs/>
          <w:color w:val="000000"/>
          <w:sz w:val="24"/>
          <w:szCs w:val="24"/>
        </w:rPr>
        <w:t xml:space="preserve">Accounting and accountability in Māori organisations in Aotearoa New Zealand</w:t>
      </w:r>
      <w:r>
        <w:rPr>
          <w:rFonts w:ascii="Times New Roman" w:eastAsia="Times New Roman"/>
          <w:i w:val="false"/>
          <w:iCs w:val="false"/>
          <w:color w:val="000000"/>
          <w:sz w:val="24"/>
          <w:szCs w:val="24"/>
        </w:rPr>
        <w:t xml:space="preserve"> [Doctoral dissertation, Glasgow Caledonian University].</w:t>
      </w:r>
    </w:p>
    <w:p>
      <w:pPr>
        <w:keepNext/>
        <w:keepLines/>
        <w:spacing w:after="140" w:line="360"/>
        <w:ind w:left="480" w:hanging="480"/>
        <w:jc w:val="left"/>
      </w:pPr>
      <w:r>
        <w:rPr>
          <w:rFonts w:ascii="Times New Roman" w:eastAsia="Times New Roman"/>
          <w:i w:val="false"/>
          <w:iCs w:val="false"/>
          <w:color w:val="000000"/>
          <w:sz w:val="24"/>
          <w:szCs w:val="24"/>
        </w:rPr>
        <w:t xml:space="preserve">Hawkesby, C. (2020, February 13). </w:t>
      </w:r>
      <w:r>
        <w:rPr>
          <w:rFonts w:ascii="Times New Roman" w:eastAsia="Times New Roman"/>
          <w:i/>
          <w:iCs/>
          <w:color w:val="000000"/>
          <w:sz w:val="24"/>
          <w:szCs w:val="24"/>
        </w:rPr>
        <w:t xml:space="preserve">Kaitiakitanga: Te Ao Māori o Te Pūtea Matua – Guardianship: The Māori world view of the Reserve Bank</w:t>
      </w:r>
      <w:r>
        <w:rPr>
          <w:rFonts w:ascii="Times New Roman" w:eastAsia="Times New Roman"/>
          <w:i w:val="false"/>
          <w:iCs w:val="false"/>
          <w:color w:val="000000"/>
          <w:sz w:val="24"/>
          <w:szCs w:val="24"/>
        </w:rPr>
        <w:t xml:space="preserve"> [Speech transcript]. Reserve Bank of New Zealand. https://www.rbnz.govt.nz/hub/publications/speech/2020/speech2020-02-13</w:t>
      </w:r>
    </w:p>
    <w:p>
      <w:pPr>
        <w:keepNext/>
        <w:keepLines/>
        <w:spacing w:after="140" w:line="360"/>
        <w:ind w:left="480" w:hanging="480"/>
        <w:jc w:val="left"/>
      </w:pPr>
      <w:r>
        <w:rPr>
          <w:rFonts w:ascii="Times New Roman" w:eastAsia="Times New Roman"/>
          <w:i w:val="false"/>
          <w:iCs w:val="false"/>
          <w:color w:val="000000"/>
          <w:sz w:val="24"/>
          <w:szCs w:val="24"/>
        </w:rPr>
        <w:t xml:space="preserve">Schulze, H. (2025, March 10). </w:t>
      </w:r>
      <w:r>
        <w:rPr>
          <w:rFonts w:ascii="Times New Roman" w:eastAsia="Times New Roman"/>
          <w:i/>
          <w:iCs/>
          <w:color w:val="000000"/>
          <w:sz w:val="24"/>
          <w:szCs w:val="24"/>
        </w:rPr>
        <w:t xml:space="preserve">Te Ōhanga Māori 2023: The Māori economy 2023</w:t>
      </w:r>
      <w:r>
        <w:rPr>
          <w:rFonts w:ascii="Times New Roman" w:eastAsia="Times New Roman"/>
          <w:i w:val="false"/>
          <w:iCs w:val="false"/>
          <w:color w:val="000000"/>
          <w:sz w:val="24"/>
          <w:szCs w:val="24"/>
        </w:rPr>
        <w:t xml:space="preserve">. Business and Economic Research Limited. https://berl.co.nz/our-mahi/te-ohanga-maori-2023</w:t>
      </w:r>
    </w:p>
    <w:p>
      <w:pPr>
        <w:keepNext/>
        <w:keepLines/>
        <w:spacing w:after="140" w:line="360"/>
        <w:ind w:left="480" w:hanging="480"/>
        <w:jc w:val="left"/>
      </w:pPr>
      <w:r>
        <w:rPr>
          <w:rFonts w:ascii="Times New Roman" w:eastAsia="Times New Roman"/>
          <w:i w:val="false"/>
          <w:iCs w:val="false"/>
          <w:color w:val="000000"/>
          <w:sz w:val="24"/>
          <w:szCs w:val="24"/>
        </w:rPr>
        <w:t xml:space="preserve">Te Tumu Paeroa. (n.d.). </w:t>
      </w:r>
      <w:r>
        <w:rPr>
          <w:rFonts w:ascii="Times New Roman" w:eastAsia="Times New Roman"/>
          <w:i/>
          <w:iCs/>
          <w:color w:val="000000"/>
          <w:sz w:val="24"/>
          <w:szCs w:val="24"/>
        </w:rPr>
        <w:t xml:space="preserve">About us</w:t>
      </w:r>
      <w:r>
        <w:rPr>
          <w:rFonts w:ascii="Times New Roman" w:eastAsia="Times New Roman"/>
          <w:i w:val="false"/>
          <w:iCs w:val="false"/>
          <w:color w:val="000000"/>
          <w:sz w:val="24"/>
          <w:szCs w:val="24"/>
        </w:rPr>
        <w:t xml:space="preserve">. https://www.tetumupaeroa.co.nz/who-we-are/about-us</w:t>
      </w:r>
    </w:p>
    <w:p>
      <w:pPr>
        <w:keepNext w:val="false"/>
        <w:keepLines/>
        <w:spacing w:after="140" w:line="360"/>
        <w:ind w:left="480" w:hanging="480"/>
        <w:jc w:val="left"/>
      </w:pPr>
      <w:r>
        <w:rPr>
          <w:rFonts w:ascii="Times New Roman" w:eastAsia="Times New Roman"/>
          <w:i w:val="false"/>
          <w:iCs w:val="false"/>
          <w:color w:val="000000"/>
          <w:sz w:val="24"/>
          <w:szCs w:val="24"/>
        </w:rPr>
        <w:t xml:space="preserve">Te Ture Whenua Māori Act 1993. (1993). </w:t>
      </w:r>
      <w:r>
        <w:rPr>
          <w:rFonts w:ascii="Times New Roman" w:eastAsia="Times New Roman"/>
          <w:i w:val="false"/>
          <w:iCs w:val="false"/>
          <w:color w:val="000000"/>
          <w:sz w:val="24"/>
          <w:szCs w:val="24"/>
        </w:rPr>
        <w:t xml:space="preserve">New Zealand Legislation. https://www.legislation.govt.nz/act/public/1993/0004/latest/whole.html</w:t>
      </w:r>
    </w:p>
    <w:sectPr>
      <w:footerReference w:type="default" r:id="rId7"/>
      <w:pgSz w:w="11906" w:h="16838" w:orient="portrait"/>
      <w:pgMar w:top="1440" w:right="1417" w:bottom="1440" w:left="1701"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80" w:line="360"/>
    </w:pPr>
    <w:rPr>
      <w:rFonts w:ascii="Times New Roman" w:eastAsia="Times New Roma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115.112 Assessment 3 - Part B</dc:title>
  <dc:creator>Prasad</dc:creator>
  <dc:description>Requirement (vi) Maori asset ownership objectives and (vii) references</dc:description>
  <cp:lastModifiedBy>Un-named</cp:lastModifiedBy>
  <cp:revision>1</cp:revision>
  <dcterms:created xsi:type="dcterms:W3CDTF">2026-09-25T04:42:57.785Z</dcterms:created>
  <dcterms:modified xsi:type="dcterms:W3CDTF">2026-09-25T04:42:57.785Z</dcterms:modified>
</cp:coreProperties>
</file>

<file path=docProps/custom.xml><?xml version="1.0" encoding="utf-8"?>
<Properties xmlns="http://schemas.openxmlformats.org/officeDocument/2006/custom-properties" xmlns:vt="http://schemas.openxmlformats.org/officeDocument/2006/docPropsVTypes"/>
</file>