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keepNext/>
        <w:spacing w:after="200" w:before="280" w:line="360"/>
      </w:pPr>
      <w:r>
        <w:rPr>
          <w:rFonts w:ascii="Times New Roman" w:eastAsia="Times New Roman"/>
          <w:b/>
          <w:bCs/>
          <w:color w:val="000000"/>
          <w:sz w:val="28"/>
          <w:szCs w:val="28"/>
        </w:rPr>
        <w:t xml:space="preserve">(iv) Profitability Discussion</w:t>
      </w:r>
    </w:p>
    <w:p>
      <w:pPr>
        <w:spacing w:after="160" w:line="360"/>
        <w:jc w:val="both"/>
      </w:pPr>
      <w:r>
        <w:rPr>
          <w:rFonts w:ascii="Times New Roman" w:eastAsia="Times New Roman"/>
          <w:color w:val="000000"/>
          <w:sz w:val="24"/>
          <w:szCs w:val="24"/>
        </w:rPr>
        <w:t xml:space="preserve">The client has a special interest in milk and vehicles, so this discussion compares the profitability of The a2 Milk Company (a2 Milk) and Turners Automotive Group (Turners). Each company is first evaluated by comparing its 2025 results with 2024, and the two are then compared for 2025. The 2025 ratios come from the Power BI analysis, and the 2024 figures are taken from the assessment booklet.</w:t>
      </w:r>
    </w:p>
    <w:p>
      <w:pPr>
        <w:pStyle w:val="ListParagraph"/>
        <w:numPr>
          <w:ilvl w:val="0"/>
          <w:numId w:val="1"/>
        </w:numPr>
        <w:spacing w:after="140" w:line="360"/>
        <w:jc w:val="left"/>
      </w:pPr>
      <w:r>
        <w:rPr>
          <w:rFonts w:ascii="Times New Roman" w:eastAsia="Times New Roman"/>
          <w:b/>
          <w:bCs/>
          <w:color w:val="000000"/>
          <w:sz w:val="24"/>
          <w:szCs w:val="24"/>
        </w:rPr>
        <w:t xml:space="preserve">The a2 Milk Company (2025 compared with 2024): </w:t>
      </w:r>
      <w:r>
        <w:rPr>
          <w:rFonts w:ascii="Times New Roman" w:eastAsia="Times New Roman"/>
          <w:b w:val="false"/>
          <w:bCs w:val="false"/>
          <w:color w:val="000000"/>
          <w:sz w:val="24"/>
          <w:szCs w:val="24"/>
        </w:rPr>
        <w:t xml:space="preserve">a2 Milk stayed solidly profitable in 2025, but most of its profitability ratios eased back. Profit margin fell from 16.92% to 15.23%, return on total assets fell from 17.19% to 15.97%, and return on owners' equity fell from 23.53% to 21.53%. Gross profit percentage actually rose slightly, from 45.81% to 46.08%, so cost of goods sold was not the problem; the drop in profit margin points to other operating expenses growing faster than sales. The clear positive was sales growth, which jumped from 5.17% to 13.50% and shows strong demand for its products. Put simply, every $100 of owners' equity still generated about $21.53 of profit in 2025. Overall, a2 Milk gave up a little margin in exchange for much faster growth, and its returns stayed at a healthy level.</w:t>
      </w:r>
    </w:p>
    <w:p>
      <w:pPr>
        <w:pStyle w:val="ListParagraph"/>
        <w:numPr>
          <w:ilvl w:val="0"/>
          <w:numId w:val="1"/>
        </w:numPr>
        <w:spacing w:after="140" w:line="360"/>
        <w:jc w:val="left"/>
      </w:pPr>
      <w:r>
        <w:rPr>
          <w:rFonts w:ascii="Times New Roman" w:eastAsia="Times New Roman"/>
          <w:b/>
          <w:bCs/>
          <w:color w:val="000000"/>
          <w:sz w:val="24"/>
          <w:szCs w:val="24"/>
        </w:rPr>
        <w:t xml:space="preserve">Turners Automotive Group (2025 compared with 2024): </w:t>
      </w:r>
      <w:r>
        <w:rPr>
          <w:rFonts w:ascii="Times New Roman" w:eastAsia="Times New Roman"/>
          <w:b w:val="false"/>
          <w:bCs w:val="false"/>
          <w:color w:val="000000"/>
          <w:sz w:val="24"/>
          <w:szCs w:val="24"/>
        </w:rPr>
        <w:t xml:space="preserve">Turners moved in the opposite direction and improved its profitability even though sales slipped. Sales growth turned negative, going from 6.97% in 2024 to -0.78% in 2025, which means a small fall in revenue. Despite this, gross profit percentage rose from 57.42% to 59.43%, profit margin rose from 11.81% to 13.14%, return on total assets improved from 8.96% to 9.16%, and return on owners' equity improved from 17.91% to 18.82%. This pattern suggests better cost control and a shift towards higher-margin work, because the company earned more profit from every dollar of sales even though it had slightly less revenue. Turners also earns income from finance and insurance services, which helps explain why its gross margin stays high.</w:t>
      </w:r>
    </w:p>
    <w:p>
      <w:pPr>
        <w:pStyle w:val="ListParagraph"/>
        <w:numPr>
          <w:ilvl w:val="0"/>
          <w:numId w:val="1"/>
        </w:numPr>
        <w:spacing w:after="140" w:line="360"/>
        <w:jc w:val="left"/>
      </w:pPr>
      <w:r>
        <w:rPr>
          <w:rFonts w:ascii="Times New Roman" w:eastAsia="Times New Roman"/>
          <w:b/>
          <w:bCs/>
          <w:color w:val="000000"/>
          <w:sz w:val="24"/>
          <w:szCs w:val="24"/>
        </w:rPr>
        <w:t xml:space="preserve">The a2 Milk Company versus Turners Automotive Group (2025): </w:t>
      </w:r>
      <w:r>
        <w:rPr>
          <w:rFonts w:ascii="Times New Roman" w:eastAsia="Times New Roman"/>
          <w:b w:val="false"/>
          <w:bCs w:val="false"/>
          <w:color w:val="000000"/>
          <w:sz w:val="24"/>
          <w:szCs w:val="24"/>
        </w:rPr>
        <w:t xml:space="preserve">For 2025, a2 Milk was the stronger performer. It beat Turners on profit margin (15.23% against 13.14%), return on total assets (15.97% against 9.16%), return on owners' equity (21.53% against 18.82%) and sales growth (13.50% against -0.78%). Turners only won on gross profit percentage (59.43% against 46.08%). This gap shows that Turners loses more of its gross profit along the way, mainly through heavier operating costs. Turners also carries much more debt, with interest coverage of only 2.98 times against 68.33 times for a2 Milk, so interest takes a bigger bite out of its profit. In short, a2 Milk converts more of its sales into final profit, while Turners is profitable but less effective at turning a strong gross margin into bottom-line returns.</w:t>
      </w:r>
    </w:p>
    <w:p>
      <w:pPr>
        <w:spacing w:after="160" w:line="360"/>
        <w:jc w:val="both"/>
      </w:pPr>
      <w:r>
        <w:rPr>
          <w:rFonts w:ascii="Times New Roman" w:eastAsia="Times New Roman"/>
          <w:color w:val="000000"/>
          <w:sz w:val="24"/>
          <w:szCs w:val="24"/>
        </w:rPr>
        <w:t xml:space="preserve">Overall, a2 Milk is the more profitable business in 2025 and is also growing quickly, and its small dip against 2024 looks like a fair trade for 13.50% sales growth. Turners is moving in the right direction, lifting every profitability ratio despite the small sales drop, but it still sits behind a2 Milk on most measures.</w:t>
      </w:r>
    </w:p>
    <w:p>
      <w:pPr>
        <w:pStyle w:val="Heading1"/>
        <w:keepNext/>
        <w:spacing w:after="200" w:before="280" w:line="360"/>
      </w:pPr>
      <w:r>
        <w:rPr>
          <w:rFonts w:ascii="Times New Roman" w:eastAsia="Times New Roman"/>
          <w:b/>
          <w:bCs/>
          <w:color w:val="000000"/>
          <w:sz w:val="28"/>
          <w:szCs w:val="28"/>
        </w:rPr>
        <w:t xml:space="preserve">(v) Cash Conversion Cycle Discussion</w:t>
      </w:r>
    </w:p>
    <w:p>
      <w:pPr>
        <w:spacing w:after="160" w:line="360"/>
        <w:jc w:val="both"/>
      </w:pPr>
      <w:r>
        <w:rPr>
          <w:rFonts w:ascii="Times New Roman" w:eastAsia="Times New Roman"/>
          <w:color w:val="000000"/>
          <w:sz w:val="24"/>
          <w:szCs w:val="24"/>
        </w:rPr>
        <w:t xml:space="preserve">This discussion looks at the cash conversion cycle (CCC) for the same two companies, using the formula days inventory outstanding (DIO) plus days sales outstanding (DSO) minus days payables outstanding (DPO). A negative cycle means a company collects cash before it pays its suppliers, while a positive cycle means cash is tied up in the operating cycle.</w:t>
      </w:r>
    </w:p>
    <w:p>
      <w:pPr>
        <w:pStyle w:val="ListParagraph"/>
        <w:numPr>
          <w:ilvl w:val="0"/>
          <w:numId w:val="1"/>
        </w:numPr>
        <w:spacing w:after="140" w:line="360"/>
        <w:jc w:val="left"/>
      </w:pPr>
      <w:r>
        <w:rPr>
          <w:rFonts w:ascii="Times New Roman" w:eastAsia="Times New Roman"/>
          <w:b/>
          <w:bCs/>
          <w:color w:val="000000"/>
          <w:sz w:val="24"/>
          <w:szCs w:val="24"/>
        </w:rPr>
        <w:t xml:space="preserve">The a2 Milk Company (2025 compared with 2024): </w:t>
      </w:r>
      <w:r>
        <w:rPr>
          <w:rFonts w:ascii="Times New Roman" w:eastAsia="Times New Roman"/>
          <w:b w:val="false"/>
          <w:bCs w:val="false"/>
          <w:color w:val="000000"/>
          <w:sz w:val="24"/>
          <w:szCs w:val="24"/>
        </w:rPr>
        <w:t xml:space="preserve">a2 Milk's CCC was already negative in 2024 at -41 days, and it improved further to -51.77 days in 2025. The main driver was inventory, with days in the selling period falling from 75 days to 56.80 days, so stock is moving much faster. Days in the collection period stayed steady at around 16 to 17 days, while DPO eased from 133 days to 124.94 days, which worked slightly against the improvement. Because the cycle is negative, a2 Milk collects cash from customers roughly 52 days before it has to pay suppliers, so suppliers are basically funding its operations and it needs very little working capital. The trade-off is that the company depends on keeping those long payment terms.</w:t>
      </w:r>
    </w:p>
    <w:p>
      <w:pPr>
        <w:pStyle w:val="ListParagraph"/>
        <w:numPr>
          <w:ilvl w:val="0"/>
          <w:numId w:val="1"/>
        </w:numPr>
        <w:spacing w:after="140" w:line="360"/>
        <w:jc w:val="left"/>
      </w:pPr>
      <w:r>
        <w:rPr>
          <w:rFonts w:ascii="Times New Roman" w:eastAsia="Times New Roman"/>
          <w:b/>
          <w:bCs/>
          <w:color w:val="000000"/>
          <w:sz w:val="24"/>
          <w:szCs w:val="24"/>
        </w:rPr>
        <w:t xml:space="preserve">Turners Automotive Group (2025 compared with 2024): </w:t>
      </w:r>
      <w:r>
        <w:rPr>
          <w:rFonts w:ascii="Times New Roman" w:eastAsia="Times New Roman"/>
          <w:b w:val="false"/>
          <w:bCs w:val="false"/>
          <w:color w:val="000000"/>
          <w:sz w:val="24"/>
          <w:szCs w:val="24"/>
        </w:rPr>
        <w:t xml:space="preserve">Turners' CCC improved from 13 days to 7.67 days. Most of the gain came from paying suppliers later, with DPO rising from 47 days to 50.35 days, helped by faster stock turnover (days in the selling period fell from 53 to 51.47) and slightly faster collection (7 days to 6.55 days). As a vehicle dealer, Turners collects from customers almost immediately, which keeps collection days very low. Even so, the cycle is still positive, so around 8 days of cash stays tied up in each operating cycle, mostly in vehicle stock.</w:t>
      </w:r>
    </w:p>
    <w:p>
      <w:pPr>
        <w:pStyle w:val="ListParagraph"/>
        <w:numPr>
          <w:ilvl w:val="0"/>
          <w:numId w:val="1"/>
        </w:numPr>
        <w:spacing w:after="140" w:line="360"/>
        <w:jc w:val="left"/>
      </w:pPr>
      <w:r>
        <w:rPr>
          <w:rFonts w:ascii="Times New Roman" w:eastAsia="Times New Roman"/>
          <w:b/>
          <w:bCs/>
          <w:color w:val="000000"/>
          <w:sz w:val="24"/>
          <w:szCs w:val="24"/>
        </w:rPr>
        <w:t xml:space="preserve">The a2 Milk Company versus Turners Automotive Group (2025): </w:t>
      </w:r>
      <w:r>
        <w:rPr>
          <w:rFonts w:ascii="Times New Roman" w:eastAsia="Times New Roman"/>
          <w:b w:val="false"/>
          <w:bCs w:val="false"/>
          <w:color w:val="000000"/>
          <w:sz w:val="24"/>
          <w:szCs w:val="24"/>
        </w:rPr>
        <w:t xml:space="preserve">For 2025, a2 Milk's cycle of -51.77 days is far stronger than Turners' 7.67 days, a gap of nearly 60 days. The biggest single difference is supplier terms, with a2 Milk taking 124.94 days to pay suppliers against 50.35 days for Turners. For management, a2 Milk's position frees up cash and lowers funding needs, but it would suffer if suppliers ever tightened those terms. Turners' main working capital drain is its vehicle stock, so the focus should stay on turning stock over faster, even though its short positive cycle is still easy to manage.</w:t>
      </w:r>
    </w:p>
    <w:p>
      <w:pPr>
        <w:spacing w:after="160" w:line="360"/>
        <w:jc w:val="both"/>
      </w:pPr>
      <w:r>
        <w:rPr>
          <w:rFonts w:ascii="Times New Roman" w:eastAsia="Times New Roman"/>
          <w:color w:val="000000"/>
          <w:sz w:val="24"/>
          <w:szCs w:val="24"/>
        </w:rPr>
        <w:t xml:space="preserve">Overall, both companies improved their cash conversion cycle in 2025, but a2 Milk holds the clearly stronger cash position, while Turners runs a short positive cycle that suits its fast-collecting, stock-heavy business.</w:t>
      </w:r>
    </w:p>
    <w:p>
      <w:pPr>
        <w:pStyle w:val="Heading1"/>
        <w:keepNext/>
        <w:spacing w:after="200" w:before="280" w:line="360"/>
      </w:pPr>
      <w:r>
        <w:rPr>
          <w:rFonts w:ascii="Times New Roman" w:eastAsia="Times New Roman"/>
          <w:b/>
          <w:bCs/>
          <w:color w:val="000000"/>
          <w:sz w:val="28"/>
          <w:szCs w:val="28"/>
        </w:rPr>
        <w:t xml:space="preserve">(vi) Māori Asset Ownership Objectives</w:t>
      </w:r>
    </w:p>
    <w:p>
      <w:pPr>
        <w:spacing w:after="160" w:line="360"/>
        <w:jc w:val="both"/>
      </w:pPr>
      <w:r>
        <w:rPr>
          <w:rFonts w:ascii="Times New Roman" w:eastAsia="Times New Roman"/>
          <w:color w:val="000000"/>
          <w:sz w:val="24"/>
          <w:szCs w:val="24"/>
        </w:rPr>
        <w:t xml:space="preserve">Māori asset owners are guided by a Māori worldview, so their objectives go well beyond profit. Four objectives stand out.</w:t>
      </w:r>
    </w:p>
    <w:p>
      <w:pPr>
        <w:pStyle w:val="ListParagraph"/>
        <w:numPr>
          <w:ilvl w:val="0"/>
          <w:numId w:val="1"/>
        </w:numPr>
        <w:spacing w:after="140" w:line="360"/>
        <w:jc w:val="left"/>
      </w:pPr>
      <w:r>
        <w:rPr>
          <w:rFonts w:ascii="Times New Roman" w:eastAsia="Times New Roman"/>
          <w:b/>
          <w:bCs/>
          <w:color w:val="000000"/>
          <w:sz w:val="24"/>
          <w:szCs w:val="24"/>
        </w:rPr>
        <w:t xml:space="preserve">Perpetual retention of taonga assets: </w:t>
      </w:r>
      <w:r>
        <w:rPr>
          <w:rFonts w:ascii="Times New Roman" w:eastAsia="Times New Roman"/>
          <w:b w:val="false"/>
          <w:bCs w:val="false"/>
          <w:color w:val="000000"/>
          <w:sz w:val="24"/>
          <w:szCs w:val="24"/>
        </w:rPr>
        <w:t xml:space="preserve">Many Māori assets are taonga tuku iho, treasures handed down from the ancestors, such as whenua (land), lakes and rivers. They do not belong to the current generation; each generation protects them and passes them on (Barrett, 2005). Keeping the land forever can matter more than the businesses run on it.</w:t>
      </w:r>
    </w:p>
    <w:p>
      <w:pPr>
        <w:pStyle w:val="ListParagraph"/>
        <w:numPr>
          <w:ilvl w:val="0"/>
          <w:numId w:val="1"/>
        </w:numPr>
        <w:spacing w:after="140" w:line="360"/>
        <w:jc w:val="left"/>
      </w:pPr>
      <w:r>
        <w:rPr>
          <w:rFonts w:ascii="Times New Roman" w:eastAsia="Times New Roman"/>
          <w:b/>
          <w:bCs/>
          <w:color w:val="000000"/>
          <w:sz w:val="24"/>
          <w:szCs w:val="24"/>
        </w:rPr>
        <w:t xml:space="preserve">Taonga assets versus other assets: </w:t>
      </w:r>
      <w:r>
        <w:rPr>
          <w:rFonts w:ascii="Times New Roman" w:eastAsia="Times New Roman"/>
          <w:b w:val="false"/>
          <w:bCs w:val="false"/>
          <w:color w:val="000000"/>
          <w:sz w:val="24"/>
          <w:szCs w:val="24"/>
        </w:rPr>
        <w:t xml:space="preserve">Owners separate perpetual (taonga) assets from other assets. Taonga assets are held in perpetuity, while other assets are only a current means to an end and can be bought or sold as business needs change (Barrett, 2005; Te Tumu Paeroa, n.d.).</w:t>
      </w:r>
    </w:p>
    <w:p>
      <w:pPr>
        <w:pStyle w:val="ListParagraph"/>
        <w:numPr>
          <w:ilvl w:val="0"/>
          <w:numId w:val="1"/>
        </w:numPr>
        <w:spacing w:after="140" w:line="360"/>
        <w:jc w:val="left"/>
      </w:pPr>
      <w:r>
        <w:rPr>
          <w:rFonts w:ascii="Times New Roman" w:eastAsia="Times New Roman"/>
          <w:b/>
          <w:bCs/>
          <w:color w:val="000000"/>
          <w:sz w:val="24"/>
          <w:szCs w:val="24"/>
        </w:rPr>
        <w:t xml:space="preserve">Avoiding loss of ownership and control: </w:t>
      </w:r>
      <w:r>
        <w:rPr>
          <w:rFonts w:ascii="Times New Roman" w:eastAsia="Times New Roman"/>
          <w:b w:val="false"/>
          <w:bCs w:val="false"/>
          <w:color w:val="000000"/>
          <w:sz w:val="24"/>
          <w:szCs w:val="24"/>
        </w:rPr>
        <w:t xml:space="preserve">A key objective is avoiding involuntary loss of ownership and control, whether caused by commercial failure or environmental damage. This is why appropriate risk and management processes matter, and why owners prefer careful, long-term decisions over short-term profits.</w:t>
      </w:r>
    </w:p>
    <w:p>
      <w:pPr>
        <w:pStyle w:val="ListParagraph"/>
        <w:numPr>
          <w:ilvl w:val="0"/>
          <w:numId w:val="1"/>
        </w:numPr>
        <w:spacing w:after="140" w:line="360"/>
        <w:jc w:val="left"/>
      </w:pPr>
      <w:r>
        <w:rPr>
          <w:rFonts w:ascii="Times New Roman" w:eastAsia="Times New Roman"/>
          <w:b/>
          <w:bCs/>
          <w:color w:val="000000"/>
          <w:sz w:val="24"/>
          <w:szCs w:val="24"/>
        </w:rPr>
        <w:t xml:space="preserve">Kaitiakitanga (guardianship) and wider wellbeing: </w:t>
      </w:r>
      <w:r>
        <w:rPr>
          <w:rFonts w:ascii="Times New Roman" w:eastAsia="Times New Roman"/>
          <w:b w:val="false"/>
          <w:bCs w:val="false"/>
          <w:color w:val="000000"/>
          <w:sz w:val="24"/>
          <w:szCs w:val="24"/>
        </w:rPr>
        <w:t xml:space="preserve">Owners act as kaitiaki (guardians) of their assets, not just investors (Hawkesby, 2020). Te Ture Whenua Māori Act 1993 supports this by keeping Māori land in the hands of its owners, whānau and hapū. Success is measured across financial, environmental, cultural and social outcomes, not dollars alone (Te Tumu Paeroa, n.d.).</w:t>
      </w:r>
    </w:p>
    <w:p>
      <w:pPr>
        <w:spacing w:after="160" w:line="360"/>
        <w:jc w:val="both"/>
      </w:pPr>
      <w:r>
        <w:rPr>
          <w:rFonts w:ascii="Times New Roman" w:eastAsia="Times New Roman"/>
          <w:color w:val="000000"/>
          <w:sz w:val="24"/>
          <w:szCs w:val="24"/>
        </w:rPr>
        <w:t xml:space="preserve">These objectives shape a large share of the New Zealand economy, as the Māori asset base reached about $126 billion in 2023 (Schulze, 2025).</w:t>
      </w:r>
    </w:p>
    <w:p>
      <w:pPr>
        <w:pStyle w:val="Heading1"/>
        <w:keepNext/>
        <w:spacing w:after="200" w:before="280" w:line="360"/>
      </w:pPr>
      <w:r>
        <w:rPr>
          <w:rFonts w:ascii="Times New Roman" w:eastAsia="Times New Roman"/>
          <w:b/>
          <w:bCs/>
          <w:color w:val="000000"/>
          <w:sz w:val="28"/>
          <w:szCs w:val="28"/>
        </w:rPr>
        <w:t xml:space="preserve">(vii) References</w:t>
      </w:r>
    </w:p>
    <w:p>
      <w:pPr>
        <w:keepNext/>
        <w:keepLines/>
        <w:spacing w:after="140" w:line="360"/>
        <w:ind w:left="480" w:hanging="480"/>
        <w:jc w:val="left"/>
      </w:pPr>
      <w:r>
        <w:rPr>
          <w:rFonts w:ascii="Times New Roman" w:eastAsia="Times New Roman"/>
          <w:i w:val="false"/>
          <w:iCs w:val="false"/>
          <w:color w:val="000000"/>
          <w:sz w:val="24"/>
          <w:szCs w:val="24"/>
        </w:rPr>
        <w:t xml:space="preserve">Barrett, M. (2005). </w:t>
      </w:r>
      <w:r>
        <w:rPr>
          <w:rFonts w:ascii="Times New Roman" w:eastAsia="Times New Roman"/>
          <w:i/>
          <w:iCs/>
          <w:color w:val="000000"/>
          <w:sz w:val="24"/>
          <w:szCs w:val="24"/>
        </w:rPr>
        <w:t xml:space="preserve">Accounting and accountability in Māori organisations in Aotearoa New Zealand</w:t>
      </w:r>
      <w:r>
        <w:rPr>
          <w:rFonts w:ascii="Times New Roman" w:eastAsia="Times New Roman"/>
          <w:i w:val="false"/>
          <w:iCs w:val="false"/>
          <w:color w:val="000000"/>
          <w:sz w:val="24"/>
          <w:szCs w:val="24"/>
        </w:rPr>
        <w:t xml:space="preserve"> [Doctoral dissertation, Glasgow Caledonian University].</w:t>
      </w:r>
    </w:p>
    <w:p>
      <w:pPr>
        <w:keepNext/>
        <w:keepLines/>
        <w:spacing w:after="140" w:line="360"/>
        <w:ind w:left="480" w:hanging="480"/>
        <w:jc w:val="left"/>
      </w:pPr>
      <w:r>
        <w:rPr>
          <w:rFonts w:ascii="Times New Roman" w:eastAsia="Times New Roman"/>
          <w:i w:val="false"/>
          <w:iCs w:val="false"/>
          <w:color w:val="000000"/>
          <w:sz w:val="24"/>
          <w:szCs w:val="24"/>
        </w:rPr>
        <w:t xml:space="preserve">Hawkesby, C. (2020, February 13). </w:t>
      </w:r>
      <w:r>
        <w:rPr>
          <w:rFonts w:ascii="Times New Roman" w:eastAsia="Times New Roman"/>
          <w:i/>
          <w:iCs/>
          <w:color w:val="000000"/>
          <w:sz w:val="24"/>
          <w:szCs w:val="24"/>
        </w:rPr>
        <w:t xml:space="preserve">Kaitiakitanga: Te Ao Māori o Te Pūtea Matua – Guardianship: The Māori world view of the Reserve Bank</w:t>
      </w:r>
      <w:r>
        <w:rPr>
          <w:rFonts w:ascii="Times New Roman" w:eastAsia="Times New Roman"/>
          <w:i w:val="false"/>
          <w:iCs w:val="false"/>
          <w:color w:val="000000"/>
          <w:sz w:val="24"/>
          <w:szCs w:val="24"/>
        </w:rPr>
        <w:t xml:space="preserve"> [Speech transcript]. Reserve Bank of New Zealand. https://www.rbnz.govt.nz/hub/publications/speech/2020/speech2020-02-13</w:t>
      </w:r>
    </w:p>
    <w:p>
      <w:pPr>
        <w:keepNext/>
        <w:keepLines/>
        <w:spacing w:after="140" w:line="360"/>
        <w:ind w:left="480" w:hanging="480"/>
        <w:jc w:val="left"/>
      </w:pPr>
      <w:r>
        <w:rPr>
          <w:rFonts w:ascii="Times New Roman" w:eastAsia="Times New Roman"/>
          <w:i w:val="false"/>
          <w:iCs w:val="false"/>
          <w:color w:val="000000"/>
          <w:sz w:val="24"/>
          <w:szCs w:val="24"/>
        </w:rPr>
        <w:t xml:space="preserve">Schulze, H. (2025, March 10). </w:t>
      </w:r>
      <w:r>
        <w:rPr>
          <w:rFonts w:ascii="Times New Roman" w:eastAsia="Times New Roman"/>
          <w:i/>
          <w:iCs/>
          <w:color w:val="000000"/>
          <w:sz w:val="24"/>
          <w:szCs w:val="24"/>
        </w:rPr>
        <w:t xml:space="preserve">Te Ōhanga Māori 2023: The Māori economy 2023</w:t>
      </w:r>
      <w:r>
        <w:rPr>
          <w:rFonts w:ascii="Times New Roman" w:eastAsia="Times New Roman"/>
          <w:i w:val="false"/>
          <w:iCs w:val="false"/>
          <w:color w:val="000000"/>
          <w:sz w:val="24"/>
          <w:szCs w:val="24"/>
        </w:rPr>
        <w:t xml:space="preserve">. Business and Economic Research Limited. https://berl.co.nz/our-mahi/te-ohanga-maori-2023</w:t>
      </w:r>
    </w:p>
    <w:p>
      <w:pPr>
        <w:keepNext/>
        <w:keepLines/>
        <w:spacing w:after="140" w:line="360"/>
        <w:ind w:left="480" w:hanging="480"/>
        <w:jc w:val="left"/>
      </w:pPr>
      <w:r>
        <w:rPr>
          <w:rFonts w:ascii="Times New Roman" w:eastAsia="Times New Roman"/>
          <w:i w:val="false"/>
          <w:iCs w:val="false"/>
          <w:color w:val="000000"/>
          <w:sz w:val="24"/>
          <w:szCs w:val="24"/>
        </w:rPr>
        <w:t xml:space="preserve">Te Tumu Paeroa. (n.d.). </w:t>
      </w:r>
      <w:r>
        <w:rPr>
          <w:rFonts w:ascii="Times New Roman" w:eastAsia="Times New Roman"/>
          <w:i/>
          <w:iCs/>
          <w:color w:val="000000"/>
          <w:sz w:val="24"/>
          <w:szCs w:val="24"/>
        </w:rPr>
        <w:t xml:space="preserve">About us</w:t>
      </w:r>
      <w:r>
        <w:rPr>
          <w:rFonts w:ascii="Times New Roman" w:eastAsia="Times New Roman"/>
          <w:i w:val="false"/>
          <w:iCs w:val="false"/>
          <w:color w:val="000000"/>
          <w:sz w:val="24"/>
          <w:szCs w:val="24"/>
        </w:rPr>
        <w:t xml:space="preserve">. https://www.tetumupaeroa.co.nz/who-we-are/about-us</w:t>
      </w:r>
    </w:p>
    <w:p>
      <w:pPr>
        <w:keepNext w:val="false"/>
        <w:keepLines/>
        <w:spacing w:after="140" w:line="360"/>
        <w:ind w:left="480" w:hanging="480"/>
        <w:jc w:val="left"/>
      </w:pPr>
      <w:r>
        <w:rPr>
          <w:rFonts w:ascii="Times New Roman" w:eastAsia="Times New Roman"/>
          <w:i w:val="false"/>
          <w:iCs w:val="false"/>
          <w:color w:val="000000"/>
          <w:sz w:val="24"/>
          <w:szCs w:val="24"/>
        </w:rPr>
        <w:t xml:space="preserve">Te Ture Whenua Māori Act 1993. (1993). </w:t>
      </w:r>
      <w:r>
        <w:rPr>
          <w:rFonts w:ascii="Times New Roman" w:eastAsia="Times New Roman"/>
          <w:i w:val="false"/>
          <w:iCs w:val="false"/>
          <w:color w:val="000000"/>
          <w:sz w:val="24"/>
          <w:szCs w:val="24"/>
        </w:rPr>
        <w:t xml:space="preserve">New Zealand Legislation. https://www.legislation.govt.nz/act/public/1993/0004/latest/whole.html</w:t>
      </w:r>
    </w:p>
    <w:sectPr>
      <w:footerReference w:type="default" r:id="rId7"/>
      <w:pgSz w:w="11906" w:h="16838" w:orient="portrait"/>
      <w:pgMar w:top="1440" w:right="1417" w:bottom="1440" w:left="1701" w:header="850" w:footer="992"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Times New Roman"/>
        <w:sz w:val="21"/>
        <w:szCs w:val="21"/>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color w:val="000000"/>
        <w:sz w:val="24"/>
        <w:szCs w:val="24"/>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280" w:line="360"/>
    </w:pPr>
    <w:rPr>
      <w:rFonts w:ascii="Times New Roman" w:eastAsia="Times New Roman"/>
      <w:b/>
      <w:bCs/>
      <w:color w:val="000000"/>
      <w:sz w:val="28"/>
      <w:szCs w:val="28"/>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115.112 Assessment 3 - Part B</dc:title>
  <dc:creator>Prasad</dc:creator>
  <dc:description>Requirements (iv), (v), (vi) and (vii) - Word file</dc:description>
  <cp:lastModifiedBy>Un-named</cp:lastModifiedBy>
  <cp:revision>1</cp:revision>
  <dcterms:created xsi:type="dcterms:W3CDTF">2026-09-25T05:21:55.541Z</dcterms:created>
  <dcterms:modified xsi:type="dcterms:W3CDTF">2026-09-25T05:21:55.541Z</dcterms:modified>
</cp:coreProperties>
</file>

<file path=docProps/custom.xml><?xml version="1.0" encoding="utf-8"?>
<Properties xmlns="http://schemas.openxmlformats.org/officeDocument/2006/custom-properties" xmlns:vt="http://schemas.openxmlformats.org/officeDocument/2006/docPropsVTypes"/>
</file>