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line="312"/>
      </w:pPr>
    </w:p>
    <w:p>
      <w:pPr>
        <w:spacing w:after="200" w:line="400" w:lineRule="atLeast"/>
        <w:jc w:val="center"/>
      </w:pPr>
      <w:r>
        <w:rPr>
          <w:rFonts w:ascii="Times New Roman" w:eastAsia="Times New Roman"/>
          <w:color w:val="444444"/>
          <w:sz w:val="26"/>
          <w:szCs w:val="26"/>
        </w:rPr>
        <w:t xml:space="preserve">115.109 Introduction to Business Analytics</w:t>
      </w:r>
    </w:p>
    <w:p>
      <w:pPr>
        <w:spacing w:before="700" w:line="640" w:lineRule="atLeast"/>
        <w:jc w:val="center"/>
      </w:pPr>
      <w:r>
        <w:rPr>
          <w:rFonts w:ascii="Times New Roman" w:eastAsia="Times New Roman"/>
          <w:b/>
          <w:bCs/>
          <w:color w:val="000000"/>
          <w:sz w:val="48"/>
          <w:szCs w:val="48"/>
        </w:rPr>
        <w:t xml:space="preserve">Sustainable Retailing:</w:t>
      </w:r>
    </w:p>
    <w:p>
      <w:pPr>
        <w:spacing w:after="500" w:line="640" w:lineRule="atLeast"/>
        <w:jc w:val="center"/>
      </w:pPr>
      <w:r>
        <w:rPr>
          <w:rFonts w:ascii="Times New Roman" w:eastAsia="Times New Roman"/>
          <w:b/>
          <w:bCs/>
          <w:color w:val="000000"/>
          <w:sz w:val="40"/>
          <w:szCs w:val="40"/>
        </w:rPr>
        <w:t xml:space="preserve">Consumer Sustainability Literacy, Attitudes and Behaviour</w:t>
      </w:r>
    </w:p>
    <w:p>
      <w:pPr>
        <w:spacing w:before="500" w:line="312"/>
        <w:jc w:val="center"/>
      </w:pPr>
      <w:r>
        <w:rPr>
          <w:rFonts w:ascii="Times New Roman" w:eastAsia="Times New Roman"/>
          <w:color w:val="000000"/>
          <w:sz w:val="24"/>
          <w:szCs w:val="24"/>
        </w:rPr>
        <w:t xml:space="preserve">19 October 2026</w:t>
      </w:r>
    </w:p>
    <w:p>
      <w:pPr>
        <w:spacing w:before="300" w:line="312"/>
        <w:jc w:val="center"/>
      </w:pPr>
      <w:r>
        <w:rPr>
          <w:rFonts w:ascii="Times New Roman" w:eastAsia="Times New Roman"/>
          <w:color w:val="000000"/>
          <w:sz w:val="24"/>
          <w:szCs w:val="24"/>
        </w:rPr>
        <w:t>Prepared by: Mishal Joytishna Charan (ID: 26013944) &amp; Savnit Prasad (ID: 26019118) — Group 5</w:t>
      </w:r>
    </w:p>
    <w:p>
      <w:pPr>
        <w:sectPr>
          <w:pgSz w:w="11906" w:h="16838" w:orient="portrait"/>
          <w:pgMar w:top="1440" w:right="1417" w:bottom="1440" w:left="1701" w:header="708" w:footer="708" w:gutter="0"/>
          <w:docGrid w:linePitch="360"/>
        </w:sectPr>
      </w:pPr>
    </w:p>
    <w:p>
      <w:pPr>
        <w:pStyle w:val="Heading1"/>
        <w:keepNext/>
        <w:spacing w:after="140" w:before="300" w:line="312"/>
      </w:pPr>
      <w:bookmarkStart w:id="100001" w:name="_Toc100001"/>
      <w:r>
        <w:rPr>
          <w:rFonts w:ascii="Times New Roman" w:eastAsia="Times New Roman"/>
          <w:b/>
          <w:bCs/>
          <w:color w:val="000000"/>
          <w:sz w:val="30"/>
          <w:szCs w:val="30"/>
        </w:rPr>
        <w:t xml:space="preserve">Client Brief</w:t>
      </w:r>
      <w:bookmarkEnd w:id="100001"/>
    </w:p>
    <w:p>
      <w:pPr>
        <w:spacing w:after="160" w:line="312"/>
        <w:jc w:val="both"/>
      </w:pPr>
      <w:r>
        <w:rPr>
          <w:rFonts w:ascii="Times New Roman" w:eastAsia="Times New Roman"/>
          <w:color w:val="000000"/>
          <w:sz w:val="24"/>
          <w:szCs w:val="24"/>
        </w:rPr>
        <w:t xml:space="preserve">This report was commissioned to answer three questions about New Zealand consumers for a large retailer:</w:t>
      </w:r>
    </w:p>
    <w:p>
      <w:pPr>
        <w:pStyle w:val="ListParagraph"/>
        <w:numPr>
          <w:ilvl w:val="0"/>
          <w:numId w:val="2"/>
        </w:numPr>
        <w:spacing w:after="80" w:line="312"/>
        <w:jc w:val="left"/>
      </w:pPr>
      <w:r>
        <w:rPr>
          <w:rFonts w:ascii="Times New Roman" w:eastAsia="Times New Roman"/>
          <w:color w:val="000000"/>
          <w:sz w:val="24"/>
          <w:szCs w:val="24"/>
        </w:rPr>
        <w:t xml:space="preserve">How does self-reported sustainability literacy vary across subgroups of survey respondents (Task 1, Section 3)?</w:t>
      </w:r>
    </w:p>
    <w:p>
      <w:pPr>
        <w:pStyle w:val="ListParagraph"/>
        <w:numPr>
          <w:ilvl w:val="0"/>
          <w:numId w:val="2"/>
        </w:numPr>
        <w:spacing w:after="80" w:line="312"/>
        <w:jc w:val="left"/>
      </w:pPr>
      <w:r>
        <w:rPr>
          <w:rFonts w:ascii="Times New Roman" w:eastAsia="Times New Roman"/>
          <w:color w:val="000000"/>
          <w:sz w:val="24"/>
          <w:szCs w:val="24"/>
        </w:rPr>
        <w:t xml:space="preserve">How does sustainability literacy interact with measures of sustainability attitudes and behaviour (Task 2, Section 4)?</w:t>
      </w:r>
    </w:p>
    <w:p>
      <w:pPr>
        <w:pStyle w:val="ListParagraph"/>
        <w:numPr>
          <w:ilvl w:val="0"/>
          <w:numId w:val="2"/>
        </w:numPr>
        <w:spacing w:after="80" w:line="312"/>
        <w:jc w:val="left"/>
      </w:pPr>
      <w:r>
        <w:rPr>
          <w:rFonts w:ascii="Times New Roman" w:eastAsia="Times New Roman"/>
          <w:color w:val="000000"/>
          <w:sz w:val="24"/>
          <w:szCs w:val="24"/>
        </w:rPr>
        <w:t xml:space="preserve">What should a large New Zealand retailer do about these literacy levels, attitudes and behaviours (Task 3, Section 6)?</w:t>
      </w:r>
    </w:p>
    <w:p>
      <w:pPr>
        <w:spacing w:after="160" w:line="312"/>
        <w:jc w:val="both"/>
      </w:pPr>
      <w:r>
        <w:rPr>
          <w:rFonts w:ascii="Times New Roman" w:eastAsia="Times New Roman"/>
          <w:color w:val="000000"/>
          <w:sz w:val="24"/>
          <w:szCs w:val="24"/>
        </w:rPr>
        <w:t>Countdown (Woolworths New Zealand) is used as the client retailer, one of the two retailers most frequently associated with sustainability by survey respondents, alongside The Warehouse.</w:t>
      </w:r>
    </w:p>
    <w:p>
      <w:pPr>
        <w:pStyle w:val="Heading1"/>
        <w:keepNext/>
        <w:spacing w:after="140" w:before="300" w:line="312"/>
      </w:pPr>
      <w:bookmarkStart w:id="100000" w:name="_Toc100000"/>
      <w:r>
        <w:rPr>
          <w:rFonts w:ascii="Times New Roman" w:eastAsia="Times New Roman"/>
          <w:b/>
          <w:bCs/>
          <w:color w:val="000000"/>
          <w:sz w:val="30"/>
          <w:szCs w:val="30"/>
        </w:rPr>
        <w:t xml:space="preserve">Executive Summary</w:t>
      </w:r>
      <w:bookmarkEnd w:id="100000"/>
    </w:p>
    <w:p>
      <w:pPr>
        <w:spacing w:after="160" w:line="312"/>
        <w:jc w:val="both"/>
      </w:pPr>
      <w:r>
        <w:rPr>
          <w:rFonts w:ascii="Times New Roman" w:eastAsia="Times New Roman"/>
          <w:color w:val="000000"/>
          <w:sz w:val="24"/>
          <w:szCs w:val="24"/>
        </w:rPr>
        <w:t>New Zealand retailers face growing consumer expectations to operate sustainably. This report uses survey data from 1,042 New Zealanders collected in Perceptive’s July 2020 Omnibus survey (Perceptive, 2020a) to assess consumers’ self-reported sustainability literacy, to examine how literacy relates to sustainability attitudes and behaviour, and to recommend actions for Countdown, one of the two retailers respondents most associated with sustainability.</w:t>
      </w:r>
    </w:p>
    <w:p>
      <w:pPr>
        <w:spacing w:after="160" w:line="312"/>
        <w:jc w:val="both"/>
      </w:pPr>
      <w:r>
        <w:rPr>
          <w:rFonts w:ascii="Times New Roman" w:eastAsia="Times New Roman"/>
          <w:color w:val="000000"/>
          <w:sz w:val="24"/>
          <w:szCs w:val="24"/>
        </w:rPr>
        <w:t xml:space="preserve">Self-reported literacy is moderate (3.47 on a 1-5 scale) and varies across subgroups: females score slightly higher than males, consumers aged 18-34 score higher than those aged 55 and over, while income differences are small. Literacy is strongly linked to attitudes and behaviour. Consumers with higher literacy rate every retail sustainability domain as more important, are twice as likely to buy sustainable products often (71% versus 36%), and are more than twice as likely to pay a premium for them (71% versus 22%).</w:t>
      </w:r>
    </w:p>
    <w:p>
      <w:pPr>
        <w:spacing w:after="160" w:line="312"/>
        <w:jc w:val="both"/>
      </w:pPr>
      <w:r>
        <w:rPr>
          <w:rFonts w:ascii="Times New Roman" w:eastAsia="Times New Roman"/>
          <w:color w:val="000000"/>
          <w:sz w:val="24"/>
          <w:szCs w:val="24"/>
        </w:rPr>
        <w:t xml:space="preserve">Five recommendations are made for Countdown, centred on building customer literacy, keeping sustainable products affordable, and providing infrastructure such as packaging take-back that makes sustainable behaviour easy for all customers.</w:t>
      </w:r>
    </w:p>
    <w:p>
      <w:pPr>
        <w:pStyle w:val="Heading1"/>
        <w:keepNext/>
        <w:spacing w:after="140" w:before="300" w:line="312"/>
      </w:pPr>
      <w:bookmarkStart w:id="100002" w:name="_Toc100002"/>
      <w:r>
        <w:rPr>
          <w:rFonts w:ascii="Times New Roman" w:eastAsia="Times New Roman"/>
          <w:b/>
          <w:bCs/>
          <w:color w:val="000000"/>
          <w:sz w:val="30"/>
          <w:szCs w:val="30"/>
        </w:rPr>
        <w:t xml:space="preserve">1.0 Introduction</w:t>
      </w:r>
      <w:bookmarkEnd w:id="100002"/>
    </w:p>
    <w:p>
      <w:pPr>
        <w:spacing w:after="160" w:line="312"/>
        <w:jc w:val="both"/>
      </w:pPr>
      <w:r>
        <w:rPr>
          <w:rFonts w:ascii="Times New Roman" w:eastAsia="Times New Roman"/>
          <w:color w:val="000000"/>
          <w:sz w:val="24"/>
          <w:szCs w:val="24"/>
        </w:rPr>
        <w:t>Sustainability has moved from a peripheral concern to a central issue for New Zealand retailers, driven by regulation such as the 2019 plastic bag ban and by customers who increasingly scrutinise the environmental and social record of the brands they buy from (Retail NZ, 2019). Sustainable retailing now spans sourcing, packaging, store operations and community engagement (Vozza, 2018). For a retailer, the commercial question is whether customers understand, care about and act on sustainability enough for it to shape where they shop and what they pay.</w:t>
      </w:r>
    </w:p>
    <w:p>
      <w:pPr>
        <w:spacing w:after="160" w:line="312"/>
        <w:jc w:val="both"/>
      </w:pPr>
      <w:r>
        <w:rPr>
          <w:rFonts w:ascii="Times New Roman" w:eastAsia="Times New Roman"/>
          <w:color w:val="000000"/>
          <w:sz w:val="24"/>
          <w:szCs w:val="24"/>
        </w:rPr>
        <w:t>This report addresses that question using data from Perceptive’s July 2020 Omnibus survey of 1,042 New Zealanders, weighted to match the national population (Perceptive, 2020a, 2020b). Respondents rated nine statements measuring sustainability literacy, the importance of 25 retailer sustainability practices grouped into seven domains, their purchase behaviour and willingness to pay. Composites were compared across subgroups using t-tests and one-way analysis of variance (ANOVA).</w:t>
      </w:r>
    </w:p>
    <w:p>
      <w:pPr>
        <w:pStyle w:val="Heading1"/>
        <w:keepNext/>
        <w:spacing w:after="140" w:before="300" w:line="312"/>
      </w:pPr>
      <w:bookmarkStart w:id="100003" w:name="_Toc100003"/>
      <w:r>
        <w:rPr>
          <w:rFonts w:ascii="Times New Roman" w:eastAsia="Times New Roman"/>
          <w:b/>
          <w:bCs/>
          <w:color w:val="000000"/>
          <w:sz w:val="30"/>
          <w:szCs w:val="30"/>
        </w:rPr>
        <w:t>2.0 Literature Review: Consumer Attitudes to Sustainability</w:t>
      </w:r>
      <w:bookmarkEnd w:id="100003"/>
    </w:p>
    <w:p>
      <w:pPr>
        <w:spacing w:after="160" w:line="312"/>
        <w:jc w:val="both"/>
      </w:pPr>
      <w:r>
        <w:rPr>
          <w:rFonts w:ascii="Times New Roman" w:eastAsia="Times New Roman"/>
          <w:color w:val="000000"/>
          <w:sz w:val="24"/>
          <w:szCs w:val="24"/>
        </w:rPr>
        <w:t>Academic interest in sustainable retailing has grown rapidly. Jones et al. (2005) argued that retailers sit between producers and consumers and so carry particular responsibility for promoting sustainable consumption, while Ruiz-Real et al. (2018) document the global expansion of research linking sustainability with retail strategy.</w:t>
      </w:r>
    </w:p>
    <w:p>
      <w:pPr>
        <w:spacing w:after="160" w:line="312"/>
        <w:jc w:val="both"/>
      </w:pPr>
      <w:r>
        <w:rPr>
          <w:rFonts w:ascii="Times New Roman" w:eastAsia="Times New Roman"/>
          <w:color w:val="000000"/>
          <w:sz w:val="24"/>
          <w:szCs w:val="24"/>
        </w:rPr>
        <w:t>A consistent theme is that consumer knowledge is a precondition for sustainable purchasing: Meise et al. (2014) show that sustainability-related product information shapes value perceptions only when it is noticed and understood. Moser (2016) found attitudes alone translate weakly into German consumers’ purchases, with knowledge a moderating factor, and Wei et al. (2018) report that willingness to pay more for green products depends on consumer characteristics such as involvement.</w:t>
      </w:r>
    </w:p>
    <w:p>
      <w:pPr>
        <w:spacing w:after="160" w:line="312"/>
        <w:jc w:val="both"/>
      </w:pPr>
      <w:r>
        <w:rPr>
          <w:rFonts w:ascii="Times New Roman" w:eastAsia="Times New Roman"/>
          <w:color w:val="000000"/>
          <w:sz w:val="24"/>
          <w:szCs w:val="24"/>
        </w:rPr>
        <w:t>Retailers themselves shape behaviour. Tsarenko et al. (2013) show that retailer initiatives and peer influences drive environmentally conscious consumption, and Kauppinen-Räisänen et al. (2014) show that environmental cues in servicescapes convey conscientiousness to shoppers. Format innovations such as package-free shopping (Fuentes et al., 2019) and the supermarket of the future (van Giesen &amp; Leenheer, 2019) embed sustainability in the shopping experience itself. Overall, literacy, attitudes and behaviour appear linked but unevenly distributed, leaving retailers an active role in closing the gap.</w:t>
      </w:r>
    </w:p>
    <w:p>
      <w:pPr>
        <w:pStyle w:val="Heading1"/>
        <w:keepNext/>
        <w:spacing w:after="140" w:before="300" w:line="312"/>
      </w:pPr>
      <w:bookmarkStart w:id="100004" w:name="_Toc100004"/>
      <w:r>
        <w:rPr>
          <w:rFonts w:ascii="Times New Roman" w:eastAsia="Times New Roman"/>
          <w:b/>
          <w:bCs/>
          <w:color w:val="000000"/>
          <w:sz w:val="30"/>
          <w:szCs w:val="30"/>
        </w:rPr>
        <w:t xml:space="preserve">3.0 Sustainability Literacy Levels</w:t>
      </w:r>
      <w:bookmarkEnd w:id="100004"/>
    </w:p>
    <w:p>
      <w:pPr>
        <w:spacing w:after="160" w:line="312"/>
        <w:jc w:val="both"/>
      </w:pPr>
      <w:r>
        <w:rPr>
          <w:rFonts w:ascii="Times New Roman" w:eastAsia="Times New Roman"/>
          <w:color w:val="000000"/>
          <w:sz w:val="24"/>
          <w:szCs w:val="24"/>
        </w:rPr>
        <w:t>Respondents rated nine 1-5 agreement statements covering sustainability knowledge and perceived ability to contribute to a sustainable future. The literacy composite is each respondent’s mean across the nine items. Overall literacy is moderate: 3.47 (SD = 0.71), just above the scale midpoint, and the three knowledge items alone average only 2.93, indicating many New Zealanders feel under-informed.</w:t>
      </w:r>
    </w:p>
    <w:p>
      <w:pPr>
        <w:spacing w:after="160" w:line="312"/>
        <w:jc w:val="both"/>
      </w:pPr>
      <w:r>
        <w:rPr>
          <w:rFonts w:ascii="Times New Roman" w:eastAsia="Times New Roman"/>
          <w:color w:val="000000"/>
          <w:sz w:val="24"/>
          <w:szCs w:val="24"/>
        </w:rPr>
        <w:t>Table 1 and Figure 1 summarise literacy across subgroups. Female respondents report slightly higher literacy (3.51) than males (3.41), a difference that is statistically significant though small (t(1038) = -2.36, p = .019). Age shows a clearer pattern: consumers aged 18-34 average 3.59 against 3.37 for those aged 55 and over (F(2,1038) = 8.50, p &lt; .001). Income differences are weak: nominally significant (F(2,862) = 3.75, p = .024) but with no monotonic pattern, the middle band ($50,001-$100,000) highest and the upper barely above the lower.</w:t>
      </w:r>
    </w:p>
    <w:p>
      <w:pPr>
        <w:spacing w:after="160" w:line="312"/>
        <w:jc w:val="both"/>
      </w:pPr>
      <w:r>
        <w:rPr>
          <w:rFonts w:ascii="Times New Roman" w:eastAsia="Times New Roman"/>
          <w:color w:val="000000"/>
          <w:sz w:val="24"/>
          <w:szCs w:val="24"/>
        </w:rPr>
        <w:t>In short, literacy is highest among younger consumers and women, but is unrelated to household resources; full outputs appear in Appendices A and B.</w:t>
      </w:r>
    </w:p>
    <w:p>
      <w:pPr>
        <w:keepNext/>
        <w:spacing w:after="80" w:before="160" w:line="312"/>
        <w:jc w:val="center"/>
      </w:pPr>
      <w:r>
        <w:rPr>
          <w:rFonts w:ascii="Times New Roman" w:eastAsia="Times New Roman"/>
          <w:b/>
          <w:bCs/>
          <w:color w:val="000000"/>
          <w:sz w:val="21"/>
          <w:szCs w:val="21"/>
        </w:rPr>
        <w:t>Table 1: Sustainability literacy by subgroup (1-5 scale)</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tblGrid>
      <w:tr>
        <w:trPr>
          <w:cantSplit/>
          <w:tblHeader/>
        </w:trPr>
        <w:tc>
          <w:tcPr>
            <w:tcW w:type="pct" w:w="34%"/>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Subgroup</w:t>
            </w:r>
          </w:p>
        </w:tc>
        <w:tc>
          <w:tcPr>
            <w:tcW w:type="pct" w:w="10%"/>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n</w:t>
            </w:r>
          </w:p>
        </w:tc>
        <w:tc>
          <w:tcPr>
            <w:tcW w:type="pct" w:w="12%"/>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Mean</w:t>
            </w:r>
          </w:p>
        </w:tc>
        <w:tc>
          <w:tcPr>
            <w:tcW w:type="pct" w:w="12%"/>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SD</w:t>
            </w:r>
          </w:p>
        </w:tc>
      </w:tr>
      <w:tr>
        <w:trPr>
          <w:cantSplit/>
        </w:trPr>
        <w:tc>
          <w:tcPr>
            <w:gridSpan w:val="4"/>
            <w:shd w:fill="E4EBF2" w:val="clear"/>
            <w:tcMar>
              <w:top w:type="dxa" w:w="50"/>
              <w:left w:type="dxa" w:w="110"/>
              <w:bottom w:type="dxa" w:w="50"/>
              <w:right w:type="dxa" w:w="110"/>
            </w:tcMar>
          </w:tcPr>
          <w:p>
            <w:pPr>
              <w:spacing w:line="276"/>
            </w:pPr>
            <w:r>
              <w:rPr>
                <w:rFonts w:ascii="Times New Roman" w:eastAsia="Times New Roman"/>
                <w:b/>
                <w:bCs/>
                <w:color w:val="000000"/>
                <w:sz w:val="21"/>
                <w:szCs w:val="21"/>
              </w:rPr>
              <w:t xml:space="preserve">Gender</w:t>
            </w:r>
          </w:p>
        </w:tc>
      </w:tr>
      <w:tr>
        <w:trPr>
          <w:cantSplit/>
        </w:trPr>
        <w:tc>
          <w:tcPr>
            <w:tcW w:type="pct" w:w="3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Female</w:t>
            </w:r>
          </w:p>
        </w:tc>
        <w:tc>
          <w:tcPr>
            <w:tcW w:type="pct" w:w="1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591</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3.51</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0.68</w:t>
            </w:r>
          </w:p>
        </w:tc>
      </w:tr>
      <w:tr>
        <w:trPr>
          <w:cantSplit/>
        </w:trPr>
        <w:tc>
          <w:tcPr>
            <w:tcW w:type="pct" w:w="3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Male</w:t>
            </w:r>
          </w:p>
        </w:tc>
        <w:tc>
          <w:tcPr>
            <w:tcW w:type="pct" w:w="1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449</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3.41</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0.75</w:t>
            </w:r>
          </w:p>
        </w:tc>
      </w:tr>
      <w:tr>
        <w:trPr>
          <w:cantSplit/>
        </w:trPr>
        <w:tc>
          <w:tcPr>
            <w:gridSpan w:val="4"/>
            <w:shd w:fill="E4EBF2" w:val="clear"/>
            <w:tcMar>
              <w:top w:type="dxa" w:w="50"/>
              <w:left w:type="dxa" w:w="110"/>
              <w:bottom w:type="dxa" w:w="50"/>
              <w:right w:type="dxa" w:w="110"/>
            </w:tcMar>
          </w:tcPr>
          <w:p>
            <w:pPr>
              <w:spacing w:line="276"/>
            </w:pPr>
            <w:r>
              <w:rPr>
                <w:rFonts w:ascii="Times New Roman" w:eastAsia="Times New Roman"/>
                <w:b/>
                <w:bCs/>
                <w:color w:val="000000"/>
                <w:sz w:val="21"/>
                <w:szCs w:val="21"/>
              </w:rPr>
              <w:t xml:space="preserve">Age group</w:t>
            </w:r>
          </w:p>
        </w:tc>
      </w:tr>
      <w:tr>
        <w:trPr>
          <w:cantSplit/>
        </w:trPr>
        <w:tc>
          <w:tcPr>
            <w:tcW w:type="pct" w:w="3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18-34</w:t>
            </w:r>
          </w:p>
        </w:tc>
        <w:tc>
          <w:tcPr>
            <w:tcW w:type="pct" w:w="1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334</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3.59</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0.71</w:t>
            </w:r>
          </w:p>
        </w:tc>
      </w:tr>
      <w:tr>
        <w:trPr>
          <w:cantSplit/>
        </w:trPr>
        <w:tc>
          <w:tcPr>
            <w:tcW w:type="pct" w:w="3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35-54</w:t>
            </w:r>
          </w:p>
        </w:tc>
        <w:tc>
          <w:tcPr>
            <w:tcW w:type="pct" w:w="1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362</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3.44</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0.72</w:t>
            </w:r>
          </w:p>
        </w:tc>
      </w:tr>
      <w:tr>
        <w:trPr>
          <w:cantSplit/>
        </w:trPr>
        <w:tc>
          <w:tcPr>
            <w:tcW w:type="pct" w:w="3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55+</w:t>
            </w:r>
          </w:p>
        </w:tc>
        <w:tc>
          <w:tcPr>
            <w:tcW w:type="pct" w:w="1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345</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3.37</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0.69</w:t>
            </w:r>
          </w:p>
        </w:tc>
      </w:tr>
      <w:tr>
        <w:trPr>
          <w:cantSplit/>
        </w:trPr>
        <w:tc>
          <w:tcPr>
            <w:gridSpan w:val="4"/>
            <w:shd w:fill="E4EBF2" w:val="clear"/>
            <w:tcMar>
              <w:top w:type="dxa" w:w="50"/>
              <w:left w:type="dxa" w:w="110"/>
              <w:bottom w:type="dxa" w:w="50"/>
              <w:right w:type="dxa" w:w="110"/>
            </w:tcMar>
          </w:tcPr>
          <w:p>
            <w:pPr>
              <w:spacing w:line="276"/>
            </w:pPr>
            <w:r>
              <w:rPr>
                <w:rFonts w:ascii="Times New Roman" w:eastAsia="Times New Roman"/>
                <w:b/>
                <w:bCs/>
                <w:color w:val="000000"/>
                <w:sz w:val="21"/>
                <w:szCs w:val="21"/>
              </w:rPr>
              <w:t xml:space="preserve">Household income</w:t>
            </w:r>
          </w:p>
        </w:tc>
      </w:tr>
      <w:tr>
        <w:trPr>
          <w:cantSplit/>
        </w:trPr>
        <w:tc>
          <w:tcPr>
            <w:tcW w:type="pct" w:w="3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Lower (up to $50,000)</w:t>
            </w:r>
          </w:p>
        </w:tc>
        <w:tc>
          <w:tcPr>
            <w:tcW w:type="pct" w:w="1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283</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3.43</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0.67</w:t>
            </w:r>
          </w:p>
        </w:tc>
      </w:tr>
      <w:tr>
        <w:trPr>
          <w:cantSplit/>
        </w:trPr>
        <w:tc>
          <w:tcPr>
            <w:tcW w:type="pct" w:w="3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Middle ($50,001-$100,000)</w:t>
            </w:r>
          </w:p>
        </w:tc>
        <w:tc>
          <w:tcPr>
            <w:tcW w:type="pct" w:w="1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351</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3.58</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0.72</w:t>
            </w:r>
          </w:p>
        </w:tc>
      </w:tr>
      <w:tr>
        <w:trPr>
          <w:cantSplit/>
        </w:trPr>
        <w:tc>
          <w:tcPr>
            <w:tcW w:type="pct" w:w="3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Upper (over $100,000)</w:t>
            </w:r>
          </w:p>
        </w:tc>
        <w:tc>
          <w:tcPr>
            <w:tcW w:type="pct" w:w="1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231</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3.46</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0.74</w:t>
            </w:r>
          </w:p>
        </w:tc>
      </w:tr>
    </w:tbl>
    <w:p>
      <w:pPr>
        <w:spacing w:after="160" w:before="60" w:line="276"/>
      </w:pPr>
      <w:r>
        <w:rPr>
          <w:rFonts w:ascii="Times New Roman" w:eastAsia="Times New Roman"/>
          <w:i/>
          <w:iCs/>
          <w:color w:val="444444"/>
          <w:sz w:val="19"/>
          <w:szCs w:val="19"/>
        </w:rPr>
        <w:t>Note: t-test compares females with males; ANOVAs compare groups within each block; “rather not say” income excluded.</w:t>
      </w:r>
    </w:p>
    <w:p>
      <w:pPr>
        <w:keepNext/>
        <w:spacing w:after="40" w:before="160"/>
        <w:jc w:val="center"/>
      </w:pPr>
      <w:r>
        <w:drawing>
          <wp:inline distT="0" distB="0" distL="0" distR="0">
            <wp:extent cx="4953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895475"/>
                    </a:xfrm>
                    <a:prstGeom prst="rect">
                      <a:avLst/>
                    </a:prstGeom>
                  </pic:spPr>
                </pic:pic>
              </a:graphicData>
            </a:graphic>
          </wp:inline>
        </w:drawing>
      </w:r>
    </w:p>
    <w:p>
      <w:pPr>
        <w:spacing w:after="200" w:line="276"/>
        <w:jc w:val="center"/>
      </w:pPr>
      <w:r>
        <w:rPr>
          <w:rFonts w:ascii="Times New Roman" w:eastAsia="Times New Roman"/>
          <w:i/>
          <w:iCs/>
          <w:color w:val="000000"/>
          <w:sz w:val="21"/>
          <w:szCs w:val="21"/>
        </w:rPr>
        <w:t>Figure 1: Mean literacy by gender, age and income</w:t>
      </w:r>
    </w:p>
    <w:p>
      <w:pPr>
        <w:spacing w:after="200" w:line="276"/>
        <w:jc w:val="center"/>
      </w:pPr>
      <w:r>
        <w:rPr>
          <w:rFonts w:ascii="Times New Roman" w:eastAsia="Times New Roman"/>
          <w:iCs/>
          <w:color w:val="000000"/>
          <w:sz w:val="18"/>
          <w:szCs w:val="21"/>
        </w:rPr>
        <w:t>Source: Perceptive (2020a).</w:t>
      </w:r>
    </w:p>
    <w:p>
      <w:pPr>
        <w:pStyle w:val="Heading1"/>
        <w:keepNext/>
        <w:spacing w:after="140" w:before="300" w:line="312"/>
      </w:pPr>
      <w:bookmarkStart w:id="100005" w:name="_Toc100005"/>
      <w:r>
        <w:rPr>
          <w:rFonts w:ascii="Times New Roman" w:eastAsia="Times New Roman"/>
          <w:b/>
          <w:bCs/>
          <w:color w:val="000000"/>
          <w:sz w:val="30"/>
          <w:szCs w:val="30"/>
        </w:rPr>
        <w:t xml:space="preserve">4.0 Literacy, Attitudes and Behaviour</w:t>
      </w:r>
      <w:bookmarkEnd w:id="100005"/>
    </w:p>
    <w:p>
      <w:pPr>
        <w:spacing w:after="160" w:line="312"/>
        <w:jc w:val="both"/>
      </w:pPr>
      <w:r>
        <w:rPr>
          <w:rFonts w:ascii="Times New Roman" w:eastAsia="Times New Roman"/>
          <w:color w:val="000000"/>
          <w:sz w:val="24"/>
          <w:szCs w:val="24"/>
        </w:rPr>
        <w:t>Respondents were split at the overall literacy mean (3.466) into higher- (n = 511) and lower-literacy (n = 531) groups; mean ratings were compared using pooled two-sample t-tests.</w:t>
      </w:r>
    </w:p>
    <w:p>
      <w:pPr>
        <w:spacing w:after="160" w:line="312"/>
        <w:jc w:val="both"/>
      </w:pPr>
      <w:r>
        <w:rPr>
          <w:rFonts w:ascii="Times New Roman" w:eastAsia="Times New Roman"/>
          <w:color w:val="000000"/>
          <w:sz w:val="24"/>
          <w:szCs w:val="24"/>
        </w:rPr>
        <w:t>Table 2 and Figure 2 show strikingly consistent results. Consumers with higher literacy rate all seven retail sustainability domains as more important, every difference significant at p &lt; .001. The gap is widest for the customer domain (4.37 versus 3.67) — opportunities to act, traceability and ethical products — followed by the societal domain (3.85 versus 3.19). The employee domain is rated most important by both groups (4.52 and 4.11).</w:t>
      </w:r>
    </w:p>
    <w:p>
      <w:pPr>
        <w:keepNext/>
        <w:spacing w:after="80" w:before="160" w:line="312"/>
        <w:jc w:val="center"/>
      </w:pPr>
      <w:r>
        <w:rPr>
          <w:rFonts w:ascii="Times New Roman" w:eastAsia="Times New Roman"/>
          <w:b/>
          <w:bCs/>
          <w:color w:val="000000"/>
          <w:sz w:val="21"/>
          <w:szCs w:val="21"/>
        </w:rPr>
        <w:t>Table 2: Importance, behaviour and attitude ratings by literacy group (1-5 scale)</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gridCol w:w="100"/>
      </w:tblGrid>
      <w:tr>
        <w:trPr>
          <w:cantSplit/>
          <w:tblHeader/>
        </w:trPr>
        <w:tc>
          <w:tcPr>
            <w:tcW w:type="pct" w:w="36%"/>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Measure</w:t>
            </w:r>
          </w:p>
        </w:tc>
        <w:tc>
          <w:tcPr>
            <w:tcW w:type="pct" w:w="18%"/>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Higher literacy
mean (SD)</w:t>
            </w:r>
          </w:p>
        </w:tc>
        <w:tc>
          <w:tcPr>
            <w:tcW w:type="pct" w:w="18%"/>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Lower literacy
mean (SD)</w:t>
            </w:r>
          </w:p>
        </w:tc>
        <w:tc>
          <w:tcPr>
            <w:tcW w:type="pct" w:w="13%"/>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t-statistic</w:t>
            </w:r>
          </w:p>
        </w:tc>
        <w:tc>
          <w:tcPr>
            <w:tcW w:type="pct" w:w="1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p-value</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Societal domain</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3.85 (0.63)</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3.19 (0.70)</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15.94</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Environmental domain</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4.47 (0.54)</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3.86 (0.78)</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14.70</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Supplier domain</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4.30 (0.61)</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3.74 (0.74)</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13.36</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Shareholder domain</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4.32 (0.58)</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3.80 (0.73)</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12.67</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Community domain</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4.20 (0.59)</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3.62 (0.71)</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14.05</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Employee domain</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4.52 (0.58)</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4.11 (0.79)</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9.38</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Customer domain</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4.37 (0.54)</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3.67 (0.73)</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17.49</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How often buys sustainable products</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3.95 (0.83)</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3.14 (1.09)</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11.54</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Likelihood of paying more</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3.76 (0.87)</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2.86 (0.93)</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16.10</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Willing to spend more on sustainable products</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3.74 (0.88)</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2.81 (0.93)</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16.59</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Packaging take-back</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4.13 (0.93)</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3.48 (1.06)</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10.65</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r>
        <w:trPr>
          <w:cantSplit/>
          <w:tblHeader w:val="false"/>
        </w:trPr>
        <w:tc>
          <w:tcPr>
            <w:tcW w:type="pct" w:w="3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Bottle deposit scheme</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4.48 (0.70)</w:t>
            </w:r>
          </w:p>
        </w:tc>
        <w:tc>
          <w:tcPr>
            <w:tcW w:type="pct" w:w="18%"/>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3.97 (1.07)</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9.11</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.001</w:t>
            </w:r>
          </w:p>
        </w:tc>
      </w:tr>
    </w:tbl>
    <w:p>
      <w:pPr>
        <w:spacing w:after="160" w:before="60" w:line="276"/>
      </w:pPr>
      <w:r>
        <w:rPr>
          <w:rFonts w:ascii="Times New Roman" w:eastAsia="Times New Roman"/>
          <w:i/>
          <w:iCs/>
          <w:color w:val="444444"/>
          <w:sz w:val="19"/>
          <w:szCs w:val="19"/>
        </w:rPr>
        <w:t>Note: higher n = 511, lower n = 531; “how often buys” excludes 301 “don’t know” responses (n = 429 and 312; df = 739, otherwise 1,040).</w:t>
      </w:r>
    </w:p>
    <w:p>
      <w:pPr>
        <w:spacing w:after="160" w:line="312"/>
        <w:jc w:val="both"/>
      </w:pPr>
      <w:r>
        <w:rPr>
          <w:rFonts w:ascii="Times New Roman" w:eastAsia="Times New Roman"/>
          <w:color w:val="000000"/>
          <w:sz w:val="24"/>
          <w:szCs w:val="24"/>
        </w:rPr>
        <w:t>Behaviour shows the same pattern. Higher-literacy respondents buy sustainable products more often (3.95 versus 3.14, t(739) = 11.54, p &lt; .001): 71% buy often against 36%. They are also far more willing to pay a premium (3.76 versus 2.86; 71% versus 22%), and more supportive of packaging take-back (4.13 versus 3.48) and bottle deposits (4.48 versus 3.97).</w:t>
      </w:r>
    </w:p>
    <w:p>
      <w:pPr>
        <w:keepNext/>
        <w:spacing w:after="40" w:before="160"/>
        <w:jc w:val="center"/>
      </w:pPr>
      <w:r>
        <w:drawing>
          <wp:inline distT="0" distB="0" distL="0" distR="0">
            <wp:extent cx="4953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066925"/>
                    </a:xfrm>
                    <a:prstGeom prst="rect">
                      <a:avLst/>
                    </a:prstGeom>
                  </pic:spPr>
                </pic:pic>
              </a:graphicData>
            </a:graphic>
          </wp:inline>
        </w:drawing>
      </w:r>
    </w:p>
    <w:p>
      <w:pPr>
        <w:spacing w:after="200" w:line="276"/>
        <w:jc w:val="center"/>
      </w:pPr>
      <w:r>
        <w:rPr>
          <w:rFonts w:ascii="Times New Roman" w:eastAsia="Times New Roman"/>
          <w:i/>
          <w:iCs/>
          <w:color w:val="000000"/>
          <w:sz w:val="21"/>
          <w:szCs w:val="21"/>
        </w:rPr>
        <w:t>Figure 2: Domain importance and behaviour by literacy group</w:t>
      </w:r>
    </w:p>
    <w:p>
      <w:pPr>
        <w:spacing w:after="200" w:line="276"/>
        <w:jc w:val="center"/>
      </w:pPr>
      <w:r>
        <w:rPr>
          <w:rFonts w:ascii="Times New Roman" w:eastAsia="Times New Roman"/>
          <w:iCs/>
          <w:color w:val="000000"/>
          <w:sz w:val="18"/>
          <w:szCs w:val="21"/>
        </w:rPr>
        <w:t>Source: Perceptive (2020a).</w:t>
      </w:r>
    </w:p>
    <w:p>
      <w:pPr>
        <w:spacing w:after="160" w:line="312"/>
        <w:jc w:val="both"/>
      </w:pPr>
      <w:r>
        <w:rPr>
          <w:rFonts w:ascii="Times New Roman" w:eastAsia="Times New Roman"/>
          <w:color w:val="000000"/>
          <w:sz w:val="24"/>
          <w:szCs w:val="24"/>
        </w:rPr>
        <w:t>The association also runs from behaviour to attitudes: customer domain importance rises from 3.19 among those who never buy sustainable products to 4.38 among the most frequent buyers (F(4,736) = 23.71, p &lt; .001; Appendix B), consistent with knowledge and engagement reinforcing each other (Meise et al., 2014; Moser, 2016). As cross-sectional data, these results establish association, not causation.</w:t>
      </w:r>
    </w:p>
    <w:p>
      <w:pPr>
        <w:pStyle w:val="Heading1"/>
        <w:keepNext/>
        <w:spacing w:after="140" w:before="300" w:line="312"/>
      </w:pPr>
      <w:bookmarkStart w:id="100006" w:name="_Toc100006"/>
      <w:r>
        <w:rPr>
          <w:rFonts w:ascii="Times New Roman" w:eastAsia="Times New Roman"/>
          <w:b/>
          <w:bCs/>
          <w:color w:val="000000"/>
          <w:sz w:val="30"/>
          <w:szCs w:val="30"/>
        </w:rPr>
        <w:t xml:space="preserve">5.0 Data Quality Considerations</w:t>
      </w:r>
      <w:bookmarkEnd w:id="100006"/>
    </w:p>
    <w:p>
      <w:pPr>
        <w:spacing w:after="160" w:line="312"/>
        <w:jc w:val="both"/>
      </w:pPr>
      <w:r>
        <w:rPr>
          <w:rFonts w:ascii="Times New Roman" w:eastAsia="Times New Roman"/>
          <w:color w:val="000000"/>
          <w:sz w:val="24"/>
          <w:szCs w:val="24"/>
        </w:rPr>
        <w:t>Several features of the data affect confidence. The sample came from Perceptive’s national online panel, weighted to census figures for gender, age and region (Perceptive, 2020b), so it is broadly representative, though online panels under-represent people without internet access; further breakdowns appear in the crosstabs (Perceptive, 2020c). Literacy is self-reported, measuring perceived rather than tested understanding, and the July 2020 timing, a year after the plastic bag ban and during the COVID-19 pandemic, may have heightened environmental awareness. The 301 respondents (29%) answering “don’t know” to the purchase-frequency question were excluded from that analysis. Finally, the cross-sectional design supports association, not causation.</w:t>
      </w:r>
    </w:p>
    <w:p>
      <w:pPr>
        <w:pStyle w:val="Heading1"/>
        <w:keepNext/>
        <w:spacing w:after="140" w:before="300" w:line="312"/>
      </w:pPr>
      <w:bookmarkStart w:id="100007" w:name="_Toc100007"/>
      <w:r>
        <w:rPr>
          <w:rFonts w:ascii="Times New Roman" w:eastAsia="Times New Roman"/>
          <w:b/>
          <w:bCs/>
          <w:color w:val="000000"/>
          <w:sz w:val="30"/>
          <w:szCs w:val="30"/>
        </w:rPr>
        <w:t xml:space="preserve">6.0 Recommendations for Countdown</w:t>
      </w:r>
      <w:bookmarkEnd w:id="100007"/>
    </w:p>
    <w:p>
      <w:pPr>
        <w:spacing w:after="160" w:line="312"/>
        <w:jc w:val="both"/>
      </w:pPr>
      <w:r>
        <w:rPr>
          <w:rFonts w:ascii="Times New Roman" w:eastAsia="Times New Roman"/>
          <w:color w:val="000000"/>
          <w:sz w:val="24"/>
          <w:szCs w:val="24"/>
        </w:rPr>
        <w:t>Countdown (Woolworths New Zealand) is the recommended client: it and The Warehouse were the retailers most recalled when respondents thought of sustainability (about 90 mentions each, far ahead of any other retailer), matching Perceptive’s (2020b) findings, and Countdown is the better fit because the survey captures everyday grocery purchasing. Treating respondents as Countdown’s potential customers, five actions follow.</w:t>
      </w:r>
    </w:p>
    <w:p>
      <w:pPr>
        <w:spacing w:after="160" w:line="312"/>
        <w:ind w:left="360" w:hanging="360"/>
        <w:jc w:val="both"/>
      </w:pPr>
      <w:r>
        <w:rPr>
          <w:rFonts w:ascii="Times New Roman" w:eastAsia="Times New Roman"/>
          <w:b/>
          <w:bCs/>
          <w:color w:val="000000"/>
          <w:sz w:val="24"/>
          <w:szCs w:val="24"/>
        </w:rPr>
        <w:t xml:space="preserve">1. </w:t>
      </w:r>
      <w:r>
        <w:rPr>
          <w:rFonts w:ascii="Times New Roman" w:eastAsia="Times New Roman"/>
          <w:b/>
          <w:bCs/>
          <w:color w:val="000000"/>
          <w:sz w:val="24"/>
          <w:szCs w:val="24"/>
        </w:rPr>
        <w:t xml:space="preserve">Build customer literacy in-store and online. </w:t>
      </w:r>
      <w:r>
        <w:rPr>
          <w:rFonts w:ascii="Times New Roman" w:eastAsia="Times New Roman"/>
          <w:color w:val="000000"/>
          <w:sz w:val="24"/>
          <w:szCs w:val="24"/>
        </w:rPr>
        <w:t>Literacy is the strongest discriminator of attitudes and behaviour, and the customer domain shows the widest gap. Shelf-edge labels, simple icons and QR codes linking to “farm-to-fork” traceability would appeal to the 30% who selected traceability, since consumers value information they can understand (Meise et al., 2014).</w:t>
      </w:r>
    </w:p>
    <w:p>
      <w:pPr>
        <w:spacing w:after="160" w:line="312"/>
        <w:ind w:left="360" w:hanging="360"/>
        <w:jc w:val="both"/>
      </w:pPr>
      <w:r>
        <w:rPr>
          <w:rFonts w:ascii="Times New Roman" w:eastAsia="Times New Roman"/>
          <w:b/>
          <w:bCs/>
          <w:color w:val="000000"/>
          <w:sz w:val="24"/>
          <w:szCs w:val="24"/>
        </w:rPr>
        <w:t xml:space="preserve">2. </w:t>
      </w:r>
      <w:r>
        <w:rPr>
          <w:rFonts w:ascii="Times New Roman" w:eastAsia="Times New Roman"/>
          <w:b/>
          <w:bCs/>
          <w:color w:val="000000"/>
          <w:sz w:val="24"/>
          <w:szCs w:val="24"/>
        </w:rPr>
        <w:t xml:space="preserve">Keep sustainable options affordable. </w:t>
      </w:r>
      <w:r>
        <w:rPr>
          <w:rFonts w:ascii="Times New Roman" w:eastAsia="Times New Roman"/>
          <w:color w:val="000000"/>
          <w:sz w:val="24"/>
          <w:szCs w:val="24"/>
        </w:rPr>
        <w:t>Only 46% of respondents are likely to pay more, and barely 22% of the lower-literacy half. Price, not indifference, is the barrier, so an affordable own-brand sustainable range would widen the offer’s reach (Wei et al., 2018).</w:t>
      </w:r>
    </w:p>
    <w:p>
      <w:pPr>
        <w:spacing w:after="160" w:line="312"/>
        <w:ind w:left="360" w:hanging="360"/>
        <w:jc w:val="both"/>
      </w:pPr>
      <w:r>
        <w:rPr>
          <w:rFonts w:ascii="Times New Roman" w:eastAsia="Times New Roman"/>
          <w:b/>
          <w:bCs/>
          <w:color w:val="000000"/>
          <w:sz w:val="24"/>
          <w:szCs w:val="24"/>
        </w:rPr>
        <w:t xml:space="preserve">3. </w:t>
      </w:r>
      <w:r>
        <w:rPr>
          <w:rFonts w:ascii="Times New Roman" w:eastAsia="Times New Roman"/>
          <w:b/>
          <w:bCs/>
          <w:color w:val="000000"/>
          <w:sz w:val="24"/>
          <w:szCs w:val="24"/>
        </w:rPr>
        <w:t xml:space="preserve">Provide infrastructure that makes action easy. </w:t>
      </w:r>
      <w:r>
        <w:rPr>
          <w:rFonts w:ascii="Times New Roman" w:eastAsia="Times New Roman"/>
          <w:color w:val="000000"/>
          <w:sz w:val="24"/>
          <w:szCs w:val="24"/>
        </w:rPr>
        <w:t>Support for take-back (3.48 to 4.13) and bottle deposits (3.97 to 4.48) is high across both groups; in-store collection points and deposit-scheme participation give every customer a low-effort way to act (Tsarenko et al., 2013).</w:t>
      </w:r>
    </w:p>
    <w:p>
      <w:pPr>
        <w:spacing w:after="160" w:line="312"/>
        <w:ind w:left="360" w:hanging="360"/>
        <w:jc w:val="both"/>
      </w:pPr>
      <w:r>
        <w:rPr>
          <w:rFonts w:ascii="Times New Roman" w:eastAsia="Times New Roman"/>
          <w:b/>
          <w:bCs/>
          <w:color w:val="000000"/>
          <w:sz w:val="24"/>
          <w:szCs w:val="24"/>
        </w:rPr>
        <w:t xml:space="preserve">4. </w:t>
      </w:r>
      <w:r>
        <w:rPr>
          <w:rFonts w:ascii="Times New Roman" w:eastAsia="Times New Roman"/>
          <w:b/>
          <w:bCs/>
          <w:color w:val="000000"/>
          <w:sz w:val="24"/>
          <w:szCs w:val="24"/>
        </w:rPr>
        <w:t xml:space="preserve">Target communications by segment. </w:t>
      </w:r>
      <w:r>
        <w:rPr>
          <w:rFonts w:ascii="Times New Roman" w:eastAsia="Times New Roman"/>
          <w:color w:val="000000"/>
          <w:sz w:val="24"/>
          <w:szCs w:val="24"/>
        </w:rPr>
        <w:t>Younger and female customers have higher literacy and respond to detail, suiting digital traceability information; customers aged 55 and over have lower literacy but still rate engagement opportunities highly, so simple trust cues serve them better than technical claims (Kauppinen-Räisänen et al., 2014).</w:t>
      </w:r>
    </w:p>
    <w:p>
      <w:pPr>
        <w:spacing w:after="160" w:line="312"/>
        <w:ind w:left="360" w:hanging="360"/>
        <w:jc w:val="both"/>
      </w:pPr>
      <w:r>
        <w:rPr>
          <w:rFonts w:ascii="Times New Roman" w:eastAsia="Times New Roman"/>
          <w:b/>
          <w:bCs/>
          <w:color w:val="000000"/>
          <w:sz w:val="24"/>
          <w:szCs w:val="24"/>
        </w:rPr>
        <w:t xml:space="preserve">5. </w:t>
      </w:r>
      <w:r>
        <w:rPr>
          <w:rFonts w:ascii="Times New Roman" w:eastAsia="Times New Roman"/>
          <w:b/>
          <w:bCs/>
          <w:color w:val="000000"/>
          <w:sz w:val="24"/>
          <w:szCs w:val="24"/>
        </w:rPr>
        <w:t xml:space="preserve">Innovate store formats. </w:t>
      </w:r>
      <w:r>
        <w:rPr>
          <w:rFonts w:ascii="Times New Roman" w:eastAsia="Times New Roman"/>
          <w:color w:val="000000"/>
          <w:sz w:val="24"/>
          <w:szCs w:val="24"/>
        </w:rPr>
        <w:t>Package-free aisles and visible waste-reduction initiatives make the shopping experience itself communicate sustainability (Fuentes et al., 2019; van Giesen &amp; Leenheer, 2019).</w:t>
      </w:r>
    </w:p>
    <w:p>
      <w:pPr>
        <w:pStyle w:val="Heading1"/>
        <w:keepNext/>
        <w:spacing w:after="140" w:before="300" w:line="312"/>
      </w:pPr>
      <w:bookmarkStart w:id="100008" w:name="_Toc100008"/>
      <w:r>
        <w:rPr>
          <w:rFonts w:ascii="Times New Roman" w:eastAsia="Times New Roman"/>
          <w:b/>
          <w:bCs/>
          <w:color w:val="000000"/>
          <w:sz w:val="30"/>
          <w:szCs w:val="30"/>
        </w:rPr>
        <w:t xml:space="preserve">7.0 Conclusion</w:t>
      </w:r>
      <w:bookmarkEnd w:id="100008"/>
    </w:p>
    <w:p>
      <w:pPr>
        <w:spacing w:after="160" w:line="312"/>
        <w:jc w:val="both"/>
      </w:pPr>
      <w:r>
        <w:rPr>
          <w:rFonts w:ascii="Times New Roman" w:eastAsia="Times New Roman"/>
          <w:color w:val="000000"/>
          <w:sz w:val="24"/>
          <w:szCs w:val="24"/>
        </w:rPr>
        <w:t>This report assessed the sustainability literacy of New Zealand consumers, its relationship with attitudes and behaviour, and the implications for a large retailer. Literacy is moderate and unevenly distributed: higher among women and younger consumers, unrelated to household income. Where literacy is higher, consumers attach more importance to every dimension of retailer sustainability and are roughly twice as likely to act. For Countdown, the opportunity is to convert passive goodwill into literacy and behaviour through education, affordable ranges and take-back infrastructure, reinforcing its position among the retailers most associated with sustainability.</w:t>
      </w:r>
    </w:p>
    <w:p>
      <w:pPr>
        <w:pStyle w:val="Heading1"/>
        <w:spacing w:after="140" w:before="300" w:line="312"/>
      </w:pPr>
      <w:bookmarkStart w:id="100009" w:name="_Toc100009"/>
      <w:r>
        <w:rPr>
          <w:rFonts w:ascii="Times New Roman" w:eastAsia="Times New Roman"/>
          <w:b/>
          <w:bCs/>
          <w:color w:val="000000"/>
          <w:sz w:val="30"/>
          <w:szCs w:val="30"/>
        </w:rPr>
        <w:t xml:space="preserve">References</w:t>
      </w:r>
      <w:r>
        <w:br w:type="page"/>
      </w:r>
      <w:bookmarkEnd w:id="100009"/>
    </w:p>
    <w:p>
      <w:pPr>
        <w:spacing w:after="120" w:line="312"/>
        <w:ind w:left="480" w:hanging="480"/>
        <w:jc w:val="left"/>
      </w:pPr>
      <w:r>
        <w:rPr>
          <w:rFonts w:ascii="Times New Roman" w:hAnsi="Times New Roman"/>
          <w:sz w:val="22"/>
        </w:rPr>
        <w:t xml:space="preserve">Fuentes, C., Enarsson, P., &amp; Kristoffersson, L. (2019). Unpacking package free shopping: Alternative retailing and the reinvention of the practice of shopping. </w:t>
      </w:r>
      <w:r>
        <w:rPr>
          <w:rFonts w:ascii="Times New Roman" w:hAnsi="Times New Roman"/>
          <w:i/>
          <w:sz w:val="22"/>
        </w:rPr>
        <w:t>Journal of Retailing and Consumer Services, 50</w:t>
      </w:r>
      <w:r>
        <w:rPr>
          <w:rFonts w:ascii="Times New Roman" w:hAnsi="Times New Roman"/>
          <w:sz w:val="22"/>
        </w:rPr>
        <w:t>, 258-265. https://doi.org/10.1016/j.jretconser.2019.05.016</w:t>
      </w:r>
    </w:p>
    <w:p>
      <w:pPr>
        <w:spacing w:after="120" w:line="312"/>
        <w:ind w:left="480" w:hanging="480"/>
        <w:jc w:val="left"/>
      </w:pPr>
      <w:r>
        <w:rPr>
          <w:rFonts w:ascii="Times New Roman" w:hAnsi="Times New Roman"/>
          <w:sz w:val="22"/>
        </w:rPr>
        <w:t xml:space="preserve">Jones, P., Hillier, D., Comfort, D., &amp; Eastwood, I. (2005). Sustainable retailing and consumerism. </w:t>
      </w:r>
      <w:r>
        <w:rPr>
          <w:rFonts w:ascii="Times New Roman" w:hAnsi="Times New Roman"/>
          <w:i/>
          <w:sz w:val="22"/>
        </w:rPr>
        <w:t>Management Research News, 28</w:t>
      </w:r>
      <w:r>
        <w:rPr>
          <w:rFonts w:ascii="Times New Roman" w:hAnsi="Times New Roman"/>
          <w:sz w:val="22"/>
        </w:rPr>
        <w:t>(1), 34-44. https://doi.org/10.1108/01409170510784760</w:t>
      </w:r>
    </w:p>
    <w:p>
      <w:pPr>
        <w:spacing w:after="120" w:line="312"/>
        <w:ind w:left="480" w:hanging="480"/>
        <w:jc w:val="left"/>
      </w:pPr>
      <w:r>
        <w:rPr>
          <w:rFonts w:ascii="Times New Roman" w:hAnsi="Times New Roman"/>
          <w:sz w:val="22"/>
        </w:rPr>
        <w:t xml:space="preserve">Kauppinen-Räisänen, H., Rindell, A., &amp; Åberg, C. (2014). Conveying conscientiousness: Exploring environmental images across servicescapes. </w:t>
      </w:r>
      <w:r>
        <w:rPr>
          <w:rFonts w:ascii="Times New Roman" w:hAnsi="Times New Roman"/>
          <w:i/>
          <w:sz w:val="22"/>
        </w:rPr>
        <w:t>Journal of Retailing and Consumer Services, 21</w:t>
      </w:r>
      <w:r>
        <w:rPr>
          <w:rFonts w:ascii="Times New Roman" w:hAnsi="Times New Roman"/>
          <w:sz w:val="22"/>
        </w:rPr>
        <w:t>(4), 520-528. https://doi.org/10.1016/j.jretconser.2014.04.001</w:t>
      </w:r>
    </w:p>
    <w:p>
      <w:pPr>
        <w:spacing w:after="120" w:line="312"/>
        <w:ind w:left="480" w:hanging="480"/>
        <w:jc w:val="left"/>
      </w:pPr>
      <w:r>
        <w:rPr>
          <w:rFonts w:ascii="Times New Roman" w:hAnsi="Times New Roman"/>
          <w:sz w:val="22"/>
        </w:rPr>
        <w:t xml:space="preserve">Meise, J. N., Rudolph, T., Kenning, P., &amp; Phillips, D. M. (2014). Feed them facts: Value perceptions and consumer use of sustainability-related product information. </w:t>
      </w:r>
      <w:r>
        <w:rPr>
          <w:rFonts w:ascii="Times New Roman" w:hAnsi="Times New Roman"/>
          <w:i/>
          <w:sz w:val="22"/>
        </w:rPr>
        <w:t>Journal of Retailing and Consumer Services, 21</w:t>
      </w:r>
      <w:r>
        <w:rPr>
          <w:rFonts w:ascii="Times New Roman" w:hAnsi="Times New Roman"/>
          <w:sz w:val="22"/>
        </w:rPr>
        <w:t>(4), 510-519. https://doi.org/10.1016/j.jretconser.2014.03.013</w:t>
      </w:r>
    </w:p>
    <w:p>
      <w:pPr>
        <w:spacing w:after="120" w:line="312"/>
        <w:ind w:left="480" w:hanging="480"/>
        <w:jc w:val="left"/>
      </w:pPr>
      <w:r>
        <w:rPr>
          <w:rFonts w:ascii="Times New Roman" w:hAnsi="Times New Roman"/>
          <w:sz w:val="22"/>
        </w:rPr>
        <w:t xml:space="preserve">Moser, A. K. (2016). Consumers’ purchasing decisions regarding environmentally friendly products: An empirical analysis of German consumers. </w:t>
      </w:r>
      <w:r>
        <w:rPr>
          <w:rFonts w:ascii="Times New Roman" w:hAnsi="Times New Roman"/>
          <w:i/>
          <w:sz w:val="22"/>
        </w:rPr>
        <w:t>Journal of Retailing and Consumer Services, 31</w:t>
      </w:r>
      <w:r>
        <w:rPr>
          <w:rFonts w:ascii="Times New Roman" w:hAnsi="Times New Roman"/>
          <w:sz w:val="22"/>
        </w:rPr>
        <w:t>, 389-397. https://doi.org/10.1016/j.jretconser.2016.05.006</w:t>
      </w:r>
    </w:p>
    <w:p>
      <w:pPr>
        <w:spacing w:after="120" w:line="312"/>
        <w:ind w:left="480" w:hanging="480"/>
        <w:jc w:val="left"/>
      </w:pPr>
      <w:r>
        <w:rPr>
          <w:rFonts w:ascii="Times New Roman" w:hAnsi="Times New Roman"/>
          <w:sz w:val="22"/>
        </w:rPr>
        <w:t xml:space="preserve">Perceptive. (2020a). </w:t>
      </w:r>
      <w:r>
        <w:rPr>
          <w:rFonts w:ascii="Times New Roman" w:hAnsi="Times New Roman"/>
          <w:i/>
          <w:sz w:val="22"/>
        </w:rPr>
        <w:t>Sustainability survey data from the July 2020 Omnibus Survey</w:t>
      </w:r>
      <w:r>
        <w:rPr>
          <w:rFonts w:ascii="Times New Roman" w:hAnsi="Times New Roman"/>
          <w:sz w:val="22"/>
        </w:rPr>
        <w:t xml:space="preserve"> [Data set]. Perceptive Research Ltd.</w:t>
      </w:r>
    </w:p>
    <w:p>
      <w:pPr>
        <w:spacing w:after="120" w:line="312"/>
        <w:ind w:left="480" w:hanging="480"/>
        <w:jc w:val="left"/>
      </w:pPr>
      <w:r>
        <w:rPr>
          <w:rFonts w:ascii="Times New Roman" w:hAnsi="Times New Roman"/>
          <w:sz w:val="22"/>
        </w:rPr>
        <w:t xml:space="preserve">Perceptive. (2020b). </w:t>
      </w:r>
      <w:r>
        <w:rPr>
          <w:rFonts w:ascii="Times New Roman" w:hAnsi="Times New Roman"/>
          <w:i/>
          <w:sz w:val="22"/>
        </w:rPr>
        <w:t>Massey University sustainability in retail: Omnibus report, July 2020</w:t>
      </w:r>
      <w:r>
        <w:rPr>
          <w:rFonts w:ascii="Times New Roman" w:hAnsi="Times New Roman"/>
          <w:sz w:val="22"/>
        </w:rPr>
        <w:t>. Perceptive Research Ltd.</w:t>
      </w:r>
    </w:p>
    <w:p>
      <w:pPr>
        <w:spacing w:after="120" w:line="312"/>
        <w:ind w:left="480" w:hanging="480"/>
        <w:jc w:val="left"/>
      </w:pPr>
      <w:r>
        <w:rPr>
          <w:rFonts w:ascii="Times New Roman" w:hAnsi="Times New Roman"/>
          <w:sz w:val="22"/>
        </w:rPr>
        <w:t xml:space="preserve">Perceptive. (2020c). </w:t>
      </w:r>
      <w:r>
        <w:rPr>
          <w:rFonts w:ascii="Times New Roman" w:hAnsi="Times New Roman"/>
          <w:i/>
          <w:sz w:val="22"/>
        </w:rPr>
        <w:t>Sustainability survey crosstab analysis report</w:t>
      </w:r>
      <w:r>
        <w:rPr>
          <w:rFonts w:ascii="Times New Roman" w:hAnsi="Times New Roman"/>
          <w:sz w:val="22"/>
        </w:rPr>
        <w:t>. Data analysed and provided by Perceptive Research Ltd.</w:t>
      </w:r>
    </w:p>
    <w:p>
      <w:pPr>
        <w:spacing w:after="120" w:line="312"/>
        <w:ind w:left="480" w:hanging="480"/>
        <w:jc w:val="left"/>
      </w:pPr>
      <w:r>
        <w:rPr>
          <w:rFonts w:ascii="Times New Roman" w:hAnsi="Times New Roman"/>
          <w:sz w:val="22"/>
        </w:rPr>
        <w:t xml:space="preserve">Retail NZ. (2019, July 11). </w:t>
      </w:r>
      <w:r>
        <w:rPr>
          <w:rFonts w:ascii="Times New Roman" w:hAnsi="Times New Roman"/>
          <w:i/>
          <w:sz w:val="22"/>
        </w:rPr>
        <w:t>Sustainability</w:t>
      </w:r>
      <w:r>
        <w:rPr>
          <w:rFonts w:ascii="Times New Roman" w:hAnsi="Times New Roman"/>
          <w:sz w:val="22"/>
        </w:rPr>
        <w:t>. http://www.retail.org.nz/advocacy/sustainability</w:t>
      </w:r>
    </w:p>
    <w:p>
      <w:pPr>
        <w:spacing w:after="120" w:line="312"/>
        <w:ind w:left="480" w:hanging="480"/>
        <w:jc w:val="left"/>
      </w:pPr>
      <w:r>
        <w:rPr>
          <w:rFonts w:ascii="Times New Roman" w:hAnsi="Times New Roman"/>
          <w:sz w:val="22"/>
        </w:rPr>
        <w:t xml:space="preserve">Ruiz-Real, J. L., Uribe-Toril, J., Gázquez-Abad, J. C., &amp; de Pablo Valenciano, J. (2018). Sustainability and retail: Analysis of global research. </w:t>
      </w:r>
      <w:r>
        <w:rPr>
          <w:rFonts w:ascii="Times New Roman" w:hAnsi="Times New Roman"/>
          <w:i/>
          <w:sz w:val="22"/>
        </w:rPr>
        <w:t>Sustainability, 11</w:t>
      </w:r>
      <w:r>
        <w:rPr>
          <w:rFonts w:ascii="Times New Roman" w:hAnsi="Times New Roman"/>
          <w:sz w:val="22"/>
        </w:rPr>
        <w:t>(1), 1-18. https://doi.org/10.3390/su11010014</w:t>
      </w:r>
    </w:p>
    <w:p>
      <w:pPr>
        <w:spacing w:after="120" w:line="312"/>
        <w:ind w:left="480" w:hanging="480"/>
        <w:jc w:val="left"/>
      </w:pPr>
      <w:r>
        <w:rPr>
          <w:rFonts w:ascii="Times New Roman" w:hAnsi="Times New Roman"/>
          <w:sz w:val="22"/>
        </w:rPr>
        <w:t xml:space="preserve">Tsarenko, Y., Ferraro, C., Sands, S., &amp; McLeod, C. (2013). Environmentally conscious consumption: The role of retailers and peers as external influences. </w:t>
      </w:r>
      <w:r>
        <w:rPr>
          <w:rFonts w:ascii="Times New Roman" w:hAnsi="Times New Roman"/>
          <w:i/>
          <w:sz w:val="22"/>
        </w:rPr>
        <w:t>Journal of Retailing and Consumer Services, 20</w:t>
      </w:r>
      <w:r>
        <w:rPr>
          <w:rFonts w:ascii="Times New Roman" w:hAnsi="Times New Roman"/>
          <w:sz w:val="22"/>
        </w:rPr>
        <w:t>(3), 302-310. https://doi.org/10.1016/j.jretconser.2013.01.006</w:t>
      </w:r>
    </w:p>
    <w:p>
      <w:pPr>
        <w:spacing w:after="120" w:line="312"/>
        <w:ind w:left="480" w:hanging="480"/>
        <w:jc w:val="left"/>
      </w:pPr>
      <w:r>
        <w:rPr>
          <w:rFonts w:ascii="Times New Roman" w:hAnsi="Times New Roman"/>
          <w:sz w:val="22"/>
        </w:rPr>
        <w:t xml:space="preserve">van Giesen, R., &amp; Leenheer, J. (2019). Towards more interactive and sustainable food retailing: An empirical case study of the supermarket of the future. </w:t>
      </w:r>
      <w:r>
        <w:rPr>
          <w:rFonts w:ascii="Times New Roman" w:hAnsi="Times New Roman"/>
          <w:i/>
          <w:sz w:val="22"/>
        </w:rPr>
        <w:t>International Journal of Retail &amp; Distribution Management, 47</w:t>
      </w:r>
      <w:r>
        <w:rPr>
          <w:rFonts w:ascii="Times New Roman" w:hAnsi="Times New Roman"/>
          <w:sz w:val="22"/>
        </w:rPr>
        <w:t>(1), 55-75. https://doi.org/10.1108/IJRDM-11-2017-0280</w:t>
      </w:r>
    </w:p>
    <w:p>
      <w:pPr>
        <w:spacing w:after="120" w:line="312"/>
        <w:ind w:left="480" w:hanging="480"/>
        <w:jc w:val="left"/>
      </w:pPr>
      <w:r>
        <w:rPr>
          <w:rFonts w:ascii="Times New Roman" w:hAnsi="Times New Roman"/>
          <w:sz w:val="22"/>
        </w:rPr>
        <w:t xml:space="preserve">Vozza, S. (2018, April 5). </w:t>
      </w:r>
      <w:r>
        <w:rPr>
          <w:rFonts w:ascii="Times New Roman" w:hAnsi="Times New Roman"/>
          <w:i/>
          <w:sz w:val="22"/>
        </w:rPr>
        <w:t>Sustainability in retail: What it looks like and why it matters for your business</w:t>
      </w:r>
      <w:r>
        <w:rPr>
          <w:rFonts w:ascii="Times New Roman" w:hAnsi="Times New Roman"/>
          <w:sz w:val="22"/>
        </w:rPr>
        <w:t>. Shopify Blog. https://www.shopify.co.nz/retail/sustainability-in-retail-what-it-looks-like-and-why-it-matters</w:t>
      </w:r>
    </w:p>
    <w:p>
      <w:pPr>
        <w:spacing w:after="120" w:line="312"/>
        <w:ind w:left="480" w:hanging="480"/>
        <w:jc w:val="left"/>
      </w:pPr>
      <w:r>
        <w:rPr>
          <w:rFonts w:ascii="Times New Roman" w:hAnsi="Times New Roman"/>
          <w:sz w:val="22"/>
        </w:rPr>
        <w:t xml:space="preserve">Wei, S., Ang, T., &amp; Jancenelle, V. E. (2018). Willingness to pay more for green products: The interplay of consumer characteristics and customer participation. </w:t>
      </w:r>
      <w:r>
        <w:rPr>
          <w:rFonts w:ascii="Times New Roman" w:hAnsi="Times New Roman"/>
          <w:i/>
          <w:sz w:val="22"/>
        </w:rPr>
        <w:t>Journal of Retailing and Consumer Services, 45</w:t>
      </w:r>
      <w:r>
        <w:rPr>
          <w:rFonts w:ascii="Times New Roman" w:hAnsi="Times New Roman"/>
          <w:sz w:val="22"/>
        </w:rPr>
        <w:t>, 230-238. https://doi.org/10.1016/j.jretconser.2018.08.015</w:t>
      </w:r>
    </w:p>
    <w:p>
      <w:pPr>
        <w:pStyle w:val="Heading1"/>
        <w:pageBreakBefore/>
        <w:spacing w:after="140" w:before="300" w:line="312"/>
      </w:pPr>
      <w:bookmarkStart w:id="100010" w:name="_Toc100010"/>
      <w:r>
        <w:rPr>
          <w:rFonts w:ascii="Times New Roman" w:eastAsia="Times New Roman"/>
          <w:b/>
          <w:bCs/>
          <w:color w:val="000000"/>
          <w:sz w:val="30"/>
          <w:szCs w:val="30"/>
        </w:rPr>
        <w:t xml:space="preserve">Appendix A: t-Test for Literacy by Gender (Two-Sample Assuming Equal Variances)</w:t>
      </w:r>
      <w:bookmarkEnd w:id="100010"/>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tblGrid>
      <w:tr>
        <w:trPr>
          <w:cantSplit/>
          <w:tblHeader/>
        </w:trPr>
        <w:tc>
          <w:tcPr>
            <w:tcW w:type="pct" w:w="46%"/>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
            </w:r>
          </w:p>
        </w:tc>
        <w:tc>
          <w:tcPr>
            <w:tcW w:type="pct" w:w="27%"/>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Male</w:t>
            </w:r>
          </w:p>
        </w:tc>
        <w:tc>
          <w:tcPr>
            <w:tcW w:type="pct" w:w="27%"/>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Female</w:t>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Mean</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3.4066</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3.5112</w:t>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Variance</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0.5609</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0.4565</w:t>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Observations</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449</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591</w:t>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Pooled variance</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0.5016</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Hypothesized mean difference</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Degrees of freedom</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1038</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t-statistic</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-2.3593</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P(T≤t) one-tail</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0.0092</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t critical one-tail (α = 0.05)</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1.6463</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P(T≤t) two-tail</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0.0185</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46%"/>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t critical two-tail</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1.9623</w:t>
            </w:r>
          </w:p>
        </w:tc>
        <w:tc>
          <w:tcPr>
            <w:tcW w:type="pct" w:w="27%"/>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bl>
    <w:p>
      <w:pPr>
        <w:spacing w:after="160" w:before="60" w:line="276"/>
      </w:pPr>
      <w:r>
        <w:rPr>
          <w:rFonts w:ascii="Times New Roman" w:eastAsia="Times New Roman"/>
          <w:i/>
          <w:iCs/>
          <w:color w:val="444444"/>
          <w:sz w:val="19"/>
          <w:szCs w:val="19"/>
        </w:rPr>
        <w:t xml:space="preserve">Source: Perceptive (2020a) data analysed in Excel (Analysis ToolPak layout).</w:t>
      </w:r>
    </w:p>
    <w:p>
      <w:pPr>
        <w:pStyle w:val="Heading1"/>
        <w:pageBreakBefore/>
        <w:spacing w:after="140" w:before="300" w:line="312"/>
      </w:pPr>
      <w:bookmarkStart w:id="100011" w:name="_Toc100011"/>
      <w:r>
        <w:rPr>
          <w:rFonts w:ascii="Times New Roman" w:eastAsia="Times New Roman"/>
          <w:b/>
          <w:bCs/>
          <w:color w:val="000000"/>
          <w:sz w:val="30"/>
          <w:szCs w:val="30"/>
        </w:rPr>
        <w:t xml:space="preserve">Appendix B1: ANOVA - Literacy by Age Group (18-34, 35-54, 55+)</w:t>
      </w:r>
      <w:bookmarkEnd w:id="100011"/>
    </w:p>
    <w:p>
      <w:pPr>
        <w:keepNext/>
        <w:spacing w:after="60" w:line="276"/>
      </w:pPr>
      <w:r>
        <w:rPr>
          <w:rFonts w:ascii="Times New Roman" w:eastAsia="Times New Roman"/>
          <w:b/>
          <w:bCs/>
          <w:color w:val="000000"/>
          <w:sz w:val="21"/>
          <w:szCs w:val="21"/>
        </w:rPr>
        <w:t xml:space="preserve">Group statistics</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tblGrid>
      <w:tr>
        <w:trPr>
          <w:cantSplit/>
          <w:tblHeader/>
        </w:trPr>
        <w:tc>
          <w:tcPr>
            <w:tcW w:type="pct" w:w="40%"/>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Groups</w:t>
            </w:r>
          </w:p>
        </w:tc>
        <w:tc>
          <w:tcPr>
            <w:tcW w:type="pct" w:w="1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Count</w:t>
            </w:r>
          </w:p>
        </w:tc>
        <w:tc>
          <w:tcPr>
            <w:tcW w:type="pct" w:w="20%"/>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Mean</w:t>
            </w:r>
          </w:p>
        </w:tc>
        <w:tc>
          <w:tcPr>
            <w:tcW w:type="pct" w:w="2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Variance</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18-34</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334</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3.5888</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0.5032</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35-54</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362</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3.4414</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0.5153</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55+</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345</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3.3700</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0.4694</w:t>
            </w:r>
          </w:p>
        </w:tc>
      </w:tr>
    </w:tbl>
    <w:p>
      <w:pPr>
        <w:keepNext/>
        <w:spacing w:after="60" w:before="160" w:line="276"/>
      </w:pPr>
      <w:r>
        <w:rPr>
          <w:rFonts w:ascii="Times New Roman" w:eastAsia="Times New Roman"/>
          <w:b/>
          <w:bCs/>
          <w:color w:val="000000"/>
          <w:sz w:val="21"/>
          <w:szCs w:val="21"/>
        </w:rPr>
        <w:t xml:space="preserve">ANOVA</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gridCol w:w="100"/>
        <w:gridCol w:w="100"/>
        <w:gridCol w:w="100"/>
      </w:tblGrid>
      <w:tr>
        <w:trPr>
          <w:cantSplit/>
          <w:tblHeader/>
        </w:trPr>
        <w:tc>
          <w:tcPr>
            <w:tcW w:type="pct" w:w="24%"/>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Source of Variation</w:t>
            </w:r>
          </w:p>
        </w:tc>
        <w:tc>
          <w:tcPr>
            <w:tcW w:type="pct" w:w="13%"/>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SS</w:t>
            </w:r>
          </w:p>
        </w:tc>
        <w:tc>
          <w:tcPr>
            <w:tcW w:type="pct" w:w="9%"/>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df</w:t>
            </w:r>
          </w:p>
        </w:tc>
        <w:tc>
          <w:tcPr>
            <w:tcW w:type="pct" w:w="13%"/>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MS</w:t>
            </w:r>
          </w:p>
        </w:tc>
        <w:tc>
          <w:tcPr>
            <w:tcW w:type="pct" w:w="12%"/>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F</w:t>
            </w:r>
          </w:p>
        </w:tc>
        <w:tc>
          <w:tcPr>
            <w:tcW w:type="pct" w:w="1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P-value</w:t>
            </w:r>
          </w:p>
        </w:tc>
        <w:tc>
          <w:tcPr>
            <w:tcW w:type="pct" w:w="14%"/>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F crit</w:t>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Between Groups</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8.433</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4.217</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8.498</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0.0002</w:t>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3.004</w:t>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Within Groups</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515.063</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1038</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0.496</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Total</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523.496</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1040</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bl>
    <w:p>
      <w:pPr>
        <w:pStyle w:val="Heading1"/>
        <w:pageBreakBefore/>
        <w:spacing w:after="140" w:before="300" w:line="312"/>
      </w:pPr>
      <w:bookmarkStart w:id="100012" w:name="_Toc100012"/>
      <w:r>
        <w:rPr>
          <w:rFonts w:ascii="Times New Roman" w:eastAsia="Times New Roman"/>
          <w:b/>
          <w:bCs/>
          <w:color w:val="000000"/>
          <w:sz w:val="30"/>
          <w:szCs w:val="30"/>
        </w:rPr>
        <w:t xml:space="preserve">Appendix B2: ANOVA - Literacy by Household Income (Lower, Middle, Upper)</w:t>
      </w:r>
      <w:bookmarkEnd w:id="100012"/>
    </w:p>
    <w:p>
      <w:pPr>
        <w:keepNext/>
        <w:spacing w:after="60" w:line="276"/>
      </w:pPr>
      <w:r>
        <w:rPr>
          <w:rFonts w:ascii="Times New Roman" w:eastAsia="Times New Roman"/>
          <w:b/>
          <w:bCs/>
          <w:color w:val="000000"/>
          <w:sz w:val="21"/>
          <w:szCs w:val="21"/>
        </w:rPr>
        <w:t xml:space="preserve">Group statistics</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tblGrid>
      <w:tr>
        <w:trPr>
          <w:cantSplit/>
          <w:tblHeader/>
        </w:trPr>
        <w:tc>
          <w:tcPr>
            <w:tcW w:type="pct" w:w="40%"/>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Groups</w:t>
            </w:r>
          </w:p>
        </w:tc>
        <w:tc>
          <w:tcPr>
            <w:tcW w:type="pct" w:w="1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Count</w:t>
            </w:r>
          </w:p>
        </w:tc>
        <w:tc>
          <w:tcPr>
            <w:tcW w:type="pct" w:w="20%"/>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Mean</w:t>
            </w:r>
          </w:p>
        </w:tc>
        <w:tc>
          <w:tcPr>
            <w:tcW w:type="pct" w:w="2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Variance</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Lower (up to $50,000)</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283</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3.4299</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0.4436</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Middle ($50,001-$100,000)</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351</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3.5768</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0.5134</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Upper (over $100,000)</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231</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3.4637</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0.5531</w:t>
            </w:r>
          </w:p>
        </w:tc>
      </w:tr>
    </w:tbl>
    <w:p>
      <w:pPr>
        <w:keepNext/>
        <w:spacing w:after="60" w:before="160" w:line="276"/>
      </w:pPr>
      <w:r>
        <w:rPr>
          <w:rFonts w:ascii="Times New Roman" w:eastAsia="Times New Roman"/>
          <w:b/>
          <w:bCs/>
          <w:color w:val="000000"/>
          <w:sz w:val="21"/>
          <w:szCs w:val="21"/>
        </w:rPr>
        <w:t xml:space="preserve">ANOVA</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gridCol w:w="100"/>
        <w:gridCol w:w="100"/>
        <w:gridCol w:w="100"/>
      </w:tblGrid>
      <w:tr>
        <w:trPr>
          <w:cantSplit/>
          <w:tblHeader/>
        </w:trPr>
        <w:tc>
          <w:tcPr>
            <w:tcW w:type="pct" w:w="24%"/>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Source of Variation</w:t>
            </w:r>
          </w:p>
        </w:tc>
        <w:tc>
          <w:tcPr>
            <w:tcW w:type="pct" w:w="13%"/>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SS</w:t>
            </w:r>
          </w:p>
        </w:tc>
        <w:tc>
          <w:tcPr>
            <w:tcW w:type="pct" w:w="9%"/>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df</w:t>
            </w:r>
          </w:p>
        </w:tc>
        <w:tc>
          <w:tcPr>
            <w:tcW w:type="pct" w:w="13%"/>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MS</w:t>
            </w:r>
          </w:p>
        </w:tc>
        <w:tc>
          <w:tcPr>
            <w:tcW w:type="pct" w:w="12%"/>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F</w:t>
            </w:r>
          </w:p>
        </w:tc>
        <w:tc>
          <w:tcPr>
            <w:tcW w:type="pct" w:w="1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P-value</w:t>
            </w:r>
          </w:p>
        </w:tc>
        <w:tc>
          <w:tcPr>
            <w:tcW w:type="pct" w:w="14%"/>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F crit</w:t>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Between Groups</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3.761</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1.881</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3.752</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0.0238</w:t>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3.006</w:t>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Within Groups</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431.993</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862</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0.501</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Total</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435.754</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864</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bl>
    <w:p>
      <w:pPr>
        <w:pStyle w:val="Heading1"/>
        <w:pageBreakBefore/>
        <w:spacing w:after="140" w:before="300" w:line="312"/>
      </w:pPr>
      <w:bookmarkStart w:id="100013" w:name="_Toc100013"/>
      <w:r>
        <w:rPr>
          <w:rFonts w:ascii="Times New Roman" w:eastAsia="Times New Roman"/>
          <w:b/>
          <w:bCs/>
          <w:color w:val="000000"/>
          <w:sz w:val="30"/>
          <w:szCs w:val="30"/>
        </w:rPr>
        <w:t xml:space="preserve">Appendix B3: ANOVA - Employee Domain by How Often Buys Sustainable Products</w:t>
      </w:r>
      <w:bookmarkEnd w:id="100013"/>
    </w:p>
    <w:p>
      <w:pPr>
        <w:keepNext/>
        <w:spacing w:after="60" w:line="276"/>
      </w:pPr>
      <w:r>
        <w:rPr>
          <w:rFonts w:ascii="Times New Roman" w:eastAsia="Times New Roman"/>
          <w:b/>
          <w:bCs/>
          <w:color w:val="000000"/>
          <w:sz w:val="21"/>
          <w:szCs w:val="21"/>
        </w:rPr>
        <w:t xml:space="preserve">Group statistics</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tblGrid>
      <w:tr>
        <w:trPr>
          <w:cantSplit/>
          <w:tblHeader/>
        </w:trPr>
        <w:tc>
          <w:tcPr>
            <w:tcW w:type="pct" w:w="40%"/>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Groups</w:t>
            </w:r>
          </w:p>
        </w:tc>
        <w:tc>
          <w:tcPr>
            <w:tcW w:type="pct" w:w="1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Count</w:t>
            </w:r>
          </w:p>
        </w:tc>
        <w:tc>
          <w:tcPr>
            <w:tcW w:type="pct" w:w="20%"/>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Mean</w:t>
            </w:r>
          </w:p>
        </w:tc>
        <w:tc>
          <w:tcPr>
            <w:tcW w:type="pct" w:w="2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Variance</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1 (Not at all)</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33</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3.9293</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0.9636</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2</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53</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4.1572</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0.5154</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3</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240</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4.3000</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0.5140</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4</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261</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4.2963</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0.4401</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5 (Very often)</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154</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4.5216</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0.3427</w:t>
            </w:r>
          </w:p>
        </w:tc>
      </w:tr>
    </w:tbl>
    <w:p>
      <w:pPr>
        <w:keepNext/>
        <w:spacing w:after="60" w:before="160" w:line="276"/>
      </w:pPr>
      <w:r>
        <w:rPr>
          <w:rFonts w:ascii="Times New Roman" w:eastAsia="Times New Roman"/>
          <w:b/>
          <w:bCs/>
          <w:color w:val="000000"/>
          <w:sz w:val="21"/>
          <w:szCs w:val="21"/>
        </w:rPr>
        <w:t xml:space="preserve">ANOVA</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gridCol w:w="100"/>
        <w:gridCol w:w="100"/>
        <w:gridCol w:w="100"/>
      </w:tblGrid>
      <w:tr>
        <w:trPr>
          <w:cantSplit/>
          <w:tblHeader/>
        </w:trPr>
        <w:tc>
          <w:tcPr>
            <w:tcW w:type="pct" w:w="24%"/>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Source of Variation</w:t>
            </w:r>
          </w:p>
        </w:tc>
        <w:tc>
          <w:tcPr>
            <w:tcW w:type="pct" w:w="13%"/>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SS</w:t>
            </w:r>
          </w:p>
        </w:tc>
        <w:tc>
          <w:tcPr>
            <w:tcW w:type="pct" w:w="9%"/>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df</w:t>
            </w:r>
          </w:p>
        </w:tc>
        <w:tc>
          <w:tcPr>
            <w:tcW w:type="pct" w:w="13%"/>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MS</w:t>
            </w:r>
          </w:p>
        </w:tc>
        <w:tc>
          <w:tcPr>
            <w:tcW w:type="pct" w:w="12%"/>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F</w:t>
            </w:r>
          </w:p>
        </w:tc>
        <w:tc>
          <w:tcPr>
            <w:tcW w:type="pct" w:w="1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P-value</w:t>
            </w:r>
          </w:p>
        </w:tc>
        <w:tc>
          <w:tcPr>
            <w:tcW w:type="pct" w:w="14%"/>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F crit</w:t>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Between Groups</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12.943</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3.236</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6.857</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0.00002</w:t>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2.384</w:t>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Within Groups</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347.328</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736</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0.472</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Total</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360.271</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740</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bl>
    <w:p>
      <w:pPr>
        <w:pStyle w:val="Heading1"/>
        <w:pageBreakBefore/>
        <w:spacing w:after="140" w:before="300" w:line="312"/>
      </w:pPr>
      <w:bookmarkStart w:id="100014" w:name="_Toc100014"/>
      <w:r>
        <w:rPr>
          <w:rFonts w:ascii="Times New Roman" w:eastAsia="Times New Roman"/>
          <w:b/>
          <w:bCs/>
          <w:color w:val="000000"/>
          <w:sz w:val="30"/>
          <w:szCs w:val="30"/>
        </w:rPr>
        <w:t xml:space="preserve">Appendix B4: ANOVA - Customer Domain by How Often Buys Sustainable Products</w:t>
      </w:r>
      <w:bookmarkEnd w:id="100014"/>
    </w:p>
    <w:p>
      <w:pPr>
        <w:keepNext/>
        <w:spacing w:after="60" w:line="276"/>
      </w:pPr>
      <w:r>
        <w:rPr>
          <w:rFonts w:ascii="Times New Roman" w:eastAsia="Times New Roman"/>
          <w:b/>
          <w:bCs/>
          <w:color w:val="000000"/>
          <w:sz w:val="21"/>
          <w:szCs w:val="21"/>
        </w:rPr>
        <w:t xml:space="preserve">Group statistics</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tblGrid>
      <w:tr>
        <w:trPr>
          <w:cantSplit/>
          <w:tblHeader/>
        </w:trPr>
        <w:tc>
          <w:tcPr>
            <w:tcW w:type="pct" w:w="40%"/>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Groups</w:t>
            </w:r>
          </w:p>
        </w:tc>
        <w:tc>
          <w:tcPr>
            <w:tcW w:type="pct" w:w="1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Count</w:t>
            </w:r>
          </w:p>
        </w:tc>
        <w:tc>
          <w:tcPr>
            <w:tcW w:type="pct" w:w="20%"/>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Mean</w:t>
            </w:r>
          </w:p>
        </w:tc>
        <w:tc>
          <w:tcPr>
            <w:tcW w:type="pct" w:w="2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Variance</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1 (Not at all)</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33</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3.1894</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1.1642</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2</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53</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3.9717</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0.5040</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3</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240</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3.9906</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0.4892</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4</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261</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4.1063</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0.3807</w:t>
            </w:r>
          </w:p>
        </w:tc>
      </w:tr>
      <w:tr>
        <w:trPr>
          <w:cantSplit/>
          <w:tblHeader w:val="false"/>
        </w:trPr>
        <w:tc>
          <w:tcPr>
            <w:tcW w:type="pct" w:w="40%"/>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5 (Very often)</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154</w:t>
            </w:r>
          </w:p>
        </w:tc>
        <w:tc>
          <w:tcPr>
            <w:tcW w:type="pct" w:w="20%"/>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4.3815</w:t>
            </w:r>
          </w:p>
        </w:tc>
        <w:tc>
          <w:tcPr>
            <w:tcW w:type="pct" w:w="2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0.3490</w:t>
            </w:r>
          </w:p>
        </w:tc>
      </w:tr>
    </w:tbl>
    <w:p>
      <w:pPr>
        <w:keepNext/>
        <w:spacing w:after="60" w:before="160" w:line="276"/>
      </w:pPr>
      <w:r>
        <w:rPr>
          <w:rFonts w:ascii="Times New Roman" w:eastAsia="Times New Roman"/>
          <w:b/>
          <w:bCs/>
          <w:color w:val="000000"/>
          <w:sz w:val="21"/>
          <w:szCs w:val="21"/>
        </w:rPr>
        <w:t xml:space="preserve">ANOVA</w:t>
      </w:r>
    </w:p>
    <w:tbl>
      <w:tblPr>
        <w:tblW w:type="pct" w:w="100%"/>
        <w:tblBorders>
          <w:top w:val="single" w:color="666666" w:sz="6"/>
          <w:left w:val="none"/>
          <w:bottom w:val="single" w:color="666666" w:sz="6"/>
          <w:right w:val="none"/>
          <w:insideH w:val="single" w:color="BBBBBB" w:sz="2"/>
          <w:insideV w:val="none"/>
        </w:tblBorders>
      </w:tblPr>
      <w:tblGrid>
        <w:gridCol w:w="100"/>
        <w:gridCol w:w="100"/>
        <w:gridCol w:w="100"/>
        <w:gridCol w:w="100"/>
        <w:gridCol w:w="100"/>
        <w:gridCol w:w="100"/>
        <w:gridCol w:w="100"/>
      </w:tblGrid>
      <w:tr>
        <w:trPr>
          <w:cantSplit/>
          <w:tblHeader/>
        </w:trPr>
        <w:tc>
          <w:tcPr>
            <w:tcW w:type="pct" w:w="24%"/>
            <w:shd w:fill="EFEFEF" w:val="clear"/>
            <w:tcMar>
              <w:top w:type="dxa" w:w="50"/>
              <w:left w:type="dxa" w:w="110"/>
              <w:bottom w:type="dxa" w:w="50"/>
              <w:right w:type="dxa" w:w="110"/>
            </w:tcMar>
          </w:tcPr>
          <w:p>
            <w:pPr>
              <w:spacing w:line="276"/>
              <w:jc w:val="left"/>
            </w:pPr>
            <w:r>
              <w:rPr>
                <w:rFonts w:ascii="Times New Roman" w:eastAsia="Times New Roman"/>
                <w:b/>
                <w:bCs/>
                <w:color w:val="000000"/>
                <w:sz w:val="21"/>
                <w:szCs w:val="21"/>
              </w:rPr>
              <w:t xml:space="preserve">Source of Variation</w:t>
            </w:r>
          </w:p>
        </w:tc>
        <w:tc>
          <w:tcPr>
            <w:tcW w:type="pct" w:w="13%"/>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SS</w:t>
            </w:r>
          </w:p>
        </w:tc>
        <w:tc>
          <w:tcPr>
            <w:tcW w:type="pct" w:w="9%"/>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df</w:t>
            </w:r>
          </w:p>
        </w:tc>
        <w:tc>
          <w:tcPr>
            <w:tcW w:type="pct" w:w="13%"/>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MS</w:t>
            </w:r>
          </w:p>
        </w:tc>
        <w:tc>
          <w:tcPr>
            <w:tcW w:type="pct" w:w="12%"/>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F</w:t>
            </w:r>
          </w:p>
        </w:tc>
        <w:tc>
          <w:tcPr>
            <w:tcW w:type="pct" w:w="15%"/>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P-value</w:t>
            </w:r>
          </w:p>
        </w:tc>
        <w:tc>
          <w:tcPr>
            <w:tcW w:type="pct" w:w="14%"/>
            <w:shd w:fill="EFEFEF" w:val="clear"/>
            <w:tcMar>
              <w:top w:type="dxa" w:w="50"/>
              <w:left w:type="dxa" w:w="110"/>
              <w:bottom w:type="dxa" w:w="50"/>
              <w:right w:type="dxa" w:w="110"/>
            </w:tcMar>
          </w:tcPr>
          <w:p>
            <w:pPr>
              <w:spacing w:line="276"/>
              <w:jc w:val="center"/>
            </w:pPr>
            <w:r>
              <w:rPr>
                <w:rFonts w:ascii="Times New Roman" w:eastAsia="Times New Roman"/>
                <w:b/>
                <w:bCs/>
                <w:color w:val="000000"/>
                <w:sz w:val="21"/>
                <w:szCs w:val="21"/>
              </w:rPr>
              <w:t xml:space="preserve">F crit</w:t>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Between Groups</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42.878</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4</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10.720</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23.709</w:t>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&lt; 0.001</w:t>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2.384</w:t>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Within Groups</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332.765</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736</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0.452</w:t>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r>
        <w:trPr>
          <w:cantSplit/>
          <w:tblHeader w:val="false"/>
        </w:trPr>
        <w:tc>
          <w:tcPr>
            <w:tcW w:type="pct" w:w="24%"/>
            <w:tcMar>
              <w:top w:type="dxa" w:w="50"/>
              <w:left w:type="dxa" w:w="110"/>
              <w:bottom w:type="dxa" w:w="50"/>
              <w:right w:type="dxa" w:w="110"/>
            </w:tcMar>
          </w:tcPr>
          <w:p>
            <w:pPr>
              <w:spacing w:line="276"/>
              <w:jc w:val="left"/>
            </w:pPr>
            <w:r>
              <w:rPr>
                <w:rFonts w:ascii="Times New Roman" w:eastAsia="Times New Roman"/>
                <w:b w:val="false"/>
                <w:bCs w:val="false"/>
                <w:color w:val="000000"/>
                <w:sz w:val="21"/>
                <w:szCs w:val="21"/>
              </w:rPr>
              <w:t xml:space="preserve">Total</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375.643</w:t>
            </w:r>
          </w:p>
        </w:tc>
        <w:tc>
          <w:tcPr>
            <w:tcW w:type="pct" w:w="9%"/>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740</w:t>
            </w:r>
          </w:p>
        </w:tc>
        <w:tc>
          <w:tcPr>
            <w:tcW w:type="pct" w:w="13%"/>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2%"/>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5%"/>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c>
          <w:tcPr>
            <w:tcW w:type="pct" w:w="14%"/>
            <w:tcMar>
              <w:top w:type="dxa" w:w="50"/>
              <w:left w:type="dxa" w:w="110"/>
              <w:bottom w:type="dxa" w:w="50"/>
              <w:right w:type="dxa" w:w="110"/>
            </w:tcMar>
          </w:tcPr>
          <w:p>
            <w:pPr>
              <w:spacing w:line="276"/>
              <w:jc w:val="center"/>
            </w:pPr>
            <w:r>
              <w:rPr>
                <w:rFonts w:ascii="Times New Roman" w:eastAsia="Times New Roman"/>
                <w:b w:val="false"/>
                <w:bCs w:val="false"/>
                <w:color w:val="000000"/>
                <w:sz w:val="21"/>
                <w:szCs w:val="21"/>
              </w:rPr>
              <w:t xml:space="preserve"/>
            </w:r>
          </w:p>
        </w:tc>
      </w:tr>
    </w:tbl>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Times New Roman"/>
        <w:color w:val="808080"/>
        <w:sz w:val="18"/>
        <w:szCs w:val="18"/>
      </w:rPr>
      <w:t xml:space="preserve">115.109 Report – Sustainable Retailing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Times New Roman"/>
        <w:color w:val="808080"/>
        <w:sz w:val="18"/>
        <w:szCs w:val="18"/>
      </w:rPr>
      <w:t xml:space="preserve">115.109 Report – Sustainable Retailing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00" w:line="312"/>
      <w:outlineLvl w:val="0"/>
    </w:pPr>
    <w:rPr>
      <w:rFonts w:ascii="Times New Roman" w:eastAsia="Times New Roman"/>
      <w:b/>
      <w:bCs/>
      <w:color w:val="000000"/>
      <w:sz w:val="30"/>
      <w:szCs w:val="30"/>
    </w:rPr>
  </w:style>
  <w:style w:type="paragraph" w:styleId="Heading2">
    <w:name w:val="Heading 2"/>
    <w:basedOn w:val="Normal"/>
    <w:next w:val="Normal"/>
    <w:qFormat/>
    <w:pPr>
      <w:spacing w:after="120" w:before="220" w:line="312"/>
      <w:outlineLvl w:val="1"/>
    </w:pPr>
    <w:rPr>
      <w:rFonts w:ascii="Times New Roman" w:eastAsia="Times New Roman"/>
      <w:b/>
      <w:bCs/>
      <w:color w:val="000000"/>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0218eaf2fc71d719c70f54960fb6ee63a7def478.png"/><Relationship Id="rId12" Type="http://schemas.openxmlformats.org/officeDocument/2006/relationships/image" Target="media/355f1ee34fcda66b194678e50f53f107b42e5c9f.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Retailing: Consumer Sustainability Literacy, Attitudes and Behaviour</dc:title>
  <dc:creator>Mishal &amp; Savnit (Group 5)</dc:creator>
  <cp:lastModifiedBy>Un-named</cp:lastModifiedBy>
  <cp:revision>1</cp:revision>
  <dcterms:created xsi:type="dcterms:W3CDTF">2026-10-04T10:28:34.317Z</dcterms:created>
  <dcterms:modified xsi:type="dcterms:W3CDTF">2026-10-04T10:28:34.317Z</dcterms:modified>
</cp:coreProperties>
</file>

<file path=docProps/custom.xml><?xml version="1.0" encoding="utf-8"?>
<Properties xmlns="http://schemas.openxmlformats.org/officeDocument/2006/custom-properties" xmlns:vt="http://schemas.openxmlformats.org/officeDocument/2006/docPropsVTypes"/>
</file>