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b/>
          <w:bCs/>
          <w:sz w:val="48"/>
          <w:szCs w:val="48"/>
        </w:rPr>
        <w:t>Bankingly</w:t>
      </w:r>
    </w:p>
    <w:p>
      <w:pPr>
        <w:pStyle w:val="Normal"/>
        <w:jc w:val="center"/>
        <w:rPr>
          <w:b/>
          <w:b/>
          <w:bCs/>
          <w:sz w:val="48"/>
          <w:szCs w:val="48"/>
        </w:rPr>
      </w:pPr>
      <w:r>
        <w:rPr>
          <w:b/>
          <w:bCs/>
          <w:sz w:val="48"/>
          <w:szCs w:val="48"/>
        </w:rPr>
        <w:t>Configuraciones.</w:t>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ListParagraph"/>
        <w:numPr>
          <w:ilvl w:val="0"/>
          <w:numId w:val="1"/>
        </w:numPr>
        <w:rPr>
          <w:highlight w:val="cyan"/>
        </w:rPr>
      </w:pPr>
      <w:r>
        <w:rPr>
          <w:highlight w:val="cyan"/>
        </w:rPr>
        <w:t>Acceso a Bankingly, debe contar con el producto 141 capturado y 133 activo con saldo mínimo $50</w:t>
      </w:r>
    </w:p>
    <w:p>
      <w:pPr>
        <w:pStyle w:val="ListParagraph"/>
        <w:numPr>
          <w:ilvl w:val="0"/>
          <w:numId w:val="1"/>
        </w:numPr>
        <w:rPr>
          <w:highlight w:val="cyan"/>
        </w:rPr>
      </w:pPr>
      <w:r>
        <w:rPr>
          <w:highlight w:val="cyan"/>
        </w:rPr>
        <w:t>Se debe generar una clabe interbancaria, que debe estar ligada al producto 133</w:t>
      </w:r>
    </w:p>
    <w:p>
      <w:pPr>
        <w:pStyle w:val="ListParagraph"/>
        <w:numPr>
          <w:ilvl w:val="0"/>
          <w:numId w:val="1"/>
        </w:numPr>
        <w:rPr>
          <w:highlight w:val="cyan"/>
        </w:rPr>
      </w:pPr>
      <w:r>
        <w:rPr>
          <w:highlight w:val="cyan"/>
        </w:rPr>
        <w:t xml:space="preserve">El socio debe contar con un alias el cual se debe generar con mínimo 8 dígitos </w:t>
      </w:r>
    </w:p>
    <w:p>
      <w:pPr>
        <w:pStyle w:val="ListParagraph"/>
        <w:numPr>
          <w:ilvl w:val="0"/>
          <w:numId w:val="1"/>
        </w:numPr>
        <w:rPr>
          <w:color w:val="FFFFFF" w:themeColor="background1"/>
          <w:highlight w:val="red"/>
        </w:rPr>
      </w:pPr>
      <w:r>
        <w:rPr>
          <w:color w:val="FFFFFF" w:themeColor="background1"/>
          <w:highlight w:val="red"/>
        </w:rPr>
        <w:t>Transferencia de udis máximo a un tercero menores 8907, monto mensual acumulado.</w:t>
      </w:r>
    </w:p>
    <w:p>
      <w:pPr>
        <w:pStyle w:val="ListParagraph"/>
        <w:rPr>
          <w:color w:val="FFFFFF" w:themeColor="background1"/>
        </w:rPr>
      </w:pPr>
      <w:r>
        <w:rPr>
          <w:color w:val="FFFFFF" w:themeColor="background1"/>
          <w:highlight w:val="red"/>
        </w:rPr>
        <w:t>Controlar máximo de abono a un menor en un abono individual y acumulado mensual.</w:t>
      </w:r>
    </w:p>
    <w:p>
      <w:pPr>
        <w:pStyle w:val="ListParagraph"/>
        <w:numPr>
          <w:ilvl w:val="0"/>
          <w:numId w:val="1"/>
        </w:numPr>
        <w:rPr>
          <w:highlight w:val="cyan"/>
        </w:rPr>
      </w:pPr>
      <w:r>
        <w:rPr>
          <w:highlight w:val="cyan"/>
        </w:rPr>
        <w:t>Se debe enviar un SMS al socio por deposito a cuenta de terceros, debe incluir producto destino, monto, fecha y hora, autorización</w:t>
      </w:r>
    </w:p>
    <w:p>
      <w:pPr>
        <w:pStyle w:val="ListParagraph"/>
        <w:numPr>
          <w:ilvl w:val="0"/>
          <w:numId w:val="1"/>
        </w:numPr>
        <w:rPr>
          <w:highlight w:val="cyan"/>
        </w:rPr>
      </w:pPr>
      <w:r>
        <w:rPr>
          <w:highlight w:val="cyan"/>
        </w:rPr>
        <w:t>Las operaciones de Bankingly serán de 06:00 a 21:00 de domingo a lunes</w:t>
      </w:r>
    </w:p>
    <w:p>
      <w:pPr>
        <w:pStyle w:val="ListParagraph"/>
        <w:rPr>
          <w:highlight w:val="cyan"/>
        </w:rPr>
      </w:pPr>
      <w:r>
        <w:rPr>
          <w:highlight w:val="cyan"/>
        </w:rPr>
        <w:t xml:space="preserve">IDTABLA = bankingly_banca_movil  </w:t>
      </w:r>
    </w:p>
    <w:p>
      <w:pPr>
        <w:pStyle w:val="ListParagraph"/>
        <w:rPr>
          <w:highlight w:val="cyan"/>
        </w:rPr>
      </w:pPr>
      <w:r>
        <w:rPr>
          <w:highlight w:val="cyan"/>
        </w:rPr>
        <w:t>IDELEMENTO = horario_actividad</w:t>
      </w:r>
    </w:p>
    <w:p>
      <w:pPr>
        <w:pStyle w:val="ListParagraph"/>
        <w:rPr>
          <w:highlight w:val="cyan"/>
        </w:rPr>
      </w:pPr>
      <w:r>
        <w:rPr>
          <w:highlight w:val="cyan"/>
        </w:rPr>
        <w:t xml:space="preserve">DATO1 = 06:00 </w:t>
      </w:r>
    </w:p>
    <w:p>
      <w:pPr>
        <w:pStyle w:val="ListParagraph"/>
        <w:rPr/>
      </w:pPr>
      <w:r>
        <w:rPr>
          <w:highlight w:val="cyan"/>
        </w:rPr>
        <w:t>DATO2 = 21:00</w:t>
      </w:r>
    </w:p>
    <w:p>
      <w:pPr>
        <w:pStyle w:val="ListParagraph"/>
        <w:numPr>
          <w:ilvl w:val="0"/>
          <w:numId w:val="1"/>
        </w:numPr>
        <w:rPr>
          <w:color w:val="FFFFFF" w:themeColor="background1"/>
          <w:highlight w:val="black"/>
        </w:rPr>
      </w:pPr>
      <w:r>
        <w:rPr>
          <w:color w:val="FFFFFF" w:themeColor="background1"/>
          <w:highlight w:val="black"/>
        </w:rPr>
        <w:t>Horario Inicio: 06:00 Horario cierre 21:00</w:t>
      </w:r>
    </w:p>
    <w:p>
      <w:pPr>
        <w:pStyle w:val="ListParagraph"/>
        <w:rPr>
          <w:color w:val="FFFFFF" w:themeColor="background1"/>
        </w:rPr>
      </w:pPr>
      <w:r>
        <w:rPr>
          <w:color w:val="FFFFFF" w:themeColor="background1"/>
          <w:highlight w:val="black"/>
        </w:rPr>
        <w:t>CSN ¿Es el mismo punto anterior?</w:t>
      </w:r>
    </w:p>
    <w:p>
      <w:pPr>
        <w:pStyle w:val="ListParagraph"/>
        <w:numPr>
          <w:ilvl w:val="0"/>
          <w:numId w:val="1"/>
        </w:numPr>
        <w:rPr>
          <w:highlight w:val="cyan"/>
        </w:rPr>
      </w:pPr>
      <w:r>
        <w:rPr>
          <w:highlight w:val="cyan"/>
        </w:rPr>
        <w:t>Solo grupos que pueden realizar transferencias son (10) Mayores</w:t>
      </w:r>
    </w:p>
    <w:p>
      <w:pPr>
        <w:pStyle w:val="ListParagraph"/>
        <w:rPr>
          <w:highlight w:val="cyan"/>
        </w:rPr>
      </w:pPr>
      <w:r>
        <w:rPr>
          <w:highlight w:val="cyan"/>
        </w:rPr>
        <w:t xml:space="preserve">IDTABLA = bankingly_banca_movil  </w:t>
      </w:r>
    </w:p>
    <w:p>
      <w:pPr>
        <w:pStyle w:val="ListParagraph"/>
        <w:rPr>
          <w:highlight w:val="cyan"/>
        </w:rPr>
      </w:pPr>
      <w:r>
        <w:rPr>
          <w:highlight w:val="cyan"/>
        </w:rPr>
        <w:t xml:space="preserve">IDELEMENTO = grupo_retiro </w:t>
      </w:r>
    </w:p>
    <w:p>
      <w:pPr>
        <w:pStyle w:val="ListParagraph"/>
        <w:rPr/>
      </w:pPr>
      <w:r>
        <w:rPr>
          <w:highlight w:val="cyan"/>
        </w:rPr>
        <w:t>DATO1 = 10</w:t>
      </w:r>
    </w:p>
    <w:p>
      <w:pPr>
        <w:pStyle w:val="ListParagraph"/>
        <w:numPr>
          <w:ilvl w:val="0"/>
          <w:numId w:val="1"/>
        </w:numPr>
        <w:rPr>
          <w:highlight w:val="cyan"/>
        </w:rPr>
      </w:pPr>
      <w:r>
        <w:rPr>
          <w:highlight w:val="cyan"/>
        </w:rPr>
        <w:t>Grupo de Tercero, (10, 20,25) (Mayores, Menores, Juveniles)</w:t>
      </w:r>
    </w:p>
    <w:p>
      <w:pPr>
        <w:pStyle w:val="ListParagraph"/>
        <w:rPr>
          <w:highlight w:val="cyan"/>
        </w:rPr>
      </w:pPr>
      <w:r>
        <w:rPr>
          <w:highlight w:val="cyan"/>
        </w:rPr>
        <w:t xml:space="preserve">IDTABLA = bankingly_banca_movil  </w:t>
      </w:r>
    </w:p>
    <w:p>
      <w:pPr>
        <w:pStyle w:val="ListParagraph"/>
        <w:rPr>
          <w:highlight w:val="cyan"/>
        </w:rPr>
      </w:pPr>
      <w:r>
        <w:rPr>
          <w:highlight w:val="cyan"/>
        </w:rPr>
        <w:t xml:space="preserve">IDELEMENTO = grupo_deposito </w:t>
      </w:r>
    </w:p>
    <w:p>
      <w:pPr>
        <w:pStyle w:val="ListParagraph"/>
        <w:rPr/>
      </w:pPr>
      <w:r>
        <w:rPr>
          <w:highlight w:val="cyan"/>
        </w:rPr>
        <w:t>DATO1 = 10,20,25</w:t>
      </w:r>
      <w:bookmarkStart w:id="0" w:name="_Hlk82090038"/>
      <w:bookmarkEnd w:id="0"/>
    </w:p>
    <w:p>
      <w:pPr>
        <w:pStyle w:val="ListParagraph"/>
        <w:numPr>
          <w:ilvl w:val="0"/>
          <w:numId w:val="1"/>
        </w:numPr>
        <w:rPr>
          <w:color w:val="FFFFFF" w:themeColor="background1"/>
          <w:highlight w:val="red"/>
        </w:rPr>
      </w:pPr>
      <w:r>
        <w:rPr>
          <w:color w:val="FFFFFF" w:themeColor="background1"/>
          <w:highlight w:val="red"/>
        </w:rPr>
        <w:t>Solo se puede transferir a los menores 5,000 en su saldo acumulado diarios con un máximo mensual de 8907 udis</w:t>
      </w:r>
    </w:p>
    <w:p>
      <w:pPr>
        <w:pStyle w:val="ListParagraph"/>
        <w:rPr>
          <w:color w:val="FFFFFF" w:themeColor="background1"/>
          <w:highlight w:val="red"/>
        </w:rPr>
      </w:pPr>
      <w:r>
        <w:rPr>
          <w:color w:val="FFFFFF" w:themeColor="background1"/>
          <w:highlight w:val="red"/>
        </w:rPr>
        <w:t>Aclarar si es un monto máximo por operación y un máximo acumulado mensual a terceros menores o a un solo tercero menor</w:t>
      </w:r>
    </w:p>
    <w:p>
      <w:pPr>
        <w:pStyle w:val="ListParagraph"/>
        <w:numPr>
          <w:ilvl w:val="0"/>
          <w:numId w:val="1"/>
        </w:numPr>
        <w:rPr>
          <w:highlight w:val="cyan"/>
        </w:rPr>
      </w:pPr>
      <w:r>
        <w:rPr>
          <w:highlight w:val="cyan"/>
        </w:rPr>
        <w:t>En caso de no poder entregar un SMS el web services debe regresar un mensaje (No fue posible entregar el Mensaje SMS, favor de validar con SISCOOP)</w:t>
      </w:r>
    </w:p>
    <w:p>
      <w:pPr>
        <w:pStyle w:val="ListParagraph"/>
        <w:numPr>
          <w:ilvl w:val="0"/>
          <w:numId w:val="1"/>
        </w:numPr>
        <w:rPr>
          <w:highlight w:val="cyan"/>
        </w:rPr>
      </w:pPr>
      <w:r>
        <w:rPr>
          <w:highlight w:val="cyan"/>
        </w:rPr>
        <w:t>Mensajes extras en la aplicación Bankingly para el socio cuando se paga un préstamo (EVITA ATRASOS, EN TU PRESTAMO EL PAGO DE INTERES DEBE SER MENSUAL")</w:t>
      </w:r>
    </w:p>
    <w:p>
      <w:pPr>
        <w:pStyle w:val="ListParagraph"/>
        <w:rPr>
          <w:highlight w:val="cyan"/>
        </w:rPr>
      </w:pPr>
      <w:r>
        <w:rPr>
          <w:highlight w:val="cyan"/>
        </w:rPr>
        <w:t xml:space="preserve">IDTABLA = bankingly_banca_movil  </w:t>
      </w:r>
    </w:p>
    <w:p>
      <w:pPr>
        <w:pStyle w:val="ListParagraph"/>
        <w:rPr>
          <w:highlight w:val="cyan"/>
        </w:rPr>
      </w:pPr>
      <w:r>
        <w:rPr>
          <w:highlight w:val="cyan"/>
        </w:rPr>
        <w:t xml:space="preserve">IDELEMENTO = mensaje_abono_prestamo </w:t>
      </w:r>
    </w:p>
    <w:p>
      <w:pPr>
        <w:pStyle w:val="ListParagraph"/>
        <w:rPr/>
      </w:pPr>
      <w:r>
        <w:rPr>
          <w:highlight w:val="cyan"/>
        </w:rPr>
        <w:t>DATO2 = El texto del mensaje completo</w:t>
      </w:r>
    </w:p>
    <w:p>
      <w:pPr>
        <w:pStyle w:val="ListParagraph"/>
        <w:numPr>
          <w:ilvl w:val="0"/>
          <w:numId w:val="1"/>
        </w:numPr>
        <w:rPr>
          <w:highlight w:val="cyan"/>
        </w:rPr>
      </w:pPr>
      <w:r>
        <w:rPr>
          <w:highlight w:val="cyan"/>
        </w:rPr>
        <w:t>El monto mínimo para envío de mensaje sms es de 1,000 por transacción</w:t>
      </w:r>
    </w:p>
    <w:p>
      <w:pPr>
        <w:pStyle w:val="ListParagraph"/>
        <w:rPr>
          <w:highlight w:val="cyan"/>
        </w:rPr>
      </w:pPr>
      <w:r>
        <w:rPr>
          <w:highlight w:val="cyan"/>
        </w:rPr>
        <w:t xml:space="preserve">IDTABLA = bankingly_banca_movil  </w:t>
      </w:r>
    </w:p>
    <w:p>
      <w:pPr>
        <w:pStyle w:val="ListParagraph"/>
        <w:rPr>
          <w:highlight w:val="cyan"/>
        </w:rPr>
      </w:pPr>
      <w:r>
        <w:rPr>
          <w:highlight w:val="cyan"/>
        </w:rPr>
        <w:t xml:space="preserve">IDELEMENTO = monto_operacion_minima_mensaje </w:t>
      </w:r>
    </w:p>
    <w:p>
      <w:pPr>
        <w:pStyle w:val="ListParagraph"/>
        <w:rPr>
          <w:highlight w:val="cyan"/>
        </w:rPr>
      </w:pPr>
      <w:r>
        <w:rPr>
          <w:highlight w:val="cyan"/>
        </w:rPr>
        <w:t>DATO1 = 1000</w:t>
      </w:r>
    </w:p>
    <w:p>
      <w:pPr>
        <w:pStyle w:val="ListParagraph"/>
        <w:numPr>
          <w:ilvl w:val="0"/>
          <w:numId w:val="1"/>
        </w:numPr>
        <w:rPr>
          <w:highlight w:val="cyan"/>
        </w:rPr>
      </w:pPr>
      <w:r>
        <w:rPr>
          <w:highlight w:val="cyan"/>
        </w:rPr>
        <w:t>Se cuenta con la siguiente liga para el envío de mensajes sms</w:t>
      </w:r>
    </w:p>
    <w:p>
      <w:pPr>
        <w:pStyle w:val="ListParagraph"/>
        <w:rPr/>
      </w:pPr>
      <w:hyperlink r:id="rId2">
        <w:r>
          <w:rPr>
            <w:rStyle w:val="EnlacedeInternet"/>
            <w:highlight w:val="cyan"/>
          </w:rPr>
          <w:t>http://192.168.15.50/CSNsms/action.php?mensaje=_mensaje&amp;numero=_numero</w:t>
        </w:r>
      </w:hyperlink>
    </w:p>
    <w:p>
      <w:pPr>
        <w:pStyle w:val="ListParagraph"/>
        <w:rPr>
          <w:highlight w:val="cyan"/>
        </w:rPr>
      </w:pPr>
      <w:r>
        <w:rPr>
          <w:highlight w:val="cyan"/>
        </w:rPr>
        <w:t>Solo acepta 60 caracteres, se envía el mensaje al número del socio</w:t>
      </w:r>
    </w:p>
    <w:p>
      <w:pPr>
        <w:pStyle w:val="ListParagraph"/>
        <w:rPr>
          <w:highlight w:val="cyan"/>
        </w:rPr>
      </w:pPr>
      <w:r>
        <w:rPr>
          <w:highlight w:val="cyan"/>
        </w:rPr>
        <w:t>CSN Clarificar si lo de los 60 caracteres se busca controlar. Si fuera cierto sugiero rediseñar los mensajes para que no excedan. Si no eliminar el punto</w:t>
      </w:r>
    </w:p>
    <w:p>
      <w:pPr>
        <w:pStyle w:val="ListParagraph"/>
        <w:rPr>
          <w:highlight w:val="cyan"/>
        </w:rPr>
      </w:pPr>
      <w:r>
        <w:rPr>
          <w:highlight w:val="cyan"/>
        </w:rPr>
        <w:t xml:space="preserve">IDTABLA = bankingly_banca_movil  </w:t>
      </w:r>
    </w:p>
    <w:p>
      <w:pPr>
        <w:pStyle w:val="ListParagraph"/>
        <w:rPr>
          <w:highlight w:val="cyan"/>
        </w:rPr>
      </w:pPr>
      <w:r>
        <w:rPr>
          <w:highlight w:val="cyan"/>
        </w:rPr>
        <w:t xml:space="preserve">IDELEMENTO = liga_envio_mensajes </w:t>
      </w:r>
    </w:p>
    <w:p>
      <w:pPr>
        <w:pStyle w:val="ListParagraph"/>
        <w:rPr/>
      </w:pPr>
      <w:r>
        <w:rPr>
          <w:highlight w:val="cyan"/>
        </w:rPr>
        <w:t>DATO2=liga URL</w:t>
      </w:r>
      <w:r>
        <w:rPr/>
        <w:t xml:space="preserve"> </w:t>
      </w:r>
    </w:p>
    <w:p>
      <w:pPr>
        <w:pStyle w:val="ListParagraph"/>
        <w:numPr>
          <w:ilvl w:val="0"/>
          <w:numId w:val="1"/>
        </w:numPr>
        <w:rPr>
          <w:highlight w:val="cyan"/>
        </w:rPr>
      </w:pPr>
      <w:r>
        <w:rPr>
          <w:highlight w:val="cyan"/>
        </w:rPr>
        <w:t>Mensajes de SMS para RETIROS de cuentas propias y de retiro de cuentas a terceros</w:t>
      </w:r>
    </w:p>
    <w:tbl>
      <w:tblPr>
        <w:tblW w:w="26160" w:type="dxa"/>
        <w:jc w:val="left"/>
        <w:tblInd w:w="0" w:type="dxa"/>
        <w:tblCellMar>
          <w:top w:w="0" w:type="dxa"/>
          <w:left w:w="70" w:type="dxa"/>
          <w:bottom w:w="0" w:type="dxa"/>
          <w:right w:w="70" w:type="dxa"/>
        </w:tblCellMar>
        <w:tblLook w:val="04a0" w:noVBand="1" w:firstColumn="1" w:lastColumn="0" w:noHBand="0" w:lastRow="0" w:firstRow="1"/>
      </w:tblPr>
      <w:tblGrid>
        <w:gridCol w:w="26160"/>
      </w:tblGrid>
      <w:tr>
        <w:trPr>
          <w:trHeight w:val="300" w:hRule="atLeast"/>
        </w:trPr>
        <w:tc>
          <w:tcPr>
            <w:tcW w:w="26160" w:type="dxa"/>
            <w:tcBorders/>
            <w:shd w:color="auto" w:fill="auto" w:val="clear"/>
            <w:vAlign w:val="bottom"/>
          </w:tcPr>
          <w:p>
            <w:pPr>
              <w:pStyle w:val="ListParagraph"/>
              <w:spacing w:lineRule="auto" w:line="240" w:before="0" w:after="0"/>
              <w:contextualSpacing/>
              <w:rPr>
                <w:rFonts w:ascii="Calibri" w:hAnsi="Calibri" w:eastAsia="Times New Roman" w:cs="Calibri"/>
                <w:color w:val="FFFFFF" w:themeColor="background1"/>
                <w:lang w:eastAsia="es-MX"/>
              </w:rPr>
            </w:pPr>
            <w:r>
              <w:rPr>
                <w:rFonts w:eastAsia="Times New Roman" w:cs="Calibri"/>
                <w:color w:val="000000"/>
                <w:highlight w:val="cyan"/>
                <w:lang w:eastAsia="es-MX"/>
              </w:rPr>
              <w:t xml:space="preserve">RETIRO: @productoOrigen@ @monto@ @fechayHora@ </w:t>
            </w:r>
            <w:r>
              <w:rPr>
                <w:rFonts w:eastAsia="Times New Roman" w:cs="Calibri"/>
                <w:color w:val="FFFFFF" w:themeColor="background1"/>
                <w:highlight w:val="red"/>
                <w:lang w:eastAsia="es-MX"/>
              </w:rPr>
              <w:t>@autorizacionOrigen@</w:t>
            </w:r>
          </w:p>
        </w:tc>
      </w:tr>
    </w:tbl>
    <w:p>
      <w:pPr>
        <w:pStyle w:val="ListParagraph"/>
        <w:numPr>
          <w:ilvl w:val="0"/>
          <w:numId w:val="1"/>
        </w:numPr>
        <w:rPr>
          <w:color w:val="FFFFFF" w:themeColor="background1"/>
          <w:highlight w:val="magenta"/>
        </w:rPr>
      </w:pPr>
      <w:r>
        <w:rPr>
          <w:color w:val="FFFFFF" w:themeColor="background1"/>
          <w:highlight w:val="magenta"/>
        </w:rPr>
        <w:t>Mensajes de SMS para ABONOS de cuentas propias y de retiro de cuentas a terceros</w:t>
      </w:r>
    </w:p>
    <w:p>
      <w:pPr>
        <w:pStyle w:val="ListParagraph"/>
        <w:spacing w:lineRule="auto" w:line="240" w:before="0" w:after="0"/>
        <w:contextualSpacing/>
        <w:rPr>
          <w:rFonts w:ascii="Calibri" w:hAnsi="Calibri" w:eastAsia="Times New Roman" w:cs="Calibri"/>
          <w:color w:val="FFFFFF" w:themeColor="background1"/>
          <w:lang w:eastAsia="es-MX"/>
        </w:rPr>
      </w:pPr>
      <w:r>
        <w:rPr>
          <w:rFonts w:eastAsia="Times New Roman" w:cs="Calibri"/>
          <w:color w:val="FFFFFF" w:themeColor="background1"/>
          <w:highlight w:val="magenta"/>
          <w:lang w:eastAsia="es-MX"/>
        </w:rPr>
        <w:t>ABONO: @productoDestino@ @monto@ @fechayHora@ @autorizacionDestino@</w:t>
      </w:r>
    </w:p>
    <w:p>
      <w:pPr>
        <w:pStyle w:val="ListParagraph"/>
        <w:rPr/>
      </w:pPr>
      <w:r>
        <w:rPr/>
        <w:t>Según Cesar no se usará. Validar que sea cierto</w:t>
      </w:r>
    </w:p>
    <w:p>
      <w:pPr>
        <w:pStyle w:val="ListParagraph"/>
        <w:numPr>
          <w:ilvl w:val="0"/>
          <w:numId w:val="1"/>
        </w:numPr>
        <w:rPr>
          <w:color w:val="FFFFFF" w:themeColor="background1"/>
          <w:highlight w:val="magenta"/>
        </w:rPr>
      </w:pPr>
      <w:r>
        <w:rPr>
          <w:color w:val="FFFFFF" w:themeColor="background1"/>
          <w:highlight w:val="magenta"/>
        </w:rPr>
        <w:t>Mensajes de SMS para RETIROS de cuentas propias y de retiro de cuentas a terceros</w:t>
      </w:r>
    </w:p>
    <w:p>
      <w:pPr>
        <w:pStyle w:val="ListParagraph"/>
        <w:rPr/>
      </w:pPr>
      <w:r>
        <w:rPr/>
        <w:t>¿Es el mismo punto 15?</w:t>
      </w:r>
    </w:p>
    <w:p>
      <w:pPr>
        <w:pStyle w:val="ListParagraph"/>
        <w:numPr>
          <w:ilvl w:val="0"/>
          <w:numId w:val="1"/>
        </w:numPr>
        <w:rPr>
          <w:highlight w:val="cyan"/>
        </w:rPr>
      </w:pPr>
      <w:r>
        <w:rPr>
          <w:highlight w:val="cyan"/>
        </w:rPr>
        <w:t>El socio debe contar con una cuenta de correo electrónico para que le puedan llegar sus notificaciones No se hace algo desde FENORESTE</w:t>
      </w:r>
    </w:p>
    <w:p>
      <w:pPr>
        <w:pStyle w:val="ListParagraph"/>
        <w:rPr/>
      </w:pPr>
      <w:r>
        <w:rPr/>
      </w:r>
    </w:p>
    <w:p>
      <w:pPr>
        <w:pStyle w:val="ListParagraph"/>
        <w:numPr>
          <w:ilvl w:val="0"/>
          <w:numId w:val="1"/>
        </w:numPr>
        <w:spacing w:lineRule="auto" w:line="240" w:before="0" w:after="0"/>
        <w:contextualSpacing/>
        <w:rPr>
          <w:rFonts w:ascii="Calibri" w:hAnsi="Calibri" w:eastAsia="Times New Roman" w:cs="Calibri"/>
          <w:color w:val="000000"/>
          <w:highlight w:val="cyan"/>
          <w:lang w:eastAsia="es-MX"/>
        </w:rPr>
      </w:pPr>
      <w:r>
        <w:rPr>
          <w:rFonts w:eastAsia="Times New Roman" w:cs="Calibri"/>
          <w:color w:val="000000"/>
          <w:highlight w:val="cyan"/>
          <w:lang w:eastAsia="es-MX"/>
        </w:rPr>
        <w:t>&lt;p&gt;&lt;b&gt;TRANSFERENCIA ENTRE CUENTAS PROPIAS&lt;/b&gt;&lt;/p&gt; &lt;p&gt;Realizaste una transferencia de tu @productoOrigen@ hacia @productoDestino@ por un monto de $ @monto@ el día @fechayHora@ con el siguiente número de autorización @autorizacion_origen@&lt;/p&gt;</w:t>
      </w:r>
    </w:p>
    <w:p>
      <w:pPr>
        <w:pStyle w:val="ListParagraph"/>
        <w:numPr>
          <w:ilvl w:val="0"/>
          <w:numId w:val="1"/>
        </w:numPr>
        <w:rPr>
          <w:highlight w:val="magenta"/>
        </w:rPr>
      </w:pPr>
      <w:r>
        <w:rPr>
          <w:color w:val="FFFFFF" w:themeColor="background1"/>
          <w:highlight w:val="magenta"/>
        </w:rPr>
        <w:t>El socio debe contar con una cuenta de correo electrónico para que le puedan llegar sus notificaciones</w:t>
      </w:r>
      <w:r>
        <w:rPr>
          <w:color w:val="FFFFFF" w:themeColor="background1"/>
        </w:rPr>
        <w:t xml:space="preserve"> </w:t>
      </w:r>
      <w:r>
        <w:rPr/>
        <w:t>Es el mismo que el 18</w:t>
      </w:r>
    </w:p>
    <w:p>
      <w:pPr>
        <w:pStyle w:val="ListParagraph"/>
        <w:numPr>
          <w:ilvl w:val="0"/>
          <w:numId w:val="1"/>
        </w:numPr>
        <w:rPr>
          <w:highlight w:val="magenta"/>
        </w:rPr>
      </w:pPr>
      <w:r>
        <w:rPr>
          <w:highlight w:val="magenta"/>
        </w:rPr>
        <w:t>&lt;p&gt;&lt;b&gt;TRANSFERENCIA CUENTAS TERCEROS&lt;/b&gt;&lt;/p&gt; &lt;p&gt;Realizaste una transferencia de tu @productoOrigen@ hacia @productoDestino@ por un monto de $ @monto@ el día @fechayHora@ con el siguiente número de autorización @autorizacion_destino@</w:t>
      </w:r>
    </w:p>
    <w:p>
      <w:pPr>
        <w:pStyle w:val="ListParagraph"/>
        <w:rPr/>
      </w:pPr>
      <w:r>
        <w:rPr/>
        <w:t>CSN Clarificar el tema de los mensajes. Es el mismo punto</w:t>
      </w:r>
    </w:p>
    <w:p>
      <w:pPr>
        <w:pStyle w:val="ListParagraph"/>
        <w:rPr/>
      </w:pPr>
      <w:r>
        <w:rPr/>
      </w:r>
    </w:p>
    <w:p>
      <w:pPr>
        <w:pStyle w:val="ListParagraph"/>
        <w:numPr>
          <w:ilvl w:val="0"/>
          <w:numId w:val="1"/>
        </w:numPr>
        <w:rPr>
          <w:highlight w:val="cyan"/>
        </w:rPr>
      </w:pPr>
      <w:r>
        <w:rPr>
          <w:highlight w:val="cyan"/>
        </w:rPr>
        <w:t>Cuenta eje para realizar transferencias a terceros es el producto 133, y se pueden realizar a los siguientes productos</w:t>
      </w:r>
    </w:p>
    <w:p>
      <w:pPr>
        <w:pStyle w:val="ListParagraph"/>
        <w:rPr>
          <w:b/>
          <w:b/>
          <w:bCs/>
        </w:rPr>
      </w:pPr>
      <w:r>
        <w:rPr>
          <w:b/>
          <w:bCs/>
          <w:highlight w:val="cyan"/>
        </w:rPr>
        <w:t>SOLO SE PUEDE RETIRAR DEL PROD 133 TDD Y ENVIAR A LA SIG LISTA</w:t>
      </w:r>
    </w:p>
    <w:p>
      <w:pPr>
        <w:pStyle w:val="ListParagraph"/>
        <w:rPr/>
      </w:pPr>
      <w:r>
        <w:rPr>
          <w:highlight w:val="cyan"/>
        </w:rPr>
        <w:t>110,120,125,133,33164,32644,32664,32674,30114,30144,30145,30154,30166,30175,31295,32744,33144,33154,33166,33175,33044,32644,33244,33474,33264,34474,34374,33195,33374,33375,33475,34375,33474,34546,34474,34475,33746,33844,34146,34544,34564,34566,34644,34666,30164,34664,34666,33266,33275,35475,35244,35375,34044,36644,36654,36664,36744,36754,36764,36844,36854,36864,34564,33964</w:t>
      </w:r>
      <w:r>
        <w:rPr/>
        <w:t xml:space="preserve">  </w:t>
      </w:r>
    </w:p>
    <w:p>
      <w:pPr>
        <w:pStyle w:val="ListParagraph"/>
        <w:numPr>
          <w:ilvl w:val="0"/>
          <w:numId w:val="1"/>
        </w:numPr>
        <w:rPr>
          <w:color w:val="FFFFFF" w:themeColor="background1"/>
          <w:highlight w:val="magenta"/>
        </w:rPr>
      </w:pPr>
      <w:r>
        <w:rPr>
          <w:color w:val="FFFFFF" w:themeColor="background1"/>
          <w:highlight w:val="magenta"/>
        </w:rPr>
        <w:t>Cuenta eje para realizar transferencias a cuenta es el producto 133, y se pueden realizar a los siguientes productos110,33164,32644,32664,32674,30144,30114,30145,30166,30154,30175,32744,33044,33144,33154,33166,33175,32644,33244,33264,33474,34474,34374,33374,33375,33475,34375,33474,33195,34474,34475,33746,34146,34544,34546,34566,34666,30164,35464,34644,34664,34666,33266,33275,35475,33844,35244,35375,34044,36644,36654,36664,36744,36754,36764,36844,36854,36864,34564</w:t>
      </w:r>
    </w:p>
    <w:p>
      <w:pPr>
        <w:pStyle w:val="ListParagraph"/>
        <w:numPr>
          <w:ilvl w:val="0"/>
          <w:numId w:val="1"/>
        </w:numPr>
        <w:rPr>
          <w:color w:val="FFFFFF" w:themeColor="background1"/>
          <w:highlight w:val="red"/>
        </w:rPr>
      </w:pPr>
      <w:r>
        <w:rPr>
          <w:color w:val="FFFFFF" w:themeColor="background1"/>
          <w:highlight w:val="red"/>
        </w:rPr>
        <w:t>Debe existir la posibilidad de activar o desactivar la TDD producto 133, esto se puede hacer en una tabla en saicoop, actualmente el estatus es 1 activo</w:t>
      </w:r>
    </w:p>
    <w:p>
      <w:pPr>
        <w:pStyle w:val="ListParagraph"/>
        <w:rPr/>
      </w:pPr>
      <w:r>
        <w:rPr/>
        <w:t>Revisar si se seguirá inactivando desde SAICoop</w:t>
      </w:r>
    </w:p>
    <w:p>
      <w:pPr>
        <w:pStyle w:val="ListParagraph"/>
        <w:rPr/>
      </w:pPr>
      <w:r>
        <w:rPr/>
      </w:r>
    </w:p>
    <w:p>
      <w:pPr>
        <w:pStyle w:val="ListParagraph"/>
        <w:rPr>
          <w:b/>
          <w:b/>
          <w:bCs/>
        </w:rPr>
      </w:pPr>
      <w:r>
        <w:rPr>
          <w:b/>
          <w:bCs/>
          <w:highlight w:val="darkGray"/>
        </w:rPr>
        <w:t>CONTROLAR POR MEDIO DE UN PARAMETRO</w:t>
      </w:r>
    </w:p>
    <w:p>
      <w:pPr>
        <w:pStyle w:val="ListParagraph"/>
        <w:rPr/>
      </w:pPr>
      <w:r>
        <w:rPr/>
      </w:r>
    </w:p>
    <w:p>
      <w:pPr>
        <w:pStyle w:val="ListParagraph"/>
        <w:numPr>
          <w:ilvl w:val="0"/>
          <w:numId w:val="1"/>
        </w:numPr>
        <w:rPr>
          <w:color w:val="FFFFFF" w:themeColor="background1"/>
          <w:highlight w:val="red"/>
        </w:rPr>
      </w:pPr>
      <w:r>
        <w:rPr>
          <w:color w:val="FFFFFF" w:themeColor="background1"/>
          <w:highlight w:val="red"/>
        </w:rPr>
        <w:t>Debe existir la posibilidad de agrupar los productos por Cuenta Eje (133) TDD , Cuentas de Ahorro (110), Cuentas de Menores y Juveniles (120,125) , Inversiones (205)  y productos de crédito (30190,31290,33064,32744,33164,32644,32664,32674,32690,30114,30144,30145,30146,30154,30166,30175,32764,32790,33044,33090,33144,33190,31295,33154,33166,33175,33195,33244,33264,33290,33390,33391,33474,33490,33491,34474,34374,33374,33375,33474,33475,34375,33474,33644,33690,33790,33990,34090,34190,34390,34391,34474,34475,34490,34590,33746,33764,34146,34164,34544,34566,35375,35474,35475,30164,34546,34644,34664,34666,34690,33266,33275,33844,35244,35474,34044,35390,35491,36644,36654,36664,36690,36744,36754,36764,36790,36844,36854,36864,34564,33964)</w:t>
      </w:r>
    </w:p>
    <w:p>
      <w:pPr>
        <w:pStyle w:val="ListParagraph"/>
        <w:rPr>
          <w:color w:val="FFFFFF" w:themeColor="background1"/>
        </w:rPr>
      </w:pPr>
      <w:r>
        <w:rPr>
          <w:color w:val="FFFFFF" w:themeColor="background1"/>
          <w:highlight w:val="red"/>
        </w:rPr>
        <w:t>Nota: Solo a la cuenta Eje (133) es la única que se le puede retirar saldo, los abonos a la cuenta Eje (133) se realizan por SPEI</w:t>
      </w:r>
    </w:p>
    <w:p>
      <w:pPr>
        <w:pStyle w:val="ListParagraph"/>
        <w:rPr/>
      </w:pPr>
      <w:r>
        <w:rPr>
          <w:highlight w:val="yellow"/>
        </w:rPr>
        <w:t>CSN Por favor explicar más el concepto de agrupación</w:t>
      </w:r>
      <w:r>
        <w:rPr/>
        <w:t>.</w:t>
      </w:r>
    </w:p>
    <w:p>
      <w:pPr>
        <w:pStyle w:val="ListParagraph"/>
        <w:numPr>
          <w:ilvl w:val="0"/>
          <w:numId w:val="1"/>
        </w:numPr>
        <w:rPr>
          <w:color w:val="FFFFFF" w:themeColor="background1"/>
          <w:highlight w:val="red"/>
        </w:rPr>
      </w:pPr>
      <w:r>
        <w:rPr>
          <w:color w:val="FFFFFF" w:themeColor="background1"/>
          <w:highlight w:val="red"/>
        </w:rPr>
        <w:t>Debe existir una lista sopar llamada banca_movil_lista_negra, el cual tiene como objetivo el poder agregar a los socios que no deben contar con el acceso a esta aplicación</w:t>
      </w:r>
    </w:p>
    <w:p>
      <w:pPr>
        <w:pStyle w:val="ListParagraph"/>
        <w:rPr/>
      </w:pPr>
      <w:r>
        <w:rPr/>
        <w:t>¿Es para efecto de los nuevos usuarios o de aquellos que se pretenda bloquear el acceso a la aplicación?</w:t>
      </w:r>
    </w:p>
    <w:p>
      <w:pPr>
        <w:pStyle w:val="ListParagraph"/>
        <w:rPr>
          <w:b/>
          <w:b/>
          <w:bCs/>
        </w:rPr>
      </w:pPr>
      <w:r>
        <w:rPr>
          <w:b/>
          <w:bCs/>
        </w:rPr>
        <w:t>CREAR LISTA DE SOCIOS BLOQUEADO PARA LA BANCA MOVIL</w:t>
      </w:r>
    </w:p>
    <w:p>
      <w:pPr>
        <w:pStyle w:val="ListParagraph"/>
        <w:numPr>
          <w:ilvl w:val="0"/>
          <w:numId w:val="1"/>
        </w:numPr>
        <w:rPr>
          <w:color w:val="FFFFFF" w:themeColor="background1"/>
          <w:highlight w:val="red"/>
        </w:rPr>
      </w:pPr>
      <w:r>
        <w:rPr>
          <w:color w:val="FFFFFF" w:themeColor="background1"/>
          <w:highlight w:val="red"/>
        </w:rPr>
        <w:t>Debe Existir parametrización para definir la cuenta y el servidor que puede enviar correo electrónico</w:t>
      </w:r>
    </w:p>
    <w:p>
      <w:pPr>
        <w:pStyle w:val="ListParagraph"/>
        <w:rPr>
          <w:b/>
          <w:b/>
          <w:bCs/>
          <w:color w:val="FFFFFF" w:themeColor="background1"/>
        </w:rPr>
      </w:pPr>
      <w:r>
        <w:rPr>
          <w:b/>
          <w:bCs/>
          <w:color w:val="FFFFFF" w:themeColor="background1"/>
          <w:highlight w:val="red"/>
        </w:rPr>
        <w:t>CREAR PARAMETRO POR SI ESTOS DATOS LUEGO CAMBIAN</w:t>
      </w:r>
    </w:p>
    <w:p>
      <w:pPr>
        <w:pStyle w:val="ListParagraph"/>
        <w:rPr>
          <w:b/>
          <w:b/>
          <w:bCs/>
        </w:rPr>
      </w:pPr>
      <w:r>
        <w:rPr>
          <w:b/>
          <w:bCs/>
        </w:rPr>
        <w:t>Preguntar que hacemos porque los correos los envía Bankingly</w:t>
      </w:r>
    </w:p>
    <w:p>
      <w:pPr>
        <w:pStyle w:val="ListParagraph"/>
        <w:numPr>
          <w:ilvl w:val="0"/>
          <w:numId w:val="1"/>
        </w:numPr>
        <w:rPr>
          <w:highlight w:val="cyan"/>
        </w:rPr>
      </w:pPr>
      <w:r>
        <w:rPr>
          <w:highlight w:val="cyan"/>
        </w:rPr>
        <w:t>Debe existir la posibilidad de activar o desactivar los mensajes de SMS 133, esto se puede hacer en una tabla en saicoop, actualmente el estatus es 1 activo</w:t>
      </w:r>
    </w:p>
    <w:p>
      <w:pPr>
        <w:pStyle w:val="ListParagraph"/>
        <w:rPr>
          <w:b/>
          <w:b/>
          <w:bCs/>
        </w:rPr>
      </w:pPr>
      <w:r>
        <w:rPr>
          <w:b/>
          <w:bCs/>
          <w:highlight w:val="cyan"/>
        </w:rPr>
        <w:t>CREAR PARAMETRO O SWITCH GENERAL QUE DETENGA EL ENVIO DE MENSAJES</w:t>
      </w:r>
    </w:p>
    <w:p>
      <w:pPr>
        <w:pStyle w:val="ListParagraph"/>
        <w:numPr>
          <w:ilvl w:val="0"/>
          <w:numId w:val="1"/>
        </w:numPr>
        <w:rPr>
          <w:color w:val="FFFFFF" w:themeColor="background1"/>
          <w:highlight w:val="red"/>
        </w:rPr>
      </w:pPr>
      <w:r>
        <w:rPr>
          <w:color w:val="FFFFFF" w:themeColor="background1"/>
          <w:highlight w:val="red"/>
        </w:rPr>
        <w:t>Debe existir la posibilidad de parametrizar el monto menor de envío de correo para cada transferencia, actualmente está 0.5 Centavos</w:t>
      </w:r>
    </w:p>
    <w:p>
      <w:pPr>
        <w:pStyle w:val="ListParagraph"/>
        <w:rPr>
          <w:b/>
          <w:b/>
          <w:bCs/>
          <w:color w:val="FFFFFF" w:themeColor="background1"/>
        </w:rPr>
      </w:pPr>
      <w:r>
        <w:rPr>
          <w:b/>
          <w:bCs/>
          <w:color w:val="FFFFFF" w:themeColor="background1"/>
          <w:highlight w:val="red"/>
        </w:rPr>
        <w:t>CREAR PARAMETRO QUE CONTROLE EL ENVIO DE CORREO A PARTIR DE .05 PESOS.</w:t>
      </w:r>
    </w:p>
    <w:p>
      <w:pPr>
        <w:pStyle w:val="ListParagraph"/>
        <w:rPr>
          <w:b/>
          <w:b/>
          <w:bCs/>
        </w:rPr>
      </w:pPr>
      <w:r>
        <w:rPr/>
        <w:t>.</w:t>
      </w:r>
      <w:r>
        <w:rPr>
          <w:b/>
          <w:bCs/>
        </w:rPr>
        <w:t xml:space="preserve"> Preguntar que hacemos porque los correos los envía Bankingly</w:t>
      </w:r>
    </w:p>
    <w:p>
      <w:pPr>
        <w:pStyle w:val="ListParagraph"/>
        <w:numPr>
          <w:ilvl w:val="0"/>
          <w:numId w:val="1"/>
        </w:numPr>
        <w:rPr>
          <w:color w:val="FFFFFF" w:themeColor="background1"/>
          <w:highlight w:val="magenta"/>
        </w:rPr>
      </w:pPr>
      <w:r>
        <w:rPr>
          <w:color w:val="FFFFFF" w:themeColor="background1"/>
          <w:highlight w:val="magenta"/>
        </w:rPr>
        <w:t>Los grupos permitidos para realizar transferencias entre un grupo mayor (10) a grupo menores y juveniles (20,25) respectivamente</w:t>
      </w:r>
    </w:p>
    <w:p>
      <w:pPr>
        <w:pStyle w:val="ListParagraph"/>
        <w:rPr/>
      </w:pPr>
      <w:r>
        <w:rPr/>
        <w:t>Es el mismo punto anterior</w:t>
      </w:r>
    </w:p>
    <w:p>
      <w:pPr>
        <w:pStyle w:val="ListParagraph"/>
        <w:numPr>
          <w:ilvl w:val="0"/>
          <w:numId w:val="1"/>
        </w:numPr>
        <w:rPr>
          <w:highlight w:val="yellow"/>
        </w:rPr>
      </w:pPr>
      <w:r>
        <w:rPr>
          <w:highlight w:val="yellow"/>
        </w:rPr>
        <w:t>Para todas las operaciones de la tarjeta de débito (133) se deben conectar al web services de (S&amp;C/Alestra), usuario, password, debe existir un parámetro para definir las urls del web services y tener la posibilidad de cambiar en caso de contingencia, esta tabla debe existir en saicoop</w:t>
      </w:r>
    </w:p>
    <w:p>
      <w:pPr>
        <w:pStyle w:val="ListParagraph"/>
        <w:rPr/>
      </w:pPr>
      <w:r>
        <w:rPr>
          <w:b/>
          <w:bCs/>
          <w:highlight w:val="yellow"/>
        </w:rPr>
        <w:t>CREAR PARAMETRO PARA CONTROLAR LOS US Y PASS DEL LLAMADO MAS VALORES ADICIONALES NECESARIOS QUE PUEDA VARIAR</w:t>
      </w:r>
    </w:p>
    <w:p>
      <w:pPr>
        <w:pStyle w:val="ListParagraph"/>
        <w:rPr/>
      </w:pPr>
      <w:r>
        <w:rPr/>
      </w:r>
    </w:p>
    <w:p>
      <w:pPr>
        <w:pStyle w:val="ListParagraph"/>
        <w:numPr>
          <w:ilvl w:val="0"/>
          <w:numId w:val="1"/>
        </w:numPr>
        <w:rPr>
          <w:color w:val="FFFFFF" w:themeColor="background1"/>
          <w:highlight w:val="blue"/>
        </w:rPr>
      </w:pPr>
      <w:r>
        <w:rPr>
          <w:color w:val="FFFFFF" w:themeColor="background1"/>
          <w:highlight w:val="blue"/>
        </w:rPr>
        <w:t>El producto eje para envió de mensajes de texto es el producto 133</w:t>
      </w:r>
    </w:p>
    <w:p>
      <w:pPr>
        <w:pStyle w:val="ListParagraph"/>
        <w:numPr>
          <w:ilvl w:val="0"/>
          <w:numId w:val="1"/>
        </w:numPr>
        <w:rPr>
          <w:color w:val="FFFFFF" w:themeColor="background1"/>
          <w:highlight w:val="blue"/>
        </w:rPr>
      </w:pPr>
      <w:r>
        <w:rPr>
          <w:color w:val="FFFFFF" w:themeColor="background1"/>
          <w:highlight w:val="blue"/>
        </w:rPr>
        <w:t>El producto eje para envió de correo electrónico es el producto 133</w:t>
      </w:r>
    </w:p>
    <w:p>
      <w:pPr>
        <w:pStyle w:val="ListParagraph"/>
        <w:numPr>
          <w:ilvl w:val="0"/>
          <w:numId w:val="1"/>
        </w:numPr>
        <w:rPr>
          <w:color w:val="FFFFFF" w:themeColor="background1"/>
          <w:highlight w:val="red"/>
        </w:rPr>
      </w:pPr>
      <w:r>
        <w:rPr>
          <w:color w:val="FFFFFF" w:themeColor="background1"/>
          <w:highlight w:val="red"/>
        </w:rPr>
        <w:t>Movimientos máximos por mostrar de operaciones son 10.</w:t>
      </w:r>
    </w:p>
    <w:p>
      <w:pPr>
        <w:pStyle w:val="ListParagraph"/>
        <w:rPr/>
      </w:pPr>
      <w:r>
        <w:rPr/>
        <w:t>Duda a que parte se refiere para saber si se manda desde SAICoop o Bankingly  lo controla</w:t>
      </w:r>
    </w:p>
    <w:p>
      <w:pPr>
        <w:pStyle w:val="ListParagraph"/>
        <w:numPr>
          <w:ilvl w:val="0"/>
          <w:numId w:val="1"/>
        </w:numPr>
        <w:rPr>
          <w:highlight w:val="cyan"/>
        </w:rPr>
      </w:pPr>
      <w:r>
        <w:rPr>
          <w:highlight w:val="cyan"/>
        </w:rPr>
        <w:t>No permita realizar retiros de la tdd sin saldo</w:t>
      </w:r>
    </w:p>
    <w:p>
      <w:pPr>
        <w:pStyle w:val="ListParagraph"/>
        <w:numPr>
          <w:ilvl w:val="0"/>
          <w:numId w:val="1"/>
        </w:numPr>
        <w:rPr>
          <w:highlight w:val="cyan"/>
        </w:rPr>
      </w:pPr>
      <w:r>
        <w:rPr>
          <w:highlight w:val="cyan"/>
        </w:rPr>
        <w:t>No permita abonar a folios de créditos de terceros ya liquidados.</w:t>
      </w:r>
    </w:p>
    <w:p>
      <w:pPr>
        <w:pStyle w:val="ListParagraph"/>
        <w:numPr>
          <w:ilvl w:val="0"/>
          <w:numId w:val="1"/>
        </w:numPr>
        <w:rPr>
          <w:highlight w:val="cyan"/>
        </w:rPr>
      </w:pPr>
      <w:r>
        <w:rPr>
          <w:highlight w:val="cyan"/>
        </w:rPr>
        <w:t>No permita abonar más del saldo insoluto del crédito</w:t>
      </w:r>
    </w:p>
    <w:p>
      <w:pPr>
        <w:pStyle w:val="ListParagraph"/>
        <w:numPr>
          <w:ilvl w:val="0"/>
          <w:numId w:val="1"/>
        </w:numPr>
        <w:rPr>
          <w:color w:val="FFFFFF" w:themeColor="background1"/>
          <w:highlight w:val="red"/>
        </w:rPr>
      </w:pPr>
      <w:r>
        <w:rPr>
          <w:color w:val="FFFFFF" w:themeColor="background1"/>
          <w:highlight w:val="red"/>
        </w:rPr>
        <w:t>Que permita contraseña para transferencia de terceros</w:t>
      </w:r>
    </w:p>
    <w:p>
      <w:pPr>
        <w:pStyle w:val="ListParagraph"/>
        <w:rPr/>
      </w:pPr>
      <w:r>
        <w:rPr/>
        <w:t>CSN Por favor explicar el proceso para identificar si es tema de FENORESTE o BANKINGLY</w:t>
      </w:r>
    </w:p>
    <w:p>
      <w:pPr>
        <w:pStyle w:val="ListParagraph"/>
        <w:numPr>
          <w:ilvl w:val="0"/>
          <w:numId w:val="1"/>
        </w:numPr>
        <w:rPr>
          <w:highlight w:val="darkGray"/>
        </w:rPr>
      </w:pPr>
      <w:r>
        <w:rPr>
          <w:highlight w:val="cyan"/>
        </w:rPr>
        <w:t>Alta de cuentas de tercero desde la aplicación</w:t>
      </w:r>
    </w:p>
    <w:p>
      <w:pPr>
        <w:pStyle w:val="ListParagraph"/>
        <w:numPr>
          <w:ilvl w:val="0"/>
          <w:numId w:val="1"/>
        </w:numPr>
        <w:rPr>
          <w:color w:val="FFFFFF" w:themeColor="background1"/>
          <w:highlight w:val="red"/>
        </w:rPr>
      </w:pPr>
      <w:r>
        <w:rPr>
          <w:color w:val="FFFFFF" w:themeColor="background1"/>
          <w:highlight w:val="red"/>
        </w:rPr>
        <w:t>En las cuentas de TDD se debe mostrar la clabe interbancaria</w:t>
      </w:r>
    </w:p>
    <w:p>
      <w:pPr>
        <w:pStyle w:val="ListParagraph"/>
        <w:rPr/>
      </w:pPr>
      <w:r>
        <w:rPr/>
        <w:t>Que BANKINGLY diga donde se la enviamos y CSN donde se debe mostrar</w:t>
      </w:r>
    </w:p>
    <w:p>
      <w:pPr>
        <w:pStyle w:val="ListParagraph"/>
        <w:numPr>
          <w:ilvl w:val="0"/>
          <w:numId w:val="1"/>
        </w:numPr>
        <w:rPr>
          <w:highlight w:val="red"/>
        </w:rPr>
      </w:pPr>
      <w:r>
        <w:rPr>
          <w:color w:val="FFFFFF" w:themeColor="background1"/>
          <w:highlight w:val="red"/>
        </w:rPr>
        <w:t>No mostrar los productos de un tercero cuando estos estén pagados o inactivos.</w:t>
      </w:r>
    </w:p>
    <w:p>
      <w:pPr>
        <w:pStyle w:val="ListParagraph"/>
        <w:rPr/>
      </w:pPr>
      <w:r>
        <w:rPr/>
        <w:t>¿Como es esto, en realidad se muestran o se deben de mostrar?</w:t>
      </w:r>
    </w:p>
    <w:p>
      <w:pPr>
        <w:pStyle w:val="ListParagraph"/>
        <w:numPr>
          <w:ilvl w:val="0"/>
          <w:numId w:val="1"/>
        </w:numPr>
        <w:rPr>
          <w:highlight w:val="yellow"/>
        </w:rPr>
      </w:pPr>
      <w:r>
        <w:rPr>
          <w:highlight w:val="yellow"/>
        </w:rPr>
        <w:t>Si un socio del producto 125 tiene un producto 182 no permita realizar abonos al 125 por medio de Bankingly, en transferencias de terceros.</w:t>
      </w:r>
    </w:p>
    <w:p>
      <w:pPr>
        <w:pStyle w:val="ListParagraph"/>
        <w:rPr>
          <w:highlight w:val="yellow"/>
        </w:rPr>
      </w:pPr>
      <w:r>
        <w:rPr>
          <w:b/>
          <w:bCs/>
          <w:highlight w:val="yellow"/>
        </w:rPr>
        <w:t>VALIDAR QUE EL SOCIO AL QUE SE LE VAYA ABONAR AL PROD 125 NO TENGA SALDO EN EL PROD 182.  CREAR PARAMETRO PARA CONTROLARLO</w:t>
      </w:r>
    </w:p>
    <w:p>
      <w:pPr>
        <w:pStyle w:val="ListParagraph"/>
        <w:numPr>
          <w:ilvl w:val="0"/>
          <w:numId w:val="1"/>
        </w:numPr>
        <w:rPr>
          <w:highlight w:val="cyan"/>
        </w:rPr>
      </w:pPr>
      <w:r>
        <w:rPr>
          <w:highlight w:val="cyan"/>
        </w:rPr>
        <w:t>Cobro de comisión por transferencia.(Costo propuesto $5.00 más IVA)</w:t>
      </w:r>
    </w:p>
    <w:p>
      <w:pPr>
        <w:pStyle w:val="ListParagraph"/>
        <w:rPr/>
      </w:pPr>
      <w:r>
        <w:rPr>
          <w:highlight w:val="cyan"/>
        </w:rPr>
        <w:t>SOLO para SPEI de entrada y salida Se cobra del mismo monto retirado.</w:t>
      </w:r>
    </w:p>
    <w:p>
      <w:pPr>
        <w:pStyle w:val="ListParagraph"/>
        <w:numPr>
          <w:ilvl w:val="0"/>
          <w:numId w:val="1"/>
        </w:numPr>
        <w:rPr>
          <w:highlight w:val="blue"/>
        </w:rPr>
      </w:pPr>
      <w:r>
        <w:rPr>
          <w:highlight w:val="blue"/>
        </w:rPr>
        <w:t>No se permite retiro de la cuenta de ahorro 110</w:t>
      </w:r>
    </w:p>
    <w:p>
      <w:pPr>
        <w:pStyle w:val="ListParagraph"/>
        <w:rPr/>
      </w:pPr>
      <w:r>
        <w:rPr/>
      </w:r>
    </w:p>
    <w:p>
      <w:pPr>
        <w:pStyle w:val="Normal"/>
        <w:rPr>
          <w:b/>
          <w:b/>
          <w:bCs/>
        </w:rPr>
      </w:pPr>
      <w:r>
        <w:rPr>
          <w:b/>
          <w:bCs/>
        </w:rPr>
      </w:r>
    </w:p>
    <w:p>
      <w:pPr>
        <w:pStyle w:val="Normal"/>
        <w:jc w:val="center"/>
        <w:rPr>
          <w:b/>
          <w:b/>
          <w:bCs/>
          <w:sz w:val="52"/>
          <w:szCs w:val="52"/>
        </w:rPr>
      </w:pPr>
      <w:r>
        <w:rPr>
          <w:b/>
          <w:bCs/>
          <w:sz w:val="52"/>
          <w:szCs w:val="52"/>
        </w:rPr>
        <w:t>Regla de Negocio</w:t>
      </w:r>
    </w:p>
    <w:p>
      <w:pPr>
        <w:pStyle w:val="ListParagraph"/>
        <w:numPr>
          <w:ilvl w:val="0"/>
          <w:numId w:val="2"/>
        </w:numPr>
        <w:spacing w:before="0" w:after="0"/>
        <w:contextualSpacing/>
        <w:rPr>
          <w:color w:val="FFFFFF" w:themeColor="background1"/>
          <w:highlight w:val="red"/>
        </w:rPr>
      </w:pPr>
      <w:r>
        <w:rPr>
          <w:color w:val="FFFFFF" w:themeColor="background1"/>
          <w:highlight w:val="red"/>
        </w:rPr>
        <w:t>Adelanto a Pagos hipotecarios</w:t>
      </w:r>
    </w:p>
    <w:p>
      <w:pPr>
        <w:pStyle w:val="ListParagraph"/>
        <w:spacing w:before="0" w:after="0"/>
        <w:contextualSpacing/>
        <w:rPr/>
      </w:pPr>
      <w:r>
        <w:rPr/>
        <w:t>Que se necesita de esta punto. Revisar con CSN</w:t>
      </w:r>
    </w:p>
    <w:p>
      <w:pPr>
        <w:pStyle w:val="ListParagraph"/>
        <w:numPr>
          <w:ilvl w:val="0"/>
          <w:numId w:val="2"/>
        </w:numPr>
        <w:spacing w:before="0" w:after="0"/>
        <w:contextualSpacing/>
        <w:rPr>
          <w:highlight w:val="cyan"/>
        </w:rPr>
      </w:pPr>
      <w:r>
        <w:rPr>
          <w:highlight w:val="cyan"/>
        </w:rPr>
        <w:t xml:space="preserve">Operaciones de Salida SPEI </w:t>
      </w:r>
    </w:p>
    <w:p>
      <w:pPr>
        <w:pStyle w:val="ListParagraph"/>
        <w:spacing w:before="0" w:after="0"/>
        <w:contextualSpacing/>
        <w:rPr>
          <w:highlight w:val="cyan"/>
        </w:rPr>
      </w:pPr>
      <w:r>
        <w:rPr>
          <w:highlight w:val="cyan"/>
        </w:rPr>
        <w:t>Pendiente que STP responda</w:t>
      </w:r>
    </w:p>
    <w:p>
      <w:pPr>
        <w:pStyle w:val="ListParagraph"/>
        <w:numPr>
          <w:ilvl w:val="0"/>
          <w:numId w:val="2"/>
        </w:numPr>
        <w:spacing w:before="0" w:after="0"/>
        <w:contextualSpacing/>
        <w:rPr/>
      </w:pPr>
      <w:r>
        <w:rPr>
          <w:highlight w:val="cyan"/>
        </w:rPr>
        <w:t>Pago adelanto de interés (186)</w:t>
      </w:r>
    </w:p>
    <w:p>
      <w:pPr>
        <w:pStyle w:val="ListParagraph"/>
        <w:numPr>
          <w:ilvl w:val="0"/>
          <w:numId w:val="2"/>
        </w:numPr>
        <w:spacing w:before="0" w:after="0"/>
        <w:contextualSpacing/>
        <w:rPr>
          <w:highlight w:val="yellow"/>
        </w:rPr>
      </w:pPr>
      <w:r>
        <w:rPr>
          <w:highlight w:val="yellow"/>
        </w:rPr>
        <w:t>No deberá permitir abonar por Bankingly a un producto de auto crédito cuando el socio tiene un folio de seguro vencido.</w:t>
      </w:r>
    </w:p>
    <w:p>
      <w:pPr>
        <w:pStyle w:val="ListParagraph"/>
        <w:numPr>
          <w:ilvl w:val="0"/>
          <w:numId w:val="2"/>
        </w:numPr>
        <w:spacing w:before="0" w:after="0"/>
        <w:contextualSpacing/>
        <w:rPr>
          <w:highlight w:val="cyan"/>
        </w:rPr>
      </w:pPr>
      <w:r>
        <w:rPr>
          <w:highlight w:val="cyan"/>
        </w:rPr>
        <w:t>Que permita abonar a productos nuevos con esquema de crédito hipotecario.</w:t>
      </w:r>
    </w:p>
    <w:p>
      <w:pPr>
        <w:pStyle w:val="ListParagraph"/>
        <w:numPr>
          <w:ilvl w:val="0"/>
          <w:numId w:val="2"/>
        </w:numPr>
        <w:spacing w:before="0" w:after="0"/>
        <w:contextualSpacing/>
        <w:rPr>
          <w:highlight w:val="cyan"/>
        </w:rPr>
      </w:pPr>
      <w:r>
        <w:rPr>
          <w:highlight w:val="cyan"/>
        </w:rPr>
        <w:t>Respete los días inhábiles</w:t>
      </w:r>
    </w:p>
    <w:p>
      <w:pPr>
        <w:pStyle w:val="ListParagraph"/>
        <w:numPr>
          <w:ilvl w:val="0"/>
          <w:numId w:val="2"/>
        </w:numPr>
        <w:spacing w:before="0" w:after="0"/>
        <w:contextualSpacing/>
        <w:rPr/>
      </w:pPr>
      <w:r>
        <w:rPr>
          <w:highlight w:val="yellow"/>
        </w:rPr>
        <w:t>Que no te permita abonar a un producto de crédito con estatus vencido o moroso.</w:t>
      </w:r>
      <w:r>
        <w:rPr>
          <w:highlight w:val="yellow"/>
        </w:rPr>
        <w:t>(Listo)</w:t>
      </w:r>
    </w:p>
    <w:p>
      <w:pPr>
        <w:pStyle w:val="ListParagraph"/>
        <w:spacing w:before="0" w:after="0"/>
        <w:contextualSpacing/>
        <w:rPr>
          <w:color w:val="FFFFFF" w:themeColor="background1"/>
        </w:rPr>
      </w:pPr>
      <w:r>
        <w:rPr>
          <w:color w:val="FFFFFF" w:themeColor="background1"/>
          <w:highlight w:val="red"/>
        </w:rPr>
        <w:t>CSN Clarificar con Cobranzas exactamente como debe funcionar esto porque no abonar con estatus moroso</w:t>
      </w:r>
    </w:p>
    <w:p>
      <w:pPr>
        <w:pStyle w:val="ListParagraph"/>
        <w:numPr>
          <w:ilvl w:val="0"/>
          <w:numId w:val="2"/>
        </w:numPr>
        <w:spacing w:before="0" w:after="0"/>
        <w:contextualSpacing/>
        <w:rPr>
          <w:highlight w:val="blue"/>
        </w:rPr>
      </w:pPr>
      <w:r>
        <w:rPr>
          <w:highlight w:val="blue"/>
        </w:rPr>
        <w:t>Que respete el funcionamiento de los días inhábiles</w:t>
      </w:r>
    </w:p>
    <w:p>
      <w:pPr>
        <w:pStyle w:val="ListParagraph"/>
        <w:spacing w:before="0" w:after="0"/>
        <w:contextualSpacing/>
        <w:rPr/>
      </w:pPr>
      <w:r>
        <w:rPr/>
      </w:r>
    </w:p>
    <w:tbl>
      <w:tblPr>
        <w:tblW w:w="8803" w:type="dxa"/>
        <w:jc w:val="left"/>
        <w:tblInd w:w="0" w:type="dxa"/>
        <w:tblCellMar>
          <w:top w:w="0" w:type="dxa"/>
          <w:left w:w="70" w:type="dxa"/>
          <w:bottom w:w="0" w:type="dxa"/>
          <w:right w:w="70" w:type="dxa"/>
        </w:tblCellMar>
        <w:tblLook w:val="04a0" w:noVBand="1" w:noHBand="0" w:lastColumn="0" w:firstColumn="1" w:lastRow="0" w:firstRow="1"/>
      </w:tblPr>
      <w:tblGrid>
        <w:gridCol w:w="6876"/>
        <w:gridCol w:w="1483"/>
        <w:gridCol w:w="283"/>
        <w:gridCol w:w="146"/>
        <w:gridCol w:w="14"/>
      </w:tblGrid>
      <w:tr>
        <w:trPr>
          <w:trHeight w:val="300" w:hRule="atLeast"/>
        </w:trPr>
        <w:tc>
          <w:tcPr>
            <w:tcW w:w="8642" w:type="dxa"/>
            <w:gridSpan w:val="3"/>
            <w:tcBorders/>
            <w:shd w:color="000000" w:fill="BFBFBF" w:val="clear"/>
            <w:vAlign w:val="bottom"/>
          </w:tcPr>
          <w:p>
            <w:pPr>
              <w:pStyle w:val="Normal"/>
              <w:spacing w:lineRule="auto" w:line="240" w:before="0" w:after="0"/>
              <w:rPr>
                <w:rFonts w:ascii="Calibri" w:hAnsi="Calibri" w:eastAsia="Times New Roman" w:cs="Calibri"/>
                <w:b/>
                <w:b/>
                <w:bCs/>
                <w:color w:val="000000"/>
                <w:lang w:eastAsia="es-MX"/>
              </w:rPr>
            </w:pPr>
            <w:r>
              <w:rPr>
                <w:rFonts w:eastAsia="Times New Roman" w:cs="Calibri"/>
                <w:b/>
                <w:bCs/>
                <w:color w:val="000000"/>
                <w:highlight w:val="darkGray"/>
                <w:lang w:eastAsia="es-MX"/>
              </w:rPr>
              <w:t>ALTA DE CUENTAS DE TERCEROS</w:t>
            </w:r>
            <w:r>
              <w:rPr>
                <w:rFonts w:eastAsia="Times New Roman" w:cs="Calibri"/>
                <w:b/>
                <w:bCs/>
                <w:color w:val="000000"/>
                <w:lang w:eastAsia="es-MX"/>
              </w:rPr>
              <w:t xml:space="preserve"> </w:t>
            </w:r>
          </w:p>
        </w:tc>
        <w:tc>
          <w:tcPr>
            <w:tcW w:w="160" w:type="dxa"/>
            <w:gridSpan w:val="2"/>
            <w:tcBorders/>
            <w:shd w:color="auto" w:fill="auto" w:val="clear"/>
          </w:tcPr>
          <w:p>
            <w:pPr>
              <w:pStyle w:val="Normal"/>
              <w:widowControl/>
              <w:bidi w:val="0"/>
              <w:spacing w:lineRule="auto" w:line="259" w:before="0" w:after="160"/>
              <w:jc w:val="left"/>
              <w:rPr/>
            </w:pPr>
            <w:r>
              <w:rPr/>
            </w:r>
          </w:p>
        </w:tc>
      </w:tr>
      <w:tr>
        <w:trPr>
          <w:trHeight w:val="300" w:hRule="atLeast"/>
        </w:trPr>
        <w:tc>
          <w:tcPr>
            <w:tcW w:w="8642" w:type="dxa"/>
            <w:gridSpan w:val="3"/>
            <w:tcBorders/>
            <w:shd w:color="auto" w:fill="auto" w:val="clear"/>
            <w:vAlign w:val="bottom"/>
          </w:tcPr>
          <w:p>
            <w:pPr>
              <w:pStyle w:val="Normal"/>
              <w:spacing w:lineRule="auto" w:line="240" w:before="0" w:after="0"/>
              <w:rPr>
                <w:rFonts w:ascii="Calibri" w:hAnsi="Calibri" w:eastAsia="Times New Roman" w:cs="Calibri"/>
                <w:b/>
                <w:b/>
                <w:bCs/>
                <w:highlight w:val="cyan"/>
                <w:lang w:eastAsia="es-MX"/>
              </w:rPr>
            </w:pPr>
            <w:r>
              <w:rPr>
                <w:rFonts w:eastAsia="Times New Roman" w:cs="Calibri"/>
                <w:b/>
                <w:bCs/>
                <w:highlight w:val="cyan"/>
                <w:lang w:eastAsia="es-MX"/>
              </w:rPr>
              <w:t>ALTA MAYORES 110, ALTA MAYORES CREDITOS, ALTA MENORES 120, ALTA JUVENILES 125</w:t>
            </w:r>
          </w:p>
          <w:p>
            <w:pPr>
              <w:pStyle w:val="Normal"/>
              <w:spacing w:lineRule="auto" w:line="240" w:before="0" w:after="0"/>
              <w:rPr>
                <w:rFonts w:ascii="Calibri" w:hAnsi="Calibri" w:eastAsia="Times New Roman" w:cs="Calibri"/>
                <w:b/>
                <w:b/>
                <w:bCs/>
                <w:highlight w:val="cyan"/>
                <w:lang w:eastAsia="es-MX"/>
              </w:rPr>
            </w:pPr>
            <w:r>
              <w:rPr>
                <w:rFonts w:eastAsia="Times New Roman" w:cs="Calibri"/>
                <w:b/>
                <w:bCs/>
                <w:highlight w:val="cyan"/>
                <w:lang w:eastAsia="es-MX"/>
              </w:rPr>
              <w:t>Preguntar a Bankingly si la aplicación controla máximos por cuenta destino</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Seleccionar Cuenta de Tercero, click en Agregar</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Seleccionar Tipo de transacción: Cuentas de Terceros, click en Siguiente</w:t>
            </w:r>
          </w:p>
          <w:p>
            <w:pPr>
              <w:pStyle w:val="Normal"/>
              <w:spacing w:lineRule="auto" w:line="240" w:before="0" w:after="0"/>
              <w:ind w:left="708" w:hanging="708"/>
              <w:rPr>
                <w:rFonts w:ascii="Calibri" w:hAnsi="Calibri" w:eastAsia="Times New Roman" w:cs="Calibri"/>
                <w:highlight w:val="cyan"/>
                <w:lang w:eastAsia="es-MX"/>
              </w:rPr>
            </w:pPr>
            <w:r>
              <w:rPr>
                <w:rFonts w:eastAsia="Times New Roman" w:cs="Calibri"/>
                <w:highlight w:val="cyan"/>
                <w:lang w:eastAsia="es-MX"/>
              </w:rPr>
              <w:t>Tipo de Producto: Cuentas de Ahorro</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Numero de producto: OPA del Ahorro del Tercero</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Correo electrónico del beneficiario: 123@dominio.com</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Alias: Ahorro_Tercero</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Monto Máximo a Transferir:XXX,XXX</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Click en Siguiente.</w:t>
            </w:r>
          </w:p>
          <w:p>
            <w:pPr>
              <w:pStyle w:val="Normal"/>
              <w:spacing w:before="0" w:after="0"/>
              <w:rPr/>
            </w:pPr>
            <w:r>
              <w:rPr>
                <w:highlight w:val="cyan"/>
              </w:rPr>
              <w:t>se necesita de pin o contraseña para autorizar la transferencia</w:t>
            </w:r>
          </w:p>
          <w:p>
            <w:pPr>
              <w:pStyle w:val="Normal"/>
              <w:spacing w:lineRule="auto" w:line="240" w:before="0" w:after="0"/>
              <w:rPr>
                <w:rFonts w:ascii="Calibri" w:hAnsi="Calibri" w:eastAsia="Times New Roman" w:cs="Calibri"/>
                <w:color w:val="000000"/>
                <w:lang w:eastAsia="es-MX"/>
              </w:rPr>
            </w:pPr>
            <w:r>
              <w:rPr>
                <w:rFonts w:eastAsia="Times New Roman" w:cs="Calibri"/>
                <w:color w:val="000000"/>
                <w:lang w:eastAsia="es-MX"/>
              </w:rPr>
            </w:r>
          </w:p>
          <w:p>
            <w:pPr>
              <w:pStyle w:val="Normal"/>
              <w:spacing w:lineRule="auto" w:line="240" w:before="0" w:after="0"/>
              <w:rPr>
                <w:rFonts w:ascii="Calibri" w:hAnsi="Calibri" w:eastAsia="Times New Roman" w:cs="Calibri"/>
                <w:color w:val="000000"/>
                <w:lang w:eastAsia="es-MX"/>
              </w:rPr>
            </w:pPr>
            <w:r>
              <w:rPr>
                <w:rFonts w:eastAsia="Times New Roman" w:cs="Calibri"/>
                <w:color w:val="000000"/>
                <w:lang w:eastAsia="es-MX"/>
              </w:rPr>
            </w:r>
          </w:p>
        </w:tc>
        <w:tc>
          <w:tcPr>
            <w:tcW w:w="160" w:type="dxa"/>
            <w:gridSpan w:val="2"/>
            <w:tcBorders/>
            <w:shd w:color="auto" w:fill="auto" w:val="clear"/>
          </w:tcPr>
          <w:p>
            <w:pPr>
              <w:pStyle w:val="Normal"/>
              <w:widowControl/>
              <w:bidi w:val="0"/>
              <w:spacing w:lineRule="auto" w:line="259" w:before="0" w:after="160"/>
              <w:jc w:val="left"/>
              <w:rPr/>
            </w:pPr>
            <w:r>
              <w:rPr/>
            </w:r>
          </w:p>
        </w:tc>
      </w:tr>
      <w:tr>
        <w:trPr>
          <w:trHeight w:val="300" w:hRule="atLeast"/>
        </w:trPr>
        <w:tc>
          <w:tcPr>
            <w:tcW w:w="6876" w:type="dxa"/>
            <w:tcBorders/>
            <w:shd w:color="000000" w:fill="BFBFBF" w:val="clear"/>
            <w:vAlign w:val="bottom"/>
          </w:tcPr>
          <w:p>
            <w:pPr>
              <w:pStyle w:val="Normal"/>
              <w:spacing w:lineRule="auto" w:line="240" w:before="0" w:after="0"/>
              <w:rPr>
                <w:rFonts w:ascii="Calibri" w:hAnsi="Calibri" w:eastAsia="Times New Roman" w:cs="Calibri"/>
                <w:b/>
                <w:b/>
                <w:bCs/>
                <w:color w:val="000000"/>
                <w:lang w:eastAsia="es-MX"/>
              </w:rPr>
            </w:pPr>
            <w:r>
              <w:rPr>
                <w:rFonts w:eastAsia="Times New Roman" w:cs="Calibri"/>
                <w:b/>
                <w:bCs/>
                <w:color w:val="000000"/>
                <w:lang w:eastAsia="es-MX"/>
              </w:rPr>
              <w:t>CONSULTA SALDOS</w:t>
            </w:r>
          </w:p>
        </w:tc>
        <w:tc>
          <w:tcPr>
            <w:tcW w:w="1483" w:type="dxa"/>
            <w:tcBorders/>
            <w:shd w:color="auto" w:fill="auto" w:val="clear"/>
          </w:tcPr>
          <w:p>
            <w:pPr>
              <w:pStyle w:val="Normal"/>
              <w:widowControl/>
              <w:bidi w:val="0"/>
              <w:spacing w:lineRule="auto" w:line="259" w:before="0" w:after="160"/>
              <w:jc w:val="left"/>
              <w:rPr/>
            </w:pPr>
            <w:r>
              <w:rPr/>
            </w:r>
          </w:p>
        </w:tc>
        <w:tc>
          <w:tcPr>
            <w:tcW w:w="283" w:type="dxa"/>
            <w:tcBorders/>
            <w:shd w:color="auto" w:fill="auto" w:val="clear"/>
          </w:tcPr>
          <w:p>
            <w:pPr>
              <w:pStyle w:val="Normal"/>
              <w:widowControl/>
              <w:bidi w:val="0"/>
              <w:spacing w:lineRule="auto" w:line="259" w:before="0" w:after="160"/>
              <w:jc w:val="left"/>
              <w:rPr/>
            </w:pPr>
            <w:r>
              <w:rPr/>
            </w:r>
          </w:p>
        </w:tc>
        <w:tc>
          <w:tcPr>
            <w:tcW w:w="160" w:type="dxa"/>
            <w:gridSpan w:val="2"/>
            <w:tcBorders/>
            <w:shd w:color="auto" w:fill="auto" w:val="clear"/>
          </w:tcPr>
          <w:p>
            <w:pPr>
              <w:pStyle w:val="Normal"/>
              <w:widowControl/>
              <w:bidi w:val="0"/>
              <w:spacing w:lineRule="auto" w:line="259" w:before="0" w:after="160"/>
              <w:jc w:val="left"/>
              <w:rPr/>
            </w:pPr>
            <w:r>
              <w:rPr/>
            </w:r>
          </w:p>
        </w:tc>
      </w:tr>
      <w:tr>
        <w:trPr>
          <w:trHeight w:val="300" w:hRule="atLeast"/>
        </w:trPr>
        <w:tc>
          <w:tcPr>
            <w:tcW w:w="8788" w:type="dxa"/>
            <w:gridSpan w:val="4"/>
            <w:tcBorders/>
            <w:shd w:color="auto" w:fill="auto" w:val="clear"/>
            <w:vAlign w:val="bottom"/>
          </w:tcPr>
          <w:p>
            <w:pPr>
              <w:pStyle w:val="Normal"/>
              <w:spacing w:lineRule="auto" w:line="240" w:before="0" w:after="0"/>
              <w:rPr>
                <w:rFonts w:ascii="Calibri" w:hAnsi="Calibri" w:eastAsia="Times New Roman" w:cs="Calibri"/>
                <w:b/>
                <w:b/>
                <w:bCs/>
                <w:color w:val="000000"/>
                <w:lang w:eastAsia="es-MX"/>
              </w:rPr>
            </w:pPr>
            <w:r>
              <w:rPr>
                <w:rFonts w:eastAsia="Times New Roman" w:cs="Calibri"/>
                <w:b/>
                <w:bCs/>
                <w:color w:val="000000"/>
                <w:highlight w:val="darkGray"/>
                <w:lang w:eastAsia="es-MX"/>
              </w:rPr>
              <w:t>CONSULTA SALDOS 133, 110, CONSULTA SALDOS 205, CONSULTA SALDOS CREDITOS</w:t>
            </w:r>
          </w:p>
        </w:tc>
        <w:tc>
          <w:tcPr>
            <w:tcW w:w="14" w:type="dxa"/>
            <w:tcBorders/>
            <w:shd w:fill="auto" w:val="clear"/>
          </w:tcPr>
          <w:p>
            <w:pPr>
              <w:pStyle w:val="Normal"/>
              <w:widowControl/>
              <w:bidi w:val="0"/>
              <w:spacing w:lineRule="auto" w:line="259" w:before="0" w:after="160"/>
              <w:jc w:val="left"/>
              <w:rPr/>
            </w:pPr>
            <w:r>
              <w:rPr/>
            </w:r>
          </w:p>
        </w:tc>
      </w:tr>
      <w:tr>
        <w:trPr>
          <w:trHeight w:val="300" w:hRule="atLeast"/>
        </w:trPr>
        <w:tc>
          <w:tcPr>
            <w:tcW w:w="8788" w:type="dxa"/>
            <w:gridSpan w:val="4"/>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red"/>
                <w:lang w:eastAsia="es-MX"/>
              </w:rPr>
            </w:pPr>
            <w:r>
              <w:rPr>
                <w:rFonts w:eastAsia="Times New Roman" w:cs="Calibri"/>
                <w:color w:val="000000"/>
                <w:highlight w:val="cyan"/>
                <w:lang w:eastAsia="es-MX"/>
              </w:rPr>
              <w:t>El total del saldo al día de las cuentas, ahorro, inversión, tdd, créditos, mostrar los últimos 10 movimientos, mostrar fecha del depósito o retiro con su monto de operación, el depósito se</w:t>
            </w:r>
            <w:r>
              <w:rPr>
                <w:rFonts w:eastAsia="Times New Roman" w:cs="Calibri"/>
                <w:color w:val="000000"/>
                <w:lang w:eastAsia="es-MX"/>
              </w:rPr>
              <w:t xml:space="preserve"> </w:t>
            </w:r>
            <w:r>
              <w:rPr>
                <w:rFonts w:eastAsia="Times New Roman" w:cs="Calibri"/>
                <w:color w:val="FFFFFF" w:themeColor="background1"/>
                <w:highlight w:val="red"/>
                <w:lang w:eastAsia="es-MX"/>
              </w:rPr>
              <w:t>debe reflejar en color verde y el retiro en color rojo.</w:t>
            </w:r>
          </w:p>
          <w:p>
            <w:pPr>
              <w:pStyle w:val="Normal"/>
              <w:spacing w:lineRule="auto" w:line="240" w:before="0" w:after="0"/>
              <w:rPr>
                <w:rFonts w:ascii="Calibri" w:hAnsi="Calibri" w:eastAsia="Times New Roman" w:cs="Calibri"/>
                <w:color w:val="000000"/>
                <w:lang w:eastAsia="es-MX"/>
              </w:rPr>
            </w:pPr>
            <w:r>
              <w:rPr>
                <w:rFonts w:eastAsia="Times New Roman" w:cs="Calibri"/>
                <w:color w:val="FFFFFF" w:themeColor="background1"/>
                <w:highlight w:val="red"/>
                <w:lang w:eastAsia="es-MX"/>
              </w:rPr>
              <w:t>CSN Preguntar a BANKINGLY si puede mostar depósitos en verde y retiros en rojo</w:t>
            </w:r>
          </w:p>
        </w:tc>
        <w:tc>
          <w:tcPr>
            <w:tcW w:w="14" w:type="dxa"/>
            <w:tcBorders/>
            <w:shd w:fill="auto" w:val="clear"/>
          </w:tcPr>
          <w:p>
            <w:pPr>
              <w:pStyle w:val="Normal"/>
              <w:widowControl/>
              <w:bidi w:val="0"/>
              <w:spacing w:lineRule="auto" w:line="259" w:before="0" w:after="160"/>
              <w:jc w:val="left"/>
              <w:rPr/>
            </w:pPr>
            <w:r>
              <w:rPr/>
            </w:r>
          </w:p>
        </w:tc>
      </w:tr>
      <w:tr>
        <w:trPr>
          <w:trHeight w:val="300" w:hRule="atLeast"/>
        </w:trPr>
        <w:tc>
          <w:tcPr>
            <w:tcW w:w="6876" w:type="dxa"/>
            <w:tcBorders/>
            <w:shd w:color="auto" w:fill="auto" w:val="clear"/>
            <w:vAlign w:val="bottom"/>
          </w:tcPr>
          <w:p>
            <w:pPr>
              <w:pStyle w:val="Normal"/>
              <w:spacing w:lineRule="auto" w:line="240" w:before="0" w:after="0"/>
              <w:rPr>
                <w:rFonts w:ascii="Calibri" w:hAnsi="Calibri" w:eastAsia="Times New Roman" w:cs="Calibri"/>
                <w:color w:val="000000"/>
                <w:lang w:eastAsia="es-MX"/>
              </w:rPr>
            </w:pPr>
            <w:r>
              <w:rPr>
                <w:rFonts w:eastAsia="Times New Roman" w:cs="Calibri"/>
                <w:color w:val="000000"/>
                <w:lang w:eastAsia="es-MX"/>
              </w:rPr>
            </w:r>
          </w:p>
        </w:tc>
        <w:tc>
          <w:tcPr>
            <w:tcW w:w="1483" w:type="dxa"/>
            <w:tcBorders/>
            <w:shd w:color="auto" w:fill="auto" w:val="clear"/>
          </w:tcPr>
          <w:p>
            <w:pPr>
              <w:pStyle w:val="Normal"/>
              <w:widowControl/>
              <w:bidi w:val="0"/>
              <w:spacing w:lineRule="auto" w:line="259" w:before="0" w:after="160"/>
              <w:jc w:val="left"/>
              <w:rPr/>
            </w:pPr>
            <w:r>
              <w:rPr/>
            </w:r>
          </w:p>
        </w:tc>
        <w:tc>
          <w:tcPr>
            <w:tcW w:w="283" w:type="dxa"/>
            <w:tcBorders/>
            <w:shd w:color="auto" w:fill="auto" w:val="clear"/>
          </w:tcPr>
          <w:p>
            <w:pPr>
              <w:pStyle w:val="Normal"/>
              <w:widowControl/>
              <w:bidi w:val="0"/>
              <w:spacing w:lineRule="auto" w:line="259" w:before="0" w:after="160"/>
              <w:jc w:val="left"/>
              <w:rPr/>
            </w:pPr>
            <w:r>
              <w:rPr/>
            </w:r>
          </w:p>
        </w:tc>
        <w:tc>
          <w:tcPr>
            <w:tcW w:w="160" w:type="dxa"/>
            <w:gridSpan w:val="2"/>
            <w:tcBorders/>
            <w:shd w:color="auto" w:fill="auto" w:val="clear"/>
          </w:tcPr>
          <w:p>
            <w:pPr>
              <w:pStyle w:val="Normal"/>
              <w:widowControl/>
              <w:bidi w:val="0"/>
              <w:spacing w:lineRule="auto" w:line="259" w:before="0" w:after="160"/>
              <w:jc w:val="left"/>
              <w:rPr/>
            </w:pPr>
            <w:r>
              <w:rPr/>
            </w:r>
          </w:p>
        </w:tc>
      </w:tr>
      <w:tr>
        <w:trPr>
          <w:trHeight w:val="300" w:hRule="atLeast"/>
        </w:trPr>
        <w:tc>
          <w:tcPr>
            <w:tcW w:w="6876" w:type="dxa"/>
            <w:tcBorders/>
            <w:shd w:color="000000" w:fill="BFBFBF" w:val="clear"/>
            <w:vAlign w:val="bottom"/>
          </w:tcPr>
          <w:p>
            <w:pPr>
              <w:pStyle w:val="Normal"/>
              <w:spacing w:lineRule="auto" w:line="240" w:before="0" w:after="0"/>
              <w:rPr>
                <w:rFonts w:ascii="Calibri" w:hAnsi="Calibri" w:eastAsia="Times New Roman" w:cs="Calibri"/>
                <w:b/>
                <w:b/>
                <w:bCs/>
                <w:color w:val="000000"/>
                <w:lang w:eastAsia="es-MX"/>
              </w:rPr>
            </w:pPr>
            <w:r>
              <w:rPr>
                <w:rFonts w:eastAsia="Times New Roman" w:cs="Calibri"/>
                <w:b/>
                <w:bCs/>
                <w:color w:val="000000"/>
                <w:lang w:eastAsia="es-MX"/>
              </w:rPr>
              <w:t xml:space="preserve">TRANSFERENCIAS </w:t>
            </w:r>
          </w:p>
        </w:tc>
        <w:tc>
          <w:tcPr>
            <w:tcW w:w="1483" w:type="dxa"/>
            <w:tcBorders/>
            <w:shd w:color="auto" w:fill="auto" w:val="clear"/>
          </w:tcPr>
          <w:p>
            <w:pPr>
              <w:pStyle w:val="Normal"/>
              <w:widowControl/>
              <w:bidi w:val="0"/>
              <w:spacing w:lineRule="auto" w:line="259" w:before="0" w:after="160"/>
              <w:jc w:val="left"/>
              <w:rPr/>
            </w:pPr>
            <w:r>
              <w:rPr/>
            </w:r>
          </w:p>
        </w:tc>
        <w:tc>
          <w:tcPr>
            <w:tcW w:w="283" w:type="dxa"/>
            <w:tcBorders/>
            <w:shd w:color="auto" w:fill="auto" w:val="clear"/>
          </w:tcPr>
          <w:p>
            <w:pPr>
              <w:pStyle w:val="Normal"/>
              <w:widowControl/>
              <w:bidi w:val="0"/>
              <w:spacing w:lineRule="auto" w:line="259" w:before="0" w:after="160"/>
              <w:jc w:val="left"/>
              <w:rPr/>
            </w:pPr>
            <w:r>
              <w:rPr/>
            </w:r>
          </w:p>
        </w:tc>
        <w:tc>
          <w:tcPr>
            <w:tcW w:w="160" w:type="dxa"/>
            <w:gridSpan w:val="2"/>
            <w:tcBorders/>
            <w:shd w:color="auto" w:fill="auto" w:val="clear"/>
          </w:tcPr>
          <w:p>
            <w:pPr>
              <w:pStyle w:val="Normal"/>
              <w:widowControl/>
              <w:bidi w:val="0"/>
              <w:spacing w:lineRule="auto" w:line="259" w:before="0" w:after="160"/>
              <w:jc w:val="left"/>
              <w:rPr/>
            </w:pPr>
            <w:r>
              <w:rPr/>
            </w:r>
          </w:p>
        </w:tc>
      </w:tr>
      <w:tr>
        <w:trPr>
          <w:trHeight w:val="300" w:hRule="atLeast"/>
        </w:trPr>
        <w:tc>
          <w:tcPr>
            <w:tcW w:w="8359" w:type="dxa"/>
            <w:gridSpan w:val="2"/>
            <w:tcBorders/>
            <w:shd w:color="auto" w:fill="auto" w:val="clear"/>
            <w:vAlign w:val="bottom"/>
          </w:tcPr>
          <w:p>
            <w:pPr>
              <w:pStyle w:val="Normal"/>
              <w:spacing w:lineRule="auto" w:line="240" w:before="0" w:after="0"/>
              <w:rPr>
                <w:rFonts w:ascii="Calibri" w:hAnsi="Calibri" w:eastAsia="Times New Roman" w:cs="Calibri"/>
                <w:b/>
                <w:b/>
                <w:bCs/>
                <w:highlight w:val="cyan"/>
                <w:lang w:eastAsia="es-MX"/>
              </w:rPr>
            </w:pPr>
            <w:r>
              <w:rPr>
                <w:rFonts w:eastAsia="Times New Roman" w:cs="Calibri"/>
                <w:b/>
                <w:bCs/>
                <w:highlight w:val="cyan"/>
                <w:lang w:eastAsia="es-MX"/>
              </w:rPr>
              <w:t>PROPIAS 110 Ahorro</w:t>
            </w:r>
          </w:p>
          <w:p>
            <w:pPr>
              <w:pStyle w:val="Normal"/>
              <w:spacing w:lineRule="auto" w:line="240" w:before="0" w:after="0"/>
              <w:rPr>
                <w:rFonts w:ascii="Calibri" w:hAnsi="Calibri" w:eastAsia="Times New Roman" w:cs="Calibri"/>
                <w:b/>
                <w:b/>
                <w:bCs/>
                <w:highlight w:val="cyan"/>
                <w:lang w:eastAsia="es-MX"/>
              </w:rPr>
            </w:pPr>
            <w:r>
              <w:rPr>
                <w:rFonts w:eastAsia="Times New Roman" w:cs="Calibri"/>
                <w:b/>
                <w:bCs/>
                <w:highlight w:val="cyan"/>
                <w:lang w:eastAsia="es-MX"/>
              </w:rPr>
              <w:t>Proceso deseable de la aplicación móvil. Preguntar a Bankingly si lo hace.</w:t>
            </w:r>
          </w:p>
        </w:tc>
        <w:tc>
          <w:tcPr>
            <w:tcW w:w="283" w:type="dxa"/>
            <w:tcBorders/>
            <w:shd w:color="auto" w:fill="auto" w:val="clear"/>
          </w:tcPr>
          <w:p>
            <w:pPr>
              <w:pStyle w:val="Normal"/>
              <w:widowControl/>
              <w:bidi w:val="0"/>
              <w:spacing w:lineRule="auto" w:line="259" w:before="0" w:after="160"/>
              <w:jc w:val="left"/>
              <w:rPr/>
            </w:pPr>
            <w:r>
              <w:rPr/>
            </w:r>
          </w:p>
        </w:tc>
        <w:tc>
          <w:tcPr>
            <w:tcW w:w="160" w:type="dxa"/>
            <w:gridSpan w:val="2"/>
            <w:tcBorders/>
            <w:shd w:color="auto" w:fill="auto" w:val="clear"/>
          </w:tcPr>
          <w:p>
            <w:pPr>
              <w:pStyle w:val="Normal"/>
              <w:widowControl/>
              <w:bidi w:val="0"/>
              <w:spacing w:lineRule="auto" w:line="259" w:before="0" w:after="160"/>
              <w:jc w:val="left"/>
              <w:rPr/>
            </w:pPr>
            <w:r>
              <w:rPr/>
            </w:r>
          </w:p>
        </w:tc>
      </w:tr>
      <w:tr>
        <w:trPr>
          <w:trHeight w:val="300" w:hRule="atLeast"/>
        </w:trPr>
        <w:tc>
          <w:tcPr>
            <w:tcW w:w="8359" w:type="dxa"/>
            <w:gridSpan w:val="2"/>
            <w:tcBorders/>
            <w:shd w:color="auto" w:fill="auto" w:val="clear"/>
            <w:vAlign w:val="bottom"/>
          </w:tcPr>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La única cuenta que se debe mostrar para realizar el retiro es la cuenta TDD producto 133, Nota: no se puede retirar del ahorro 110.</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Transferencias entre mis cuentas</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Tipo de transferencia: Transferencias entre mis cuentas:</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 xml:space="preserve"> </w:t>
            </w:r>
            <w:r>
              <w:rPr>
                <w:rFonts w:eastAsia="Times New Roman" w:cs="Calibri"/>
                <w:highlight w:val="cyan"/>
                <w:lang w:eastAsia="es-MX"/>
              </w:rPr>
              <w:t>Seleccionarla la Cuenta Origen: TDD producto 133, click en siguiente</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Seleccionar Cuenta Destino: Solo se debe seleccionar el producto 110 Ahorro, click en Siguiente.</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Seleccionar: Moneda de la Transferencia: Pesos Mexicanos</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Monto de las operación (MX): XX,XX</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Descripción: Motivo de la Transferencia entre mis cuentas</w:t>
            </w:r>
          </w:p>
          <w:p>
            <w:pPr>
              <w:pStyle w:val="Normal"/>
              <w:spacing w:lineRule="auto" w:line="240" w:before="0" w:after="0"/>
              <w:rPr/>
            </w:pPr>
            <w:r>
              <w:rPr>
                <w:rFonts w:eastAsia="Times New Roman" w:cs="Calibri"/>
                <w:highlight w:val="cyan"/>
                <w:lang w:eastAsia="es-MX"/>
              </w:rPr>
              <w:t xml:space="preserve">Correo electrónico: </w:t>
            </w:r>
            <w:hyperlink r:id="rId3">
              <w:r>
                <w:rPr>
                  <w:rStyle w:val="EnlacedeInternet"/>
                  <w:rFonts w:eastAsia="Times New Roman" w:cs="Calibri"/>
                  <w:color w:val="auto"/>
                  <w:highlight w:val="cyan"/>
                  <w:lang w:eastAsia="es-MX"/>
                </w:rPr>
                <w:t>123@domino.com</w:t>
              </w:r>
            </w:hyperlink>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Click en Siguiente.</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Validar la Operación y dar click en confirmar</w:t>
            </w:r>
          </w:p>
          <w:p>
            <w:pPr>
              <w:pStyle w:val="Normal"/>
              <w:spacing w:lineRule="auto" w:line="240" w:before="0" w:after="0"/>
              <w:rPr>
                <w:highlight w:val="cyan"/>
              </w:rPr>
            </w:pPr>
            <w:r>
              <w:rPr>
                <w:rFonts w:eastAsia="Times New Roman" w:cs="Calibri"/>
                <w:highlight w:val="cyan"/>
                <w:lang w:eastAsia="es-MX"/>
              </w:rPr>
              <w:t>S</w:t>
            </w:r>
            <w:r>
              <w:rPr>
                <w:highlight w:val="cyan"/>
              </w:rPr>
              <w:t>e necesita de pin o contraseña para autorizar la transferencia</w:t>
            </w:r>
          </w:p>
          <w:p>
            <w:pPr>
              <w:pStyle w:val="Normal"/>
              <w:spacing w:lineRule="auto" w:line="240" w:before="0" w:after="0"/>
              <w:rPr>
                <w:highlight w:val="cyan"/>
              </w:rPr>
            </w:pPr>
            <w:r>
              <w:rPr>
                <w:highlight w:val="cyan"/>
              </w:rPr>
              <w:t>Opción para compartir el ticket de la operación</w:t>
            </w:r>
          </w:p>
          <w:p>
            <w:pPr>
              <w:pStyle w:val="Normal"/>
              <w:spacing w:lineRule="auto" w:line="240" w:before="0" w:after="0"/>
              <w:rPr>
                <w:highlight w:val="cyan"/>
              </w:rPr>
            </w:pPr>
            <w:r>
              <w:rPr>
                <w:highlight w:val="cyan"/>
              </w:rPr>
              <w:t>Llega correo de la transferencia de la operación</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r>
          </w:p>
          <w:p>
            <w:pPr>
              <w:pStyle w:val="Normal"/>
              <w:spacing w:lineRule="auto" w:line="240" w:before="0" w:after="0"/>
              <w:rPr>
                <w:rFonts w:ascii="Calibri" w:hAnsi="Calibri" w:eastAsia="Times New Roman" w:cs="Calibri"/>
                <w:b/>
                <w:b/>
                <w:bCs/>
                <w:highlight w:val="cyan"/>
                <w:lang w:eastAsia="es-MX"/>
              </w:rPr>
            </w:pPr>
            <w:r>
              <w:rPr>
                <w:rFonts w:eastAsia="Times New Roman" w:cs="Calibri"/>
                <w:b/>
                <w:bCs/>
                <w:highlight w:val="cyan"/>
                <w:lang w:eastAsia="es-MX"/>
              </w:rPr>
              <w:t>PROPIAS CREDITOS</w:t>
            </w:r>
          </w:p>
          <w:p>
            <w:pPr>
              <w:pStyle w:val="Normal"/>
              <w:spacing w:lineRule="auto" w:line="240" w:before="0" w:after="0"/>
              <w:rPr>
                <w:rFonts w:ascii="Calibri" w:hAnsi="Calibri" w:eastAsia="Times New Roman" w:cs="Calibri"/>
                <w:b/>
                <w:b/>
                <w:bCs/>
                <w:highlight w:val="cyan"/>
                <w:lang w:eastAsia="es-MX"/>
              </w:rPr>
            </w:pPr>
            <w:r>
              <w:rPr>
                <w:rFonts w:eastAsia="Times New Roman" w:cs="Calibri"/>
                <w:b/>
                <w:bCs/>
                <w:highlight w:val="cyan"/>
                <w:lang w:eastAsia="es-MX"/>
              </w:rPr>
              <w:t>Proceso deseable de la aplicación móvil. Preguntar a Bankingly si lo hace.</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Prestamos, Pagar Prestamos</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Seleccionar Tipo de Préstamo: Prestamos Propios</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Seleccionar el prestamos al cual se realizará el pago</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Debe mostrar el saldo actual del préstamo</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 xml:space="preserve">Seleccionar Cuenta Origen de la cual se retira el monto para pagar el préstamo, solo se debe mostrar el producto 133 TDD, no se debe retirar saldo del 110 ahorro </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Existen 3 opciones</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1 seleccionar el monto por abonar exacto para cubrir la mensualidad</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2 otro: cantidad que el socio quiere abonar, el monto exacto de la mensualidad a cubrir + el monto extra que se desee abonar, cuando el tipo de pago es hipotecario deberá abonar mensualidad completa y el capital de las siguientes amortizaciones, para los prestamos de pago creciente, se abona mensualidad mas el saldo que considere el socio.</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3 saldo: Existe la posibilidad de liquidar el saldo total del préstamo.</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Click en Siguiente</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Confirmación de la operación, corroborar la información adicional del desglose de la operación.</w:t>
            </w:r>
          </w:p>
          <w:p>
            <w:pPr>
              <w:pStyle w:val="Normal"/>
              <w:spacing w:lineRule="auto" w:line="240" w:before="0" w:after="0"/>
              <w:rPr>
                <w:highlight w:val="cyan"/>
              </w:rPr>
            </w:pPr>
            <w:r>
              <w:rPr>
                <w:rFonts w:eastAsia="Times New Roman" w:cs="Calibri"/>
                <w:highlight w:val="cyan"/>
                <w:lang w:eastAsia="es-MX"/>
              </w:rPr>
              <w:t>S</w:t>
            </w:r>
            <w:r>
              <w:rPr>
                <w:highlight w:val="cyan"/>
              </w:rPr>
              <w:t>e necesita de pin o contraseña para autorizar la transferencia</w:t>
            </w:r>
          </w:p>
          <w:p>
            <w:pPr>
              <w:pStyle w:val="Normal"/>
              <w:spacing w:lineRule="auto" w:line="240" w:before="0" w:after="0"/>
              <w:rPr>
                <w:highlight w:val="cyan"/>
              </w:rPr>
            </w:pPr>
            <w:r>
              <w:rPr>
                <w:highlight w:val="cyan"/>
              </w:rPr>
              <w:t>Opción para compartir el ticket de la operación</w:t>
            </w:r>
          </w:p>
          <w:p>
            <w:pPr>
              <w:pStyle w:val="Normal"/>
              <w:spacing w:lineRule="auto" w:line="240" w:before="0" w:after="0"/>
              <w:rPr>
                <w:highlight w:val="cyan"/>
              </w:rPr>
            </w:pPr>
            <w:r>
              <w:rPr>
                <w:highlight w:val="cyan"/>
              </w:rPr>
              <w:t>Llega correo de la transferencia de la operación</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r>
          </w:p>
        </w:tc>
        <w:tc>
          <w:tcPr>
            <w:tcW w:w="283" w:type="dxa"/>
            <w:tcBorders/>
            <w:shd w:color="auto" w:fill="auto" w:val="clear"/>
          </w:tcPr>
          <w:p>
            <w:pPr>
              <w:pStyle w:val="Normal"/>
              <w:widowControl/>
              <w:bidi w:val="0"/>
              <w:spacing w:lineRule="auto" w:line="259" w:before="0" w:after="160"/>
              <w:jc w:val="left"/>
              <w:rPr/>
            </w:pPr>
            <w:r>
              <w:rPr/>
            </w:r>
          </w:p>
        </w:tc>
        <w:tc>
          <w:tcPr>
            <w:tcW w:w="160" w:type="dxa"/>
            <w:gridSpan w:val="2"/>
            <w:tcBorders/>
            <w:shd w:color="auto" w:fill="auto" w:val="clear"/>
          </w:tcPr>
          <w:p>
            <w:pPr>
              <w:pStyle w:val="Normal"/>
              <w:widowControl/>
              <w:bidi w:val="0"/>
              <w:spacing w:lineRule="auto" w:line="259" w:before="0" w:after="160"/>
              <w:jc w:val="left"/>
              <w:rPr/>
            </w:pPr>
            <w:r>
              <w:rPr/>
            </w:r>
          </w:p>
        </w:tc>
      </w:tr>
      <w:tr>
        <w:trPr>
          <w:trHeight w:val="300" w:hRule="atLeast"/>
        </w:trPr>
        <w:tc>
          <w:tcPr>
            <w:tcW w:w="6876" w:type="dxa"/>
            <w:tcBorders/>
            <w:shd w:color="000000" w:fill="BFBFBF" w:val="clear"/>
            <w:vAlign w:val="bottom"/>
          </w:tcPr>
          <w:p>
            <w:pPr>
              <w:pStyle w:val="Normal"/>
              <w:spacing w:lineRule="auto" w:line="240" w:before="0" w:after="0"/>
              <w:rPr>
                <w:rFonts w:ascii="Calibri" w:hAnsi="Calibri" w:eastAsia="Times New Roman" w:cs="Calibri"/>
                <w:b/>
                <w:b/>
                <w:bCs/>
                <w:color w:val="000000"/>
                <w:lang w:eastAsia="es-MX"/>
              </w:rPr>
            </w:pPr>
            <w:r>
              <w:rPr>
                <w:rFonts w:eastAsia="Times New Roman" w:cs="Calibri"/>
                <w:b/>
                <w:bCs/>
                <w:lang w:eastAsia="es-MX"/>
              </w:rPr>
              <w:t>TRANSFERENCIAS TERCEROS</w:t>
            </w:r>
          </w:p>
        </w:tc>
        <w:tc>
          <w:tcPr>
            <w:tcW w:w="1483" w:type="dxa"/>
            <w:tcBorders/>
            <w:shd w:color="auto" w:fill="auto" w:val="clear"/>
          </w:tcPr>
          <w:p>
            <w:pPr>
              <w:pStyle w:val="Normal"/>
              <w:widowControl/>
              <w:bidi w:val="0"/>
              <w:spacing w:lineRule="auto" w:line="259" w:before="0" w:after="160"/>
              <w:jc w:val="left"/>
              <w:rPr/>
            </w:pPr>
            <w:r>
              <w:rPr/>
            </w:r>
          </w:p>
        </w:tc>
        <w:tc>
          <w:tcPr>
            <w:tcW w:w="283" w:type="dxa"/>
            <w:tcBorders/>
            <w:shd w:color="auto" w:fill="auto" w:val="clear"/>
          </w:tcPr>
          <w:p>
            <w:pPr>
              <w:pStyle w:val="Normal"/>
              <w:widowControl/>
              <w:bidi w:val="0"/>
              <w:spacing w:lineRule="auto" w:line="259" w:before="0" w:after="160"/>
              <w:jc w:val="left"/>
              <w:rPr/>
            </w:pPr>
            <w:r>
              <w:rPr/>
            </w:r>
          </w:p>
        </w:tc>
        <w:tc>
          <w:tcPr>
            <w:tcW w:w="160" w:type="dxa"/>
            <w:gridSpan w:val="2"/>
            <w:tcBorders/>
            <w:shd w:color="auto" w:fill="auto" w:val="clear"/>
          </w:tcPr>
          <w:p>
            <w:pPr>
              <w:pStyle w:val="Normal"/>
              <w:widowControl/>
              <w:bidi w:val="0"/>
              <w:spacing w:lineRule="auto" w:line="259" w:before="0" w:after="160"/>
              <w:jc w:val="left"/>
              <w:rPr/>
            </w:pPr>
            <w:r>
              <w:rPr/>
            </w:r>
          </w:p>
        </w:tc>
      </w:tr>
      <w:tr>
        <w:trPr>
          <w:trHeight w:val="300" w:hRule="atLeast"/>
        </w:trPr>
        <w:tc>
          <w:tcPr>
            <w:tcW w:w="6876" w:type="dxa"/>
            <w:tcBorders/>
            <w:shd w:color="auto" w:fill="auto" w:val="clear"/>
            <w:vAlign w:val="bottom"/>
          </w:tcPr>
          <w:p>
            <w:pPr>
              <w:pStyle w:val="Normal"/>
              <w:spacing w:lineRule="auto" w:line="240" w:before="0" w:after="0"/>
              <w:rPr>
                <w:rFonts w:ascii="Calibri" w:hAnsi="Calibri" w:eastAsia="Times New Roman" w:cs="Calibri"/>
                <w:b/>
                <w:b/>
                <w:bCs/>
                <w:highlight w:val="cyan"/>
                <w:lang w:eastAsia="es-MX"/>
              </w:rPr>
            </w:pPr>
            <w:r>
              <w:rPr>
                <w:rFonts w:eastAsia="Times New Roman" w:cs="Calibri"/>
                <w:b/>
                <w:bCs/>
                <w:highlight w:val="cyan"/>
                <w:lang w:eastAsia="es-MX"/>
              </w:rPr>
              <w:t>TRANSFERENCIAS 110, TRANSFERENCIAS 120, TRANSFERENCIAS 125</w:t>
            </w:r>
          </w:p>
          <w:p>
            <w:pPr>
              <w:pStyle w:val="Normal"/>
              <w:spacing w:lineRule="auto" w:line="240" w:before="0" w:after="0"/>
              <w:rPr>
                <w:rFonts w:ascii="Calibri" w:hAnsi="Calibri" w:eastAsia="Times New Roman" w:cs="Calibri"/>
                <w:highlight w:val="cyan"/>
                <w:lang w:eastAsia="es-MX"/>
              </w:rPr>
            </w:pPr>
            <w:r>
              <w:rPr>
                <w:rFonts w:eastAsia="Times New Roman" w:cs="Calibri"/>
                <w:b/>
                <w:bCs/>
                <w:highlight w:val="cyan"/>
                <w:lang w:eastAsia="es-MX"/>
              </w:rPr>
              <w:t>Proceso deseable de la aplicación móvil. Preguntar a Bankingly si lo hace.</w:t>
            </w:r>
          </w:p>
        </w:tc>
        <w:tc>
          <w:tcPr>
            <w:tcW w:w="1483" w:type="dxa"/>
            <w:tcBorders/>
            <w:shd w:color="auto" w:fill="auto" w:val="clear"/>
          </w:tcPr>
          <w:p>
            <w:pPr>
              <w:pStyle w:val="Normal"/>
              <w:spacing w:before="0" w:after="160"/>
              <w:rPr>
                <w:highlight w:val="cyan"/>
              </w:rPr>
            </w:pPr>
            <w:r>
              <w:rPr>
                <w:highlight w:val="cyan"/>
              </w:rPr>
            </w:r>
          </w:p>
        </w:tc>
        <w:tc>
          <w:tcPr>
            <w:tcW w:w="283" w:type="dxa"/>
            <w:tcBorders/>
            <w:shd w:color="auto" w:fill="auto" w:val="clear"/>
          </w:tcPr>
          <w:p>
            <w:pPr>
              <w:pStyle w:val="Normal"/>
              <w:spacing w:before="0" w:after="160"/>
              <w:rPr>
                <w:highlight w:val="cyan"/>
              </w:rPr>
            </w:pPr>
            <w:r>
              <w:rPr>
                <w:highlight w:val="cyan"/>
              </w:rPr>
            </w:r>
          </w:p>
        </w:tc>
        <w:tc>
          <w:tcPr>
            <w:tcW w:w="160" w:type="dxa"/>
            <w:gridSpan w:val="2"/>
            <w:tcBorders/>
            <w:shd w:color="auto" w:fill="auto" w:val="clear"/>
          </w:tcPr>
          <w:p>
            <w:pPr>
              <w:pStyle w:val="Normal"/>
              <w:spacing w:before="0" w:after="160"/>
              <w:rPr>
                <w:highlight w:val="cyan"/>
              </w:rPr>
            </w:pPr>
            <w:r>
              <w:rPr>
                <w:highlight w:val="cyan"/>
              </w:rPr>
            </w:r>
          </w:p>
        </w:tc>
      </w:tr>
      <w:tr>
        <w:trPr>
          <w:trHeight w:val="300" w:hRule="atLeast"/>
        </w:trPr>
        <w:tc>
          <w:tcPr>
            <w:tcW w:w="6876" w:type="dxa"/>
            <w:tcBorders/>
            <w:shd w:color="auto" w:fill="auto" w:val="clear"/>
            <w:vAlign w:val="bottom"/>
          </w:tcPr>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La única cuenta que se debe mostrar para realizar el retiro es la cuenta TDD producto 133, Nota: no se puede retirar del ahorro 110.</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Transferencias entre mis cuentas</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Tipo de transferencia: Transferencias a cuentas de terceros:</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 xml:space="preserve"> </w:t>
            </w:r>
            <w:r>
              <w:rPr>
                <w:rFonts w:eastAsia="Times New Roman" w:cs="Calibri"/>
                <w:highlight w:val="cyan"/>
                <w:lang w:eastAsia="es-MX"/>
              </w:rPr>
              <w:t>Seleccionarla la Cuenta Origen: TDD producto 133, click en siguiente</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Seleccionar Cuenta Destino: Solo se debe seleccionar el producto 110 Ahorro, click en Siguiente.</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Seleccionar la cuenta de tercero a la cual se realizará la transferencia</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Seleccionar: Moneda de la Transferencia: Pesos Mexicanos</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Monto de las operación (MX): XX,XX</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Descripción: Motivo de la Transferencia entre mis cuentas</w:t>
            </w:r>
          </w:p>
          <w:p>
            <w:pPr>
              <w:pStyle w:val="Normal"/>
              <w:spacing w:lineRule="auto" w:line="240" w:before="0" w:after="0"/>
              <w:rPr/>
            </w:pPr>
            <w:r>
              <w:rPr>
                <w:rFonts w:eastAsia="Times New Roman" w:cs="Calibri"/>
                <w:highlight w:val="cyan"/>
                <w:lang w:eastAsia="es-MX"/>
              </w:rPr>
              <w:t xml:space="preserve">Correo electrónico: </w:t>
            </w:r>
            <w:hyperlink r:id="rId4">
              <w:r>
                <w:rPr>
                  <w:rStyle w:val="EnlacedeInternet"/>
                  <w:rFonts w:eastAsia="Times New Roman" w:cs="Calibri"/>
                  <w:color w:val="auto"/>
                  <w:highlight w:val="cyan"/>
                  <w:lang w:eastAsia="es-MX"/>
                </w:rPr>
                <w:t>123@domino.com</w:t>
              </w:r>
            </w:hyperlink>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Click en Siguiente.</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Validar la Operación y dar click en confirmar</w:t>
            </w:r>
          </w:p>
          <w:p>
            <w:pPr>
              <w:pStyle w:val="Normal"/>
              <w:spacing w:lineRule="auto" w:line="240" w:before="0" w:after="0"/>
              <w:rPr>
                <w:highlight w:val="cyan"/>
              </w:rPr>
            </w:pPr>
            <w:r>
              <w:rPr>
                <w:rFonts w:eastAsia="Times New Roman" w:cs="Calibri"/>
                <w:highlight w:val="cyan"/>
                <w:lang w:eastAsia="es-MX"/>
              </w:rPr>
              <w:t>S</w:t>
            </w:r>
            <w:r>
              <w:rPr>
                <w:highlight w:val="cyan"/>
              </w:rPr>
              <w:t>e necesita de pin o contraseña para autorizar la transferencia</w:t>
            </w:r>
          </w:p>
          <w:p>
            <w:pPr>
              <w:pStyle w:val="Normal"/>
              <w:spacing w:lineRule="auto" w:line="240" w:before="0" w:after="0"/>
              <w:rPr>
                <w:highlight w:val="cyan"/>
              </w:rPr>
            </w:pPr>
            <w:r>
              <w:rPr>
                <w:highlight w:val="cyan"/>
              </w:rPr>
              <w:t>Opción para compartir el ticket de la operación</w:t>
            </w:r>
          </w:p>
          <w:p>
            <w:pPr>
              <w:pStyle w:val="Normal"/>
              <w:spacing w:lineRule="auto" w:line="240" w:before="0" w:after="0"/>
              <w:rPr>
                <w:highlight w:val="cyan"/>
              </w:rPr>
            </w:pPr>
            <w:r>
              <w:rPr>
                <w:highlight w:val="cyan"/>
              </w:rPr>
              <w:t>Llega correo de la transferencia de la operación</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r>
          </w:p>
        </w:tc>
        <w:tc>
          <w:tcPr>
            <w:tcW w:w="1483" w:type="dxa"/>
            <w:tcBorders/>
            <w:shd w:color="auto" w:fill="auto" w:val="clear"/>
          </w:tcPr>
          <w:p>
            <w:pPr>
              <w:pStyle w:val="Normal"/>
              <w:spacing w:before="0" w:after="160"/>
              <w:rPr>
                <w:highlight w:val="cyan"/>
              </w:rPr>
            </w:pPr>
            <w:r>
              <w:rPr>
                <w:highlight w:val="cyan"/>
              </w:rPr>
            </w:r>
          </w:p>
        </w:tc>
        <w:tc>
          <w:tcPr>
            <w:tcW w:w="283" w:type="dxa"/>
            <w:tcBorders/>
            <w:shd w:color="auto" w:fill="auto" w:val="clear"/>
          </w:tcPr>
          <w:p>
            <w:pPr>
              <w:pStyle w:val="Normal"/>
              <w:spacing w:before="0" w:after="160"/>
              <w:rPr>
                <w:highlight w:val="cyan"/>
              </w:rPr>
            </w:pPr>
            <w:r>
              <w:rPr>
                <w:highlight w:val="cyan"/>
              </w:rPr>
            </w:r>
          </w:p>
        </w:tc>
        <w:tc>
          <w:tcPr>
            <w:tcW w:w="160" w:type="dxa"/>
            <w:gridSpan w:val="2"/>
            <w:tcBorders/>
            <w:shd w:color="auto" w:fill="auto" w:val="clear"/>
          </w:tcPr>
          <w:p>
            <w:pPr>
              <w:pStyle w:val="Normal"/>
              <w:spacing w:before="0" w:after="160"/>
              <w:rPr>
                <w:highlight w:val="cyan"/>
              </w:rPr>
            </w:pPr>
            <w:r>
              <w:rPr>
                <w:highlight w:val="cyan"/>
              </w:rPr>
            </w:r>
          </w:p>
        </w:tc>
      </w:tr>
      <w:tr>
        <w:trPr>
          <w:trHeight w:val="300" w:hRule="atLeast"/>
        </w:trPr>
        <w:tc>
          <w:tcPr>
            <w:tcW w:w="6876" w:type="dxa"/>
            <w:tcBorders/>
            <w:shd w:color="auto" w:fill="auto" w:val="clear"/>
            <w:vAlign w:val="bottom"/>
          </w:tcPr>
          <w:p>
            <w:pPr>
              <w:pStyle w:val="Normal"/>
              <w:spacing w:lineRule="auto" w:line="240" w:before="0" w:after="0"/>
              <w:rPr>
                <w:rFonts w:ascii="Calibri" w:hAnsi="Calibri" w:eastAsia="Times New Roman" w:cs="Calibri"/>
                <w:b/>
                <w:b/>
                <w:bCs/>
                <w:highlight w:val="cyan"/>
                <w:lang w:eastAsia="es-MX"/>
              </w:rPr>
            </w:pPr>
            <w:r>
              <w:rPr>
                <w:rFonts w:eastAsia="Times New Roman" w:cs="Calibri"/>
                <w:b/>
                <w:bCs/>
                <w:highlight w:val="cyan"/>
                <w:lang w:eastAsia="es-MX"/>
              </w:rPr>
            </w:r>
          </w:p>
          <w:p>
            <w:pPr>
              <w:pStyle w:val="Normal"/>
              <w:spacing w:lineRule="auto" w:line="240" w:before="0" w:after="0"/>
              <w:rPr>
                <w:rFonts w:ascii="Calibri" w:hAnsi="Calibri" w:eastAsia="Times New Roman" w:cs="Calibri"/>
                <w:b/>
                <w:b/>
                <w:bCs/>
                <w:highlight w:val="cyan"/>
                <w:lang w:eastAsia="es-MX"/>
              </w:rPr>
            </w:pPr>
            <w:r>
              <w:rPr>
                <w:rFonts w:eastAsia="Times New Roman" w:cs="Calibri"/>
                <w:b/>
                <w:bCs/>
                <w:highlight w:val="cyan"/>
                <w:lang w:eastAsia="es-MX"/>
              </w:rPr>
              <w:t>TRANSFERENCIAS CREDITOS</w:t>
            </w:r>
          </w:p>
          <w:p>
            <w:pPr>
              <w:pStyle w:val="Normal"/>
              <w:spacing w:lineRule="auto" w:line="240" w:before="0" w:after="0"/>
              <w:rPr>
                <w:rFonts w:ascii="Calibri" w:hAnsi="Calibri" w:eastAsia="Times New Roman" w:cs="Calibri"/>
                <w:highlight w:val="cyan"/>
                <w:lang w:eastAsia="es-MX"/>
              </w:rPr>
            </w:pPr>
            <w:r>
              <w:rPr>
                <w:rFonts w:eastAsia="Times New Roman" w:cs="Calibri"/>
                <w:b/>
                <w:bCs/>
                <w:highlight w:val="cyan"/>
                <w:lang w:eastAsia="es-MX"/>
              </w:rPr>
              <w:t>Proceso deseable de la aplicación móvil. Preguntar a Bankingly si lo hace.</w:t>
            </w:r>
          </w:p>
        </w:tc>
        <w:tc>
          <w:tcPr>
            <w:tcW w:w="1483" w:type="dxa"/>
            <w:tcBorders/>
            <w:shd w:color="auto" w:fill="auto" w:val="clear"/>
          </w:tcPr>
          <w:p>
            <w:pPr>
              <w:pStyle w:val="Normal"/>
              <w:spacing w:before="0" w:after="160"/>
              <w:rPr>
                <w:highlight w:val="cyan"/>
              </w:rPr>
            </w:pPr>
            <w:r>
              <w:rPr>
                <w:highlight w:val="cyan"/>
              </w:rPr>
            </w:r>
          </w:p>
        </w:tc>
        <w:tc>
          <w:tcPr>
            <w:tcW w:w="283" w:type="dxa"/>
            <w:tcBorders/>
            <w:shd w:color="auto" w:fill="auto" w:val="clear"/>
          </w:tcPr>
          <w:p>
            <w:pPr>
              <w:pStyle w:val="Normal"/>
              <w:spacing w:before="0" w:after="160"/>
              <w:rPr>
                <w:highlight w:val="cyan"/>
              </w:rPr>
            </w:pPr>
            <w:r>
              <w:rPr>
                <w:highlight w:val="cyan"/>
              </w:rPr>
            </w:r>
          </w:p>
        </w:tc>
        <w:tc>
          <w:tcPr>
            <w:tcW w:w="160" w:type="dxa"/>
            <w:gridSpan w:val="2"/>
            <w:tcBorders/>
            <w:shd w:color="auto" w:fill="auto" w:val="clear"/>
          </w:tcPr>
          <w:p>
            <w:pPr>
              <w:pStyle w:val="Normal"/>
              <w:spacing w:before="0" w:after="160"/>
              <w:rPr>
                <w:highlight w:val="cyan"/>
              </w:rPr>
            </w:pPr>
            <w:r>
              <w:rPr>
                <w:highlight w:val="cyan"/>
              </w:rPr>
            </w:r>
          </w:p>
        </w:tc>
      </w:tr>
    </w:tbl>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Prestamos, Pagar Prestamos</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Seleccionar Tipo de Préstamo: Prestamos Terceros</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Seleccionar el préstamo al cual se realizará el pago</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Debe mostrar el saldo actual del préstamo</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 xml:space="preserve">Seleccionar Cuenta Origen de la cual se retira el monto para pagar el préstamo, solo se debe mostrar el producto 133 TDD, no se debe retirar saldo del 110 ahorro </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Existen 3 opciones</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1 seleccionar el monto por abonar exacto para cubrir la mensualidad</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2 otro: cantidad que el socio quiere abonar, el monto exacto de la mensualidad a cubrir + el monto extra que se desee abonar, cuando el tipo de pago es hipotecario deberá abonar mensualidad completa y el capital de las siguientes amortizaciones, para los préstamos de pago creciente, se abona mensualidad más el saldo que considere el socio.</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3 saldo: Existe la posibilidad de liquidar el saldo total del préstamo.</w:t>
      </w:r>
    </w:p>
    <w:p>
      <w:pPr>
        <w:pStyle w:val="Normal"/>
        <w:spacing w:lineRule="auto" w:line="240" w:before="0" w:after="0"/>
        <w:rPr>
          <w:rFonts w:ascii="Calibri" w:hAnsi="Calibri" w:eastAsia="Times New Roman" w:cs="Calibri"/>
          <w:highlight w:val="cyan"/>
          <w:lang w:eastAsia="es-MX"/>
        </w:rPr>
      </w:pPr>
      <w:r>
        <w:rPr>
          <w:rFonts w:eastAsia="Times New Roman" w:cs="Calibri"/>
          <w:highlight w:val="cyan"/>
          <w:lang w:eastAsia="es-MX"/>
        </w:rPr>
        <w:t>Click en Siguiente</w:t>
      </w:r>
    </w:p>
    <w:p>
      <w:pPr>
        <w:pStyle w:val="Normal"/>
        <w:spacing w:lineRule="auto" w:line="240" w:before="0" w:after="0"/>
        <w:rPr>
          <w:rFonts w:ascii="Calibri" w:hAnsi="Calibri" w:eastAsia="Times New Roman" w:cs="Calibri"/>
          <w:lang w:eastAsia="es-MX"/>
        </w:rPr>
      </w:pPr>
      <w:r>
        <w:rPr>
          <w:rFonts w:eastAsia="Times New Roman" w:cs="Calibri"/>
          <w:highlight w:val="cyan"/>
          <w:lang w:eastAsia="es-MX"/>
        </w:rPr>
        <w:t>Confirmación de la operación, corroborar la información adicional del desglose de la operación.</w:t>
      </w:r>
    </w:p>
    <w:p>
      <w:pPr>
        <w:pStyle w:val="Normal"/>
        <w:spacing w:lineRule="auto" w:line="240" w:before="0" w:after="0"/>
        <w:rPr>
          <w:rFonts w:ascii="Calibri" w:hAnsi="Calibri" w:eastAsia="Times New Roman" w:cs="Calibri"/>
          <w:lang w:eastAsia="es-MX"/>
        </w:rPr>
      </w:pPr>
      <w:r>
        <w:rPr>
          <w:rFonts w:eastAsia="Times New Roman" w:cs="Calibri"/>
          <w:lang w:eastAsia="es-MX"/>
        </w:rPr>
      </w:r>
    </w:p>
    <w:p>
      <w:pPr>
        <w:pStyle w:val="Normal"/>
        <w:spacing w:lineRule="auto" w:line="240" w:before="0" w:after="0"/>
        <w:rPr>
          <w:rFonts w:ascii="Calibri" w:hAnsi="Calibri" w:eastAsia="Times New Roman" w:cs="Calibri"/>
          <w:color w:val="000000"/>
          <w:lang w:eastAsia="es-MX"/>
        </w:rPr>
      </w:pPr>
      <w:r>
        <w:rPr>
          <w:rFonts w:eastAsia="Times New Roman" w:cs="Calibri"/>
          <w:color w:val="000000"/>
          <w:lang w:eastAsia="es-MX"/>
        </w:rPr>
      </w:r>
    </w:p>
    <w:p>
      <w:pPr>
        <w:pStyle w:val="Normal"/>
        <w:spacing w:lineRule="auto" w:line="240" w:before="0" w:after="0"/>
        <w:rPr>
          <w:rFonts w:ascii="Calibri" w:hAnsi="Calibri" w:eastAsia="Times New Roman" w:cs="Calibri"/>
          <w:color w:val="000000"/>
          <w:lang w:eastAsia="es-MX"/>
        </w:rPr>
      </w:pPr>
      <w:r>
        <w:rPr>
          <w:rFonts w:eastAsia="Times New Roman" w:cs="Calibri"/>
          <w:color w:val="000000"/>
          <w:lang w:eastAsia="es-MX"/>
        </w:rPr>
      </w:r>
    </w:p>
    <w:p>
      <w:pPr>
        <w:pStyle w:val="Normal"/>
        <w:spacing w:lineRule="auto" w:line="240" w:before="0" w:after="0"/>
        <w:rPr>
          <w:rFonts w:ascii="Calibri" w:hAnsi="Calibri" w:eastAsia="Times New Roman" w:cs="Calibri"/>
          <w:color w:val="000000"/>
          <w:lang w:eastAsia="es-MX"/>
        </w:rPr>
      </w:pPr>
      <w:r>
        <w:rPr>
          <w:rFonts w:eastAsia="Times New Roman" w:cs="Calibri"/>
          <w:color w:val="000000"/>
          <w:lang w:eastAsia="es-MX"/>
        </w:rPr>
      </w:r>
    </w:p>
    <w:p>
      <w:pPr>
        <w:pStyle w:val="Normal"/>
        <w:spacing w:lineRule="auto" w:line="240" w:before="0" w:after="0"/>
        <w:rPr>
          <w:rFonts w:ascii="Calibri" w:hAnsi="Calibri" w:eastAsia="Times New Roman" w:cs="Calibri"/>
          <w:color w:val="000000"/>
          <w:lang w:eastAsia="es-MX"/>
        </w:rPr>
      </w:pPr>
      <w:r>
        <w:rPr>
          <w:rFonts w:eastAsia="Times New Roman" w:cs="Calibri"/>
          <w:color w:val="000000"/>
          <w:lang w:eastAsia="es-MX"/>
        </w:rPr>
      </w:r>
    </w:p>
    <w:p>
      <w:pPr>
        <w:pStyle w:val="Normal"/>
        <w:spacing w:lineRule="auto" w:line="240" w:before="0" w:after="0"/>
        <w:rPr>
          <w:rFonts w:ascii="Calibri" w:hAnsi="Calibri" w:eastAsia="Times New Roman" w:cs="Calibri"/>
          <w:color w:val="000000"/>
          <w:lang w:eastAsia="es-MX"/>
        </w:rPr>
      </w:pPr>
      <w:r>
        <w:rPr>
          <w:rFonts w:eastAsia="Times New Roman" w:cs="Calibri"/>
          <w:color w:val="000000"/>
          <w:lang w:eastAsia="es-MX"/>
        </w:rPr>
      </w:r>
    </w:p>
    <w:p>
      <w:pPr>
        <w:pStyle w:val="Normal"/>
        <w:spacing w:lineRule="auto" w:line="240" w:before="0" w:after="0"/>
        <w:rPr>
          <w:rFonts w:ascii="Calibri" w:hAnsi="Calibri" w:eastAsia="Times New Roman" w:cs="Calibri"/>
          <w:color w:val="000000"/>
          <w:lang w:eastAsia="es-MX"/>
        </w:rPr>
      </w:pPr>
      <w:r>
        <w:rPr>
          <w:rFonts w:eastAsia="Times New Roman" w:cs="Calibri"/>
          <w:color w:val="000000"/>
          <w:lang w:eastAsia="es-MX"/>
        </w:rPr>
      </w:r>
    </w:p>
    <w:p>
      <w:pPr>
        <w:pStyle w:val="Normal"/>
        <w:spacing w:lineRule="auto" w:line="240" w:before="0" w:after="0"/>
        <w:rPr>
          <w:rFonts w:ascii="Calibri" w:hAnsi="Calibri" w:eastAsia="Times New Roman" w:cs="Calibri"/>
          <w:color w:val="000000"/>
          <w:lang w:eastAsia="es-MX"/>
        </w:rPr>
      </w:pPr>
      <w:r>
        <w:rPr>
          <w:rFonts w:eastAsia="Times New Roman" w:cs="Calibri"/>
          <w:color w:val="000000"/>
          <w:lang w:eastAsia="es-MX"/>
        </w:rPr>
      </w:r>
    </w:p>
    <w:p>
      <w:pPr>
        <w:pStyle w:val="Normal"/>
        <w:shd w:val="clear" w:color="auto" w:fill="A6A6A6" w:themeFill="background1" w:themeFillShade="a6"/>
        <w:rPr>
          <w:b/>
          <w:b/>
          <w:bCs/>
          <w:highlight w:val="cyan"/>
        </w:rPr>
      </w:pPr>
      <w:r>
        <w:rPr>
          <w:b/>
          <w:bCs/>
          <w:highlight w:val="cyan"/>
        </w:rPr>
        <w:t>Alta de Tercero SPEI   JOSE LUIS LOZANO</w:t>
      </w:r>
    </w:p>
    <w:p>
      <w:pPr>
        <w:pStyle w:val="Normal"/>
        <w:rPr>
          <w:b/>
          <w:b/>
          <w:bCs/>
          <w:highlight w:val="cyan"/>
        </w:rPr>
      </w:pPr>
      <w:r>
        <w:rPr>
          <w:b/>
          <w:bCs/>
          <w:highlight w:val="cyan"/>
        </w:rPr>
        <w:t>Tercero SPEI</w:t>
      </w:r>
    </w:p>
    <w:p>
      <w:pPr>
        <w:pStyle w:val="ListParagraph"/>
        <w:numPr>
          <w:ilvl w:val="0"/>
          <w:numId w:val="4"/>
        </w:numPr>
        <w:spacing w:before="0" w:after="0"/>
        <w:contextualSpacing/>
        <w:rPr>
          <w:highlight w:val="cyan"/>
        </w:rPr>
      </w:pPr>
      <w:r>
        <w:rPr>
          <w:highlight w:val="cyan"/>
        </w:rPr>
        <w:t>CLABE-TARJETA (Se recomienda no usar el número de tdd por PLD STP)</w:t>
      </w:r>
    </w:p>
    <w:p>
      <w:pPr>
        <w:pStyle w:val="ListParagraph"/>
        <w:spacing w:lineRule="auto" w:line="240" w:before="0" w:after="0"/>
        <w:contextualSpacing/>
        <w:rPr>
          <w:rFonts w:ascii="Calibri" w:hAnsi="Calibri" w:eastAsia="Times New Roman" w:cs="Calibri"/>
          <w:color w:val="000000"/>
          <w:highlight w:val="cyan"/>
          <w:lang w:eastAsia="es-MX"/>
        </w:rPr>
      </w:pPr>
      <w:r>
        <w:rPr>
          <w:rFonts w:eastAsia="Times New Roman" w:cs="Calibri"/>
          <w:b/>
          <w:bCs/>
          <w:color w:val="000000"/>
          <w:highlight w:val="cyan"/>
          <w:lang w:eastAsia="es-MX"/>
        </w:rPr>
        <w:t>Preguntar a Bankingly si esto lo controla que sean 18 numeros</w:t>
      </w:r>
    </w:p>
    <w:p>
      <w:pPr>
        <w:pStyle w:val="ListParagraph"/>
        <w:numPr>
          <w:ilvl w:val="0"/>
          <w:numId w:val="4"/>
        </w:numPr>
        <w:spacing w:before="0" w:after="0"/>
        <w:contextualSpacing/>
        <w:rPr>
          <w:highlight w:val="cyan"/>
        </w:rPr>
      </w:pPr>
      <w:r>
        <w:rPr>
          <w:highlight w:val="cyan"/>
        </w:rPr>
        <w:t>SE DEBE HABILITAR CUENTA CONTABLE DE CXP SPEI EN SAICOOP (para fondear cuenta concentradora STP</w:t>
      </w:r>
    </w:p>
    <w:p>
      <w:pPr>
        <w:pStyle w:val="ListParagraph"/>
        <w:spacing w:before="0" w:after="0"/>
        <w:contextualSpacing/>
        <w:rPr>
          <w:highlight w:val="cyan"/>
        </w:rPr>
      </w:pPr>
      <w:r>
        <w:rPr>
          <w:highlight w:val="cyan"/>
        </w:rPr>
        <w:t>DUDA PROCESO</w:t>
      </w:r>
    </w:p>
    <w:p>
      <w:pPr>
        <w:pStyle w:val="ListParagraph"/>
        <w:numPr>
          <w:ilvl w:val="0"/>
          <w:numId w:val="4"/>
        </w:numPr>
        <w:spacing w:before="0" w:after="0"/>
        <w:contextualSpacing/>
        <w:rPr>
          <w:highlight w:val="cyan"/>
        </w:rPr>
      </w:pPr>
      <w:r>
        <w:rPr>
          <w:highlight w:val="cyan"/>
        </w:rPr>
        <w:t>HORARIO DE OPERACIÓN SALIDA SPEI LUNES A VIERNES DE 9:30 AM A 5:00 PM (Ya que se requiere tener saldo en la cuenta concentradora de STP asignada a CSN, cuando liquida las transferencias aceptadas no queda saldo para enviar SPEI a otros bancos, STP liquida transferencias recibidas a las 5:00pm)</w:t>
      </w:r>
    </w:p>
    <w:p>
      <w:pPr>
        <w:pStyle w:val="ListParagraph"/>
        <w:numPr>
          <w:ilvl w:val="0"/>
          <w:numId w:val="4"/>
        </w:numPr>
        <w:spacing w:before="0" w:after="0"/>
        <w:contextualSpacing/>
        <w:rPr>
          <w:highlight w:val="cyan"/>
        </w:rPr>
      </w:pPr>
      <w:r>
        <w:rPr>
          <w:highlight w:val="cyan"/>
        </w:rPr>
        <w:t xml:space="preserve">Nombre Institución: Debe identificar según la clabe interbancaria </w:t>
      </w:r>
    </w:p>
    <w:p>
      <w:pPr>
        <w:pStyle w:val="ListParagraph"/>
        <w:numPr>
          <w:ilvl w:val="0"/>
          <w:numId w:val="4"/>
        </w:numPr>
        <w:spacing w:before="0" w:after="0"/>
        <w:contextualSpacing/>
        <w:rPr>
          <w:highlight w:val="cyan"/>
        </w:rPr>
      </w:pPr>
      <w:r>
        <w:rPr>
          <w:highlight w:val="cyan"/>
        </w:rPr>
        <w:t>Nombre del Destinatario:</w:t>
      </w:r>
    </w:p>
    <w:p>
      <w:pPr>
        <w:pStyle w:val="ListParagraph"/>
        <w:numPr>
          <w:ilvl w:val="0"/>
          <w:numId w:val="4"/>
        </w:numPr>
        <w:spacing w:before="0" w:after="0"/>
        <w:contextualSpacing/>
        <w:rPr>
          <w:highlight w:val="cyan"/>
        </w:rPr>
      </w:pPr>
      <w:r>
        <w:rPr>
          <w:highlight w:val="cyan"/>
        </w:rPr>
        <w:t>RFC o CURP:</w:t>
      </w:r>
    </w:p>
    <w:p>
      <w:pPr>
        <w:pStyle w:val="ListParagraph"/>
        <w:numPr>
          <w:ilvl w:val="0"/>
          <w:numId w:val="4"/>
        </w:numPr>
        <w:spacing w:before="0" w:after="0"/>
        <w:contextualSpacing/>
        <w:rPr>
          <w:highlight w:val="cyan"/>
        </w:rPr>
      </w:pPr>
      <w:r>
        <w:rPr>
          <w:highlight w:val="cyan"/>
        </w:rPr>
        <w:t>Correo electrónico:</w:t>
      </w:r>
    </w:p>
    <w:p>
      <w:pPr>
        <w:pStyle w:val="ListParagraph"/>
        <w:numPr>
          <w:ilvl w:val="0"/>
          <w:numId w:val="4"/>
        </w:numPr>
        <w:spacing w:before="0" w:after="0"/>
        <w:contextualSpacing/>
        <w:rPr>
          <w:highlight w:val="cyan"/>
        </w:rPr>
      </w:pPr>
      <w:r>
        <w:rPr>
          <w:highlight w:val="cyan"/>
        </w:rPr>
        <w:t>Teléfono Celular</w:t>
      </w:r>
    </w:p>
    <w:p>
      <w:pPr>
        <w:pStyle w:val="ListParagraph"/>
        <w:numPr>
          <w:ilvl w:val="0"/>
          <w:numId w:val="4"/>
        </w:numPr>
        <w:spacing w:before="0" w:after="0"/>
        <w:contextualSpacing/>
        <w:rPr>
          <w:highlight w:val="cyan"/>
        </w:rPr>
      </w:pPr>
      <w:r>
        <w:rPr>
          <w:highlight w:val="cyan"/>
        </w:rPr>
        <w:t>Límite del Beneficiario:</w:t>
      </w:r>
    </w:p>
    <w:p>
      <w:pPr>
        <w:pStyle w:val="ListParagraph"/>
        <w:numPr>
          <w:ilvl w:val="0"/>
          <w:numId w:val="4"/>
        </w:numPr>
        <w:spacing w:before="0" w:after="0"/>
        <w:contextualSpacing/>
        <w:rPr>
          <w:highlight w:val="cyan"/>
        </w:rPr>
      </w:pPr>
      <w:r>
        <w:rPr>
          <w:highlight w:val="cyan"/>
        </w:rPr>
        <w:t>Descripción del Tercero:</w:t>
      </w:r>
    </w:p>
    <w:p>
      <w:pPr>
        <w:pStyle w:val="ListParagraph"/>
        <w:numPr>
          <w:ilvl w:val="0"/>
          <w:numId w:val="4"/>
        </w:numPr>
        <w:spacing w:before="0" w:after="0"/>
        <w:contextualSpacing/>
        <w:rPr>
          <w:highlight w:val="cyan"/>
        </w:rPr>
      </w:pPr>
      <w:r>
        <w:rPr>
          <w:highlight w:val="cyan"/>
        </w:rPr>
        <w:t>La cuenta debe esperar 30 minutos para ser utilizada, se necesita de pin o contraseña para autorizar el alta</w:t>
      </w:r>
    </w:p>
    <w:p>
      <w:pPr>
        <w:pStyle w:val="Normal"/>
        <w:spacing w:before="0" w:after="0"/>
        <w:rPr>
          <w:highlight w:val="cyan"/>
        </w:rPr>
      </w:pPr>
      <w:r>
        <w:rPr>
          <w:highlight w:val="cyan"/>
        </w:rPr>
      </w:r>
    </w:p>
    <w:p>
      <w:pPr>
        <w:pStyle w:val="Normal"/>
        <w:shd w:val="clear" w:color="auto" w:fill="A6A6A6" w:themeFill="background1" w:themeFillShade="a6"/>
        <w:rPr>
          <w:b/>
          <w:b/>
          <w:bCs/>
          <w:highlight w:val="cyan"/>
        </w:rPr>
      </w:pPr>
      <w:r>
        <w:rPr>
          <w:b/>
          <w:bCs/>
          <w:highlight w:val="cyan"/>
        </w:rPr>
        <w:t>Para realizar Transferencia de Terceros SPEI</w:t>
      </w:r>
    </w:p>
    <w:p>
      <w:pPr>
        <w:pStyle w:val="Normal"/>
        <w:rPr>
          <w:b/>
          <w:b/>
          <w:bCs/>
          <w:highlight w:val="cyan"/>
        </w:rPr>
      </w:pPr>
      <w:r>
        <w:rPr>
          <w:b/>
          <w:bCs/>
          <w:highlight w:val="cyan"/>
        </w:rPr>
        <w:t>Seleccionar Tipo de Pago:</w:t>
      </w:r>
    </w:p>
    <w:p>
      <w:pPr>
        <w:pStyle w:val="Normal"/>
        <w:rPr>
          <w:b/>
          <w:b/>
          <w:bCs/>
          <w:highlight w:val="cyan"/>
        </w:rPr>
      </w:pPr>
      <w:r>
        <w:rPr>
          <w:highlight w:val="cyan"/>
        </w:rPr>
        <w:t>Cuenta Origen: 133 TDD</w:t>
      </w:r>
    </w:p>
    <w:p>
      <w:pPr>
        <w:pStyle w:val="Normal"/>
        <w:rPr>
          <w:b/>
          <w:b/>
          <w:bCs/>
          <w:highlight w:val="cyan"/>
        </w:rPr>
      </w:pPr>
      <w:r>
        <w:rPr>
          <w:highlight w:val="cyan"/>
        </w:rPr>
        <w:t>Cuenta SPEI: Destino, previamente dada de alta en cuenta de Terceros</w:t>
      </w:r>
    </w:p>
    <w:p>
      <w:pPr>
        <w:pStyle w:val="Normal"/>
        <w:spacing w:before="0" w:after="0"/>
        <w:rPr>
          <w:highlight w:val="cyan"/>
        </w:rPr>
      </w:pPr>
      <w:r>
        <w:rPr>
          <w:highlight w:val="cyan"/>
        </w:rPr>
        <w:t>CLABE-TARJETA (Se recomienda no usar el número de tdd por PLD STP)</w:t>
      </w:r>
    </w:p>
    <w:p>
      <w:pPr>
        <w:pStyle w:val="Normal"/>
        <w:spacing w:before="0" w:after="0"/>
        <w:rPr>
          <w:highlight w:val="cyan"/>
        </w:rPr>
      </w:pPr>
      <w:r>
        <w:rPr>
          <w:highlight w:val="cyan"/>
        </w:rPr>
        <w:t xml:space="preserve">Nombre Institución: Debe identificar según la clabe interbancaria </w:t>
      </w:r>
    </w:p>
    <w:p>
      <w:pPr>
        <w:pStyle w:val="Normal"/>
        <w:spacing w:before="0" w:after="0"/>
        <w:rPr>
          <w:highlight w:val="cyan"/>
        </w:rPr>
      </w:pPr>
      <w:r>
        <w:rPr>
          <w:highlight w:val="cyan"/>
        </w:rPr>
        <w:t>Nombre del Destinatario:</w:t>
      </w:r>
    </w:p>
    <w:p>
      <w:pPr>
        <w:pStyle w:val="Normal"/>
        <w:spacing w:before="0" w:after="0"/>
        <w:rPr>
          <w:highlight w:val="cyan"/>
        </w:rPr>
      </w:pPr>
      <w:r>
        <w:rPr>
          <w:highlight w:val="cyan"/>
        </w:rPr>
        <w:t>RFC o CURP</w:t>
      </w:r>
    </w:p>
    <w:p>
      <w:pPr>
        <w:pStyle w:val="Normal"/>
        <w:spacing w:before="0" w:after="0"/>
        <w:rPr>
          <w:highlight w:val="cyan"/>
        </w:rPr>
      </w:pPr>
      <w:r>
        <w:rPr>
          <w:highlight w:val="cyan"/>
        </w:rPr>
        <w:t>Correo electrónico:</w:t>
      </w:r>
    </w:p>
    <w:p>
      <w:pPr>
        <w:pStyle w:val="Normal"/>
        <w:spacing w:before="0" w:after="0"/>
        <w:rPr>
          <w:highlight w:val="cyan"/>
        </w:rPr>
      </w:pPr>
      <w:r>
        <w:rPr>
          <w:highlight w:val="cyan"/>
        </w:rPr>
        <w:t>Teléfono Celular</w:t>
      </w:r>
    </w:p>
    <w:p>
      <w:pPr>
        <w:pStyle w:val="Normal"/>
        <w:spacing w:before="0" w:after="0"/>
        <w:rPr>
          <w:highlight w:val="cyan"/>
        </w:rPr>
      </w:pPr>
      <w:r>
        <w:rPr>
          <w:highlight w:val="cyan"/>
        </w:rPr>
        <w:t>Límite del Beneficiario:</w:t>
      </w:r>
    </w:p>
    <w:p>
      <w:pPr>
        <w:pStyle w:val="Normal"/>
        <w:spacing w:before="0" w:after="0"/>
        <w:rPr>
          <w:highlight w:val="cyan"/>
        </w:rPr>
      </w:pPr>
      <w:r>
        <w:rPr>
          <w:highlight w:val="cyan"/>
        </w:rPr>
        <w:t>Monto:</w:t>
      </w:r>
    </w:p>
    <w:p>
      <w:pPr>
        <w:pStyle w:val="Normal"/>
        <w:spacing w:before="0" w:after="0"/>
        <w:rPr>
          <w:highlight w:val="cyan"/>
        </w:rPr>
      </w:pPr>
      <w:r>
        <w:rPr>
          <w:highlight w:val="cyan"/>
        </w:rPr>
        <w:t>IVA:</w:t>
      </w:r>
    </w:p>
    <w:p>
      <w:pPr>
        <w:pStyle w:val="Normal"/>
        <w:spacing w:before="0" w:after="0"/>
        <w:rPr>
          <w:highlight w:val="cyan"/>
        </w:rPr>
      </w:pPr>
      <w:r>
        <w:rPr>
          <w:highlight w:val="cyan"/>
        </w:rPr>
        <w:t>Transferencia única: o Programada</w:t>
      </w:r>
    </w:p>
    <w:p>
      <w:pPr>
        <w:pStyle w:val="Normal"/>
        <w:spacing w:before="0" w:after="0"/>
        <w:rPr>
          <w:highlight w:val="cyan"/>
        </w:rPr>
      </w:pPr>
      <w:r>
        <w:rPr>
          <w:highlight w:val="cyan"/>
        </w:rPr>
        <w:t>Comentarios:</w:t>
      </w:r>
    </w:p>
    <w:p>
      <w:pPr>
        <w:pStyle w:val="Normal"/>
        <w:spacing w:before="0" w:after="0"/>
        <w:rPr>
          <w:highlight w:val="cyan"/>
        </w:rPr>
      </w:pPr>
      <w:r>
        <w:rPr>
          <w:highlight w:val="cyan"/>
        </w:rPr>
        <w:t>Referencia Única:</w:t>
      </w:r>
    </w:p>
    <w:p>
      <w:pPr>
        <w:pStyle w:val="Normal"/>
        <w:spacing w:before="0" w:after="0"/>
        <w:rPr>
          <w:highlight w:val="cyan"/>
        </w:rPr>
      </w:pPr>
      <w:r>
        <w:rPr>
          <w:highlight w:val="cyan"/>
        </w:rPr>
        <w:t>Descripción:</w:t>
      </w:r>
    </w:p>
    <w:p>
      <w:pPr>
        <w:pStyle w:val="Normal"/>
        <w:spacing w:before="0" w:after="0"/>
        <w:rPr>
          <w:highlight w:val="cyan"/>
        </w:rPr>
      </w:pPr>
      <w:r>
        <w:rPr>
          <w:highlight w:val="cyan"/>
        </w:rPr>
        <w:t>Confirmación</w:t>
      </w:r>
    </w:p>
    <w:p>
      <w:pPr>
        <w:pStyle w:val="Normal"/>
        <w:spacing w:before="0" w:after="0"/>
        <w:rPr/>
      </w:pPr>
      <w:r>
        <w:rPr>
          <w:highlight w:val="cyan"/>
        </w:rPr>
        <w:t>se necesita de pin o contraseña para autorizar la transferencia</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jc w:val="center"/>
        <w:rPr>
          <w:b/>
          <w:b/>
          <w:bCs/>
          <w:sz w:val="48"/>
          <w:szCs w:val="48"/>
        </w:rPr>
      </w:pPr>
      <w:r>
        <w:rPr>
          <w:b/>
          <w:bCs/>
          <w:sz w:val="48"/>
          <w:szCs w:val="48"/>
        </w:rPr>
        <w:t>Medios de Pago</w:t>
      </w:r>
    </w:p>
    <w:p>
      <w:pPr>
        <w:pStyle w:val="Normal"/>
        <w:rPr>
          <w:b/>
          <w:b/>
          <w:bCs/>
          <w:highlight w:val="yellow"/>
        </w:rPr>
      </w:pPr>
      <w:r>
        <w:rPr>
          <w:b/>
          <w:bCs/>
          <w:highlight w:val="yellow"/>
        </w:rPr>
        <w:t>BANCA  (Revisar que sean parámetros)</w:t>
      </w:r>
    </w:p>
    <w:p>
      <w:pPr>
        <w:pStyle w:val="Normal"/>
        <w:rPr>
          <w:highlight w:val="yellow"/>
        </w:rPr>
      </w:pPr>
      <w:r>
        <w:rPr>
          <w:highlight w:val="yellow"/>
        </w:rPr>
        <w:t>El usuario 1100 es el usuario que realiza las operaciones de banca origen 30257</w:t>
      </w:r>
    </w:p>
    <w:p>
      <w:pPr>
        <w:pStyle w:val="Normal"/>
        <w:rPr>
          <w:highlight w:val="yellow"/>
        </w:rPr>
      </w:pPr>
      <w:r>
        <w:rPr>
          <w:highlight w:val="yellow"/>
        </w:rPr>
        <w:t>El usuario de (S&amp;C/Alestra) para Banca es "ws_sanNico"</w:t>
      </w:r>
    </w:p>
    <w:p>
      <w:pPr>
        <w:pStyle w:val="Normal"/>
        <w:rPr>
          <w:highlight w:val="yellow"/>
        </w:rPr>
      </w:pPr>
      <w:r>
        <w:rPr>
          <w:highlight w:val="yellow"/>
        </w:rPr>
        <w:t>'http://200.15.1.143:8080/syc/webservice/siscoopAlternativeService?wsdl</w:t>
      </w:r>
    </w:p>
    <w:p>
      <w:pPr>
        <w:pStyle w:val="Normal"/>
        <w:rPr>
          <w:b/>
          <w:b/>
          <w:bCs/>
          <w:highlight w:val="yellow"/>
        </w:rPr>
      </w:pPr>
      <w:r>
        <w:rPr>
          <w:b/>
          <w:bCs/>
          <w:highlight w:val="yellow"/>
        </w:rPr>
        <w:t>SPEI</w:t>
      </w:r>
    </w:p>
    <w:p>
      <w:pPr>
        <w:pStyle w:val="Normal"/>
        <w:rPr>
          <w:highlight w:val="yellow"/>
        </w:rPr>
      </w:pPr>
      <w:r>
        <w:rPr>
          <w:highlight w:val="yellow"/>
        </w:rPr>
        <w:t>El usuario 1111 es el usuario que realiza las operaciones de spie origen 30257</w:t>
      </w:r>
    </w:p>
    <w:p>
      <w:pPr>
        <w:pStyle w:val="Normal"/>
        <w:rPr>
          <w:highlight w:val="yellow"/>
        </w:rPr>
      </w:pPr>
      <w:r>
        <w:rPr>
          <w:highlight w:val="yellow"/>
        </w:rPr>
        <w:t>El usuario de (S&amp;C/Alestra) para SPEI es "ws_sanNico"</w:t>
      </w:r>
    </w:p>
    <w:p>
      <w:pPr>
        <w:pStyle w:val="Normal"/>
        <w:rPr/>
      </w:pPr>
      <w:r>
        <w:rPr>
          <w:highlight w:val="yellow"/>
        </w:rPr>
        <w:t>URL 'http://200.15.1.143:8080/syc/webservice/siscoopAlternativeService?wsdl</w:t>
      </w:r>
    </w:p>
    <w:p>
      <w:pPr>
        <w:pStyle w:val="Normal"/>
        <w:rPr/>
      </w:pPr>
      <w:r>
        <w:rPr/>
        <w:t>Todas las transferencias que se realizan en Banca y SPEI deben realizar la operación en (S&amp;C/Alestra) posteriormente en SAICOOP, el objetivo es tener los mismos saldos, en caso de que la operación no se complete en ambos lados esta debe hacer Roll Back, ni quedarse en temporal de saicoop.</w:t>
      </w:r>
    </w:p>
    <w:p>
      <w:pPr>
        <w:pStyle w:val="Normal"/>
        <w:rPr>
          <w:b/>
          <w:b/>
          <w:bCs/>
          <w:highlight w:val="cyan"/>
        </w:rPr>
      </w:pPr>
      <w:r>
        <w:rPr>
          <w:b/>
          <w:bCs/>
          <w:highlight w:val="cyan"/>
        </w:rPr>
        <w:t>Depósitos a SPEI (de llegada)</w:t>
      </w:r>
    </w:p>
    <w:p>
      <w:pPr>
        <w:pStyle w:val="ListParagraph"/>
        <w:numPr>
          <w:ilvl w:val="0"/>
          <w:numId w:val="3"/>
        </w:numPr>
        <w:rPr>
          <w:highlight w:val="cyan"/>
        </w:rPr>
      </w:pPr>
      <w:r>
        <w:rPr>
          <w:highlight w:val="cyan"/>
        </w:rPr>
        <w:t>Lunes a Domingo de 06:00 AM a 08:30 PM</w:t>
      </w:r>
    </w:p>
    <w:p>
      <w:pPr>
        <w:pStyle w:val="ListParagraph"/>
        <w:numPr>
          <w:ilvl w:val="0"/>
          <w:numId w:val="3"/>
        </w:numPr>
        <w:rPr>
          <w:highlight w:val="cyan"/>
        </w:rPr>
      </w:pPr>
      <w:r>
        <w:rPr>
          <w:highlight w:val="cyan"/>
        </w:rPr>
        <w:t>Monto Mínimo: $10</w:t>
      </w:r>
    </w:p>
    <w:p>
      <w:pPr>
        <w:pStyle w:val="ListParagraph"/>
        <w:numPr>
          <w:ilvl w:val="0"/>
          <w:numId w:val="3"/>
        </w:numPr>
        <w:rPr>
          <w:highlight w:val="cyan"/>
        </w:rPr>
      </w:pPr>
      <w:r>
        <w:rPr>
          <w:highlight w:val="cyan"/>
        </w:rPr>
        <w:t>Monto Máximo $200,000 diarios</w:t>
      </w:r>
    </w:p>
    <w:p>
      <w:pPr>
        <w:pStyle w:val="ListParagraph"/>
        <w:numPr>
          <w:ilvl w:val="0"/>
          <w:numId w:val="3"/>
        </w:numPr>
        <w:rPr>
          <w:highlight w:val="cyan"/>
        </w:rPr>
      </w:pPr>
      <w:r>
        <w:rPr>
          <w:highlight w:val="cyan"/>
        </w:rPr>
        <w:t>Cuenta Contable de la comisión: "10703070101054"</w:t>
      </w:r>
    </w:p>
    <w:p>
      <w:pPr>
        <w:pStyle w:val="ListParagraph"/>
        <w:numPr>
          <w:ilvl w:val="0"/>
          <w:numId w:val="3"/>
        </w:numPr>
        <w:rPr>
          <w:highlight w:val="cyan"/>
        </w:rPr>
      </w:pPr>
      <w:r>
        <w:rPr>
          <w:highlight w:val="cyan"/>
        </w:rPr>
        <w:t>Poder activar o desactivar la TDD producto 133</w:t>
      </w:r>
    </w:p>
    <w:p>
      <w:pPr>
        <w:pStyle w:val="ListParagraph"/>
        <w:numPr>
          <w:ilvl w:val="0"/>
          <w:numId w:val="3"/>
        </w:numPr>
        <w:rPr>
          <w:highlight w:val="cyan"/>
        </w:rPr>
      </w:pPr>
      <w:r>
        <w:rPr>
          <w:highlight w:val="cyan"/>
        </w:rPr>
        <w:t>Producto comisión: 5040</w:t>
      </w:r>
    </w:p>
    <w:p>
      <w:pPr>
        <w:pStyle w:val="ListParagraph"/>
        <w:numPr>
          <w:ilvl w:val="0"/>
          <w:numId w:val="3"/>
        </w:numPr>
        <w:rPr>
          <w:highlight w:val="cyan"/>
        </w:rPr>
      </w:pPr>
      <w:r>
        <w:rPr>
          <w:highlight w:val="cyan"/>
        </w:rPr>
        <w:t>Monto Comisión: 5.00 +IVA</w:t>
      </w:r>
    </w:p>
    <w:p>
      <w:pPr>
        <w:pStyle w:val="Normal"/>
        <w:rPr/>
      </w:pPr>
      <w:r>
        <w:rPr/>
      </w:r>
    </w:p>
    <w:p>
      <w:pPr>
        <w:pStyle w:val="Normal"/>
        <w:rPr/>
      </w:pPr>
      <w:r>
        <w:rPr/>
      </w:r>
    </w:p>
    <w:p>
      <w:pPr>
        <w:pStyle w:val="Normal"/>
        <w:rPr/>
      </w:pPr>
      <w:r>
        <w:rPr/>
      </w:r>
    </w:p>
    <w:p>
      <w:pPr>
        <w:pStyle w:val="Normal"/>
        <w:jc w:val="center"/>
        <w:rPr>
          <w:b/>
          <w:b/>
          <w:bCs/>
          <w:sz w:val="48"/>
          <w:szCs w:val="48"/>
          <w:highlight w:val="cyan"/>
        </w:rPr>
      </w:pPr>
      <w:r>
        <w:rPr>
          <w:b/>
          <w:bCs/>
          <w:sz w:val="48"/>
          <w:szCs w:val="48"/>
          <w:highlight w:val="cyan"/>
        </w:rPr>
        <w:t>La aplicación de Bankingly debe incluir para su operación</w:t>
      </w:r>
    </w:p>
    <w:tbl>
      <w:tblPr>
        <w:tblW w:w="6880" w:type="dxa"/>
        <w:jc w:val="left"/>
        <w:tblInd w:w="0" w:type="dxa"/>
        <w:tblCellMar>
          <w:top w:w="0" w:type="dxa"/>
          <w:left w:w="70" w:type="dxa"/>
          <w:bottom w:w="0" w:type="dxa"/>
          <w:right w:w="70" w:type="dxa"/>
        </w:tblCellMar>
        <w:tblLook w:val="04a0" w:noVBand="1" w:noHBand="0" w:lastColumn="0" w:firstColumn="1" w:lastRow="0" w:firstRow="1"/>
      </w:tblPr>
      <w:tblGrid>
        <w:gridCol w:w="6880"/>
      </w:tblGrid>
      <w:tr>
        <w:trPr>
          <w:trHeight w:val="300" w:hRule="atLeast"/>
        </w:trPr>
        <w:tc>
          <w:tcPr>
            <w:tcW w:w="6880" w:type="dxa"/>
            <w:tcBorders/>
            <w:shd w:color="000000" w:fill="BFBFBF" w:val="clear"/>
            <w:vAlign w:val="bottom"/>
          </w:tcPr>
          <w:p>
            <w:pPr>
              <w:pStyle w:val="Normal"/>
              <w:spacing w:lineRule="auto" w:line="240" w:before="0" w:after="0"/>
              <w:rPr>
                <w:rFonts w:ascii="Calibri" w:hAnsi="Calibri" w:eastAsia="Times New Roman" w:cs="Calibri"/>
                <w:b/>
                <w:b/>
                <w:bCs/>
                <w:color w:val="000000"/>
                <w:highlight w:val="cyan"/>
                <w:lang w:eastAsia="es-MX"/>
              </w:rPr>
            </w:pPr>
            <w:r>
              <w:rPr>
                <w:rFonts w:eastAsia="Times New Roman" w:cs="Calibri"/>
                <w:b/>
                <w:bCs/>
                <w:color w:val="000000"/>
                <w:highlight w:val="cyan"/>
                <w:lang w:eastAsia="es-MX"/>
              </w:rPr>
              <w:t>USUARIO</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ALTA SOCIO</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ACTIVACION DE SOCIO</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REACTIVACION DE SOCIO</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OLVIDATE TU CONTRASEÑA</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BLOQUEO TEMPORAL</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CAMBIAR TU CONTRASEÑA</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ACCESO PLATAFORMA USUARIO/PASSWORD</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ACCESO PLATAFORMA CON IMAGEN DOBLE FACTOR DE AUTENTICACION</w:t>
            </w:r>
          </w:p>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NOTIFICACIONES DE ACCESOS</w:t>
            </w:r>
          </w:p>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NOTIFICACIONES DE GEOLOCALIZACIÓN</w:t>
            </w:r>
          </w:p>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NOTIFICACIONES DE OPERACIONES</w:t>
            </w:r>
          </w:p>
        </w:tc>
      </w:tr>
      <w:tr>
        <w:trPr>
          <w:trHeight w:val="300" w:hRule="atLeast"/>
        </w:trPr>
        <w:tc>
          <w:tcPr>
            <w:tcW w:w="6880" w:type="dxa"/>
            <w:tcBorders/>
            <w:shd w:color="000000" w:fill="BFBFBF" w:val="clear"/>
            <w:vAlign w:val="bottom"/>
          </w:tcPr>
          <w:p>
            <w:pPr>
              <w:pStyle w:val="Normal"/>
              <w:spacing w:lineRule="auto" w:line="240" w:before="0" w:after="0"/>
              <w:rPr>
                <w:rFonts w:ascii="Calibri" w:hAnsi="Calibri" w:eastAsia="Times New Roman" w:cs="Calibri"/>
                <w:b/>
                <w:b/>
                <w:bCs/>
                <w:color w:val="000000"/>
                <w:highlight w:val="cyan"/>
                <w:lang w:eastAsia="es-MX"/>
              </w:rPr>
            </w:pPr>
            <w:r>
              <w:rPr>
                <w:rFonts w:eastAsia="Times New Roman" w:cs="Calibri"/>
                <w:b/>
                <w:bCs/>
                <w:color w:val="000000"/>
                <w:highlight w:val="cyan"/>
                <w:lang w:eastAsia="es-MX"/>
              </w:rPr>
              <w:t xml:space="preserve">ALTA DE CUENTAS DE TERCEROS </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ALTA MAYORES 110</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ALTA MAYORES CREDITOS</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ALTA MENORES 120</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ALTA JUVENILES 125</w:t>
            </w:r>
          </w:p>
        </w:tc>
      </w:tr>
      <w:tr>
        <w:trPr>
          <w:trHeight w:val="300" w:hRule="atLeast"/>
        </w:trPr>
        <w:tc>
          <w:tcPr>
            <w:tcW w:w="6880" w:type="dxa"/>
            <w:tcBorders/>
            <w:shd w:color="000000" w:fill="BFBFBF" w:val="clear"/>
            <w:vAlign w:val="bottom"/>
          </w:tcPr>
          <w:p>
            <w:pPr>
              <w:pStyle w:val="Normal"/>
              <w:spacing w:lineRule="auto" w:line="240" w:before="0" w:after="0"/>
              <w:rPr>
                <w:rFonts w:ascii="Calibri" w:hAnsi="Calibri" w:eastAsia="Times New Roman" w:cs="Calibri"/>
                <w:b/>
                <w:b/>
                <w:bCs/>
                <w:color w:val="000000"/>
                <w:highlight w:val="cyan"/>
                <w:lang w:eastAsia="es-MX"/>
              </w:rPr>
            </w:pPr>
            <w:r>
              <w:rPr>
                <w:rFonts w:eastAsia="Times New Roman" w:cs="Calibri"/>
                <w:b/>
                <w:bCs/>
                <w:color w:val="000000"/>
                <w:highlight w:val="cyan"/>
                <w:lang w:eastAsia="es-MX"/>
              </w:rPr>
              <w:t>CONSULTA SALDOS</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CONSULTA SALDOS 110</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CONSULTA SALDOS 205</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CONSULTA SALDOS CREDITOS</w:t>
            </w:r>
          </w:p>
        </w:tc>
      </w:tr>
      <w:tr>
        <w:trPr>
          <w:trHeight w:val="300" w:hRule="atLeast"/>
        </w:trPr>
        <w:tc>
          <w:tcPr>
            <w:tcW w:w="6880" w:type="dxa"/>
            <w:tcBorders/>
            <w:shd w:color="000000" w:fill="BFBFBF" w:val="clear"/>
            <w:vAlign w:val="bottom"/>
          </w:tcPr>
          <w:p>
            <w:pPr>
              <w:pStyle w:val="Normal"/>
              <w:spacing w:lineRule="auto" w:line="240" w:before="0" w:after="0"/>
              <w:rPr>
                <w:rFonts w:ascii="Calibri" w:hAnsi="Calibri" w:eastAsia="Times New Roman" w:cs="Calibri"/>
                <w:b/>
                <w:b/>
                <w:bCs/>
                <w:color w:val="000000"/>
                <w:highlight w:val="cyan"/>
                <w:lang w:eastAsia="es-MX"/>
              </w:rPr>
            </w:pPr>
            <w:r>
              <w:rPr>
                <w:rFonts w:eastAsia="Times New Roman" w:cs="Calibri"/>
                <w:b/>
                <w:bCs/>
                <w:color w:val="000000"/>
                <w:highlight w:val="cyan"/>
                <w:lang w:eastAsia="es-MX"/>
              </w:rPr>
              <w:t xml:space="preserve">TRANSFERENCIAS </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PROPIAS 110</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PROPIAS CREDITOS</w:t>
            </w:r>
          </w:p>
        </w:tc>
      </w:tr>
      <w:tr>
        <w:trPr>
          <w:trHeight w:val="300" w:hRule="atLeast"/>
        </w:trPr>
        <w:tc>
          <w:tcPr>
            <w:tcW w:w="6880" w:type="dxa"/>
            <w:tcBorders/>
            <w:shd w:color="000000" w:fill="BFBFBF" w:val="clear"/>
            <w:vAlign w:val="bottom"/>
          </w:tcPr>
          <w:p>
            <w:pPr>
              <w:pStyle w:val="Normal"/>
              <w:spacing w:lineRule="auto" w:line="240" w:before="0" w:after="0"/>
              <w:rPr>
                <w:rFonts w:ascii="Calibri" w:hAnsi="Calibri" w:eastAsia="Times New Roman" w:cs="Calibri"/>
                <w:b/>
                <w:b/>
                <w:bCs/>
                <w:color w:val="000000"/>
                <w:highlight w:val="cyan"/>
                <w:lang w:eastAsia="es-MX"/>
              </w:rPr>
            </w:pPr>
            <w:r>
              <w:rPr>
                <w:rFonts w:eastAsia="Times New Roman" w:cs="Calibri"/>
                <w:b/>
                <w:bCs/>
                <w:color w:val="000000"/>
                <w:highlight w:val="cyan"/>
                <w:lang w:eastAsia="es-MX"/>
              </w:rPr>
              <w:t>TRANSFERENCIAS TERCEROS</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TRANSFERENCIAS 110</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TRANSFERENCIAS 120</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TRANSFERENCIAS 125</w:t>
            </w:r>
          </w:p>
        </w:tc>
      </w:tr>
      <w:tr>
        <w:trPr>
          <w:trHeight w:val="300" w:hRule="atLeast"/>
        </w:trPr>
        <w:tc>
          <w:tcPr>
            <w:tcW w:w="6880" w:type="dxa"/>
            <w:tcBorders/>
            <w:shd w:color="000000" w:fill="BFBFBF" w:val="clear"/>
            <w:vAlign w:val="bottom"/>
          </w:tcPr>
          <w:p>
            <w:pPr>
              <w:pStyle w:val="Normal"/>
              <w:spacing w:lineRule="auto" w:line="240" w:before="0" w:after="0"/>
              <w:rPr>
                <w:rFonts w:ascii="Calibri" w:hAnsi="Calibri" w:eastAsia="Times New Roman" w:cs="Calibri"/>
                <w:b/>
                <w:b/>
                <w:bCs/>
                <w:color w:val="000000"/>
                <w:highlight w:val="cyan"/>
                <w:lang w:eastAsia="es-MX"/>
              </w:rPr>
            </w:pPr>
            <w:r>
              <w:rPr>
                <w:rFonts w:eastAsia="Times New Roman" w:cs="Calibri"/>
                <w:b/>
                <w:bCs/>
                <w:color w:val="000000"/>
                <w:highlight w:val="cyan"/>
                <w:lang w:eastAsia="es-MX"/>
              </w:rPr>
              <w:t>SPEI</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ALTA DE TERCEROS SPEI (CLABE)</w:t>
            </w:r>
          </w:p>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TRANSFERENCIAS DE SPEI CLABE)</w:t>
            </w:r>
          </w:p>
          <w:p>
            <w:pPr>
              <w:pStyle w:val="Normal"/>
              <w:spacing w:lineRule="auto" w:line="240" w:before="0" w:after="0"/>
              <w:rPr>
                <w:rFonts w:ascii="Calibri" w:hAnsi="Calibri" w:eastAsia="Times New Roman" w:cs="Calibri"/>
                <w:color w:val="000000"/>
                <w:highlight w:val="cyan"/>
                <w:lang w:eastAsia="es-MX"/>
              </w:rPr>
            </w:pPr>
            <w:r>
              <w:rPr>
                <w:rFonts w:eastAsia="Times New Roman" w:cs="Calibri"/>
                <w:color w:val="000000"/>
                <w:highlight w:val="cyan"/>
                <w:lang w:eastAsia="es-MX"/>
              </w:rPr>
            </w:r>
          </w:p>
        </w:tc>
      </w:tr>
      <w:tr>
        <w:trPr>
          <w:trHeight w:val="300" w:hRule="atLeast"/>
        </w:trPr>
        <w:tc>
          <w:tcPr>
            <w:tcW w:w="6880" w:type="dxa"/>
            <w:tcBorders/>
            <w:shd w:color="000000" w:fill="BFBFBF" w:val="clear"/>
            <w:vAlign w:val="bottom"/>
          </w:tcPr>
          <w:p>
            <w:pPr>
              <w:pStyle w:val="Normal"/>
              <w:spacing w:lineRule="auto" w:line="240" w:before="0" w:after="0"/>
              <w:rPr>
                <w:rFonts w:ascii="Calibri" w:hAnsi="Calibri" w:eastAsia="Times New Roman" w:cs="Calibri"/>
                <w:b/>
                <w:b/>
                <w:bCs/>
                <w:color w:val="000000"/>
                <w:highlight w:val="cyan"/>
                <w:lang w:eastAsia="es-MX"/>
              </w:rPr>
            </w:pPr>
            <w:r>
              <w:rPr>
                <w:rFonts w:eastAsia="Times New Roman" w:cs="Calibri"/>
                <w:b/>
                <w:bCs/>
                <w:color w:val="000000"/>
                <w:highlight w:val="cyan"/>
                <w:lang w:eastAsia="es-MX"/>
              </w:rPr>
              <w:t>INFORMACION</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SUCURSALSE Y CAJEROS</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CONTACTO CSN</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ULTIMO ACCESO</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PROMOCIONES</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SMS DE RETIRO DE TDD</w:t>
            </w:r>
          </w:p>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CORREO DE TERIRO DE TDD</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FFFFFF" w:themeColor="background1"/>
                <w:highlight w:val="cyan"/>
                <w:lang w:eastAsia="es-MX"/>
              </w:rPr>
            </w:pPr>
            <w:r>
              <w:rPr>
                <w:rFonts w:eastAsia="Times New Roman" w:cs="Calibri"/>
                <w:color w:val="FFFFFF" w:themeColor="background1"/>
                <w:highlight w:val="cyan"/>
                <w:lang w:eastAsia="es-MX"/>
              </w:rPr>
              <w:t>AYUDA</w:t>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000000"/>
                <w:lang w:eastAsia="es-MX"/>
              </w:rPr>
            </w:pPr>
            <w:r>
              <w:rPr>
                <w:rFonts w:eastAsia="Times New Roman" w:cs="Calibri"/>
                <w:color w:val="000000"/>
                <w:lang w:eastAsia="es-MX"/>
              </w:rPr>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000000"/>
                <w:lang w:eastAsia="es-MX"/>
              </w:rPr>
            </w:pPr>
            <w:r>
              <w:rPr>
                <w:rFonts w:eastAsia="Times New Roman" w:cs="Calibri"/>
                <w:color w:val="000000"/>
                <w:lang w:eastAsia="es-MX"/>
              </w:rPr>
            </w:r>
          </w:p>
        </w:tc>
      </w:tr>
      <w:tr>
        <w:trPr>
          <w:trHeight w:val="300" w:hRule="atLeast"/>
        </w:trPr>
        <w:tc>
          <w:tcPr>
            <w:tcW w:w="6880" w:type="dxa"/>
            <w:tcBorders/>
            <w:shd w:color="auto" w:fill="auto" w:val="clear"/>
            <w:vAlign w:val="bottom"/>
          </w:tcPr>
          <w:p>
            <w:pPr>
              <w:pStyle w:val="Normal"/>
              <w:spacing w:lineRule="auto" w:line="240" w:before="0" w:after="0"/>
              <w:rPr>
                <w:rFonts w:ascii="Calibri" w:hAnsi="Calibri" w:eastAsia="Times New Roman" w:cs="Calibri"/>
                <w:color w:val="000000"/>
                <w:lang w:eastAsia="es-MX"/>
              </w:rPr>
            </w:pPr>
            <w:r>
              <w:rPr>
                <w:rFonts w:eastAsia="Times New Roman" w:cs="Calibri"/>
                <w:color w:val="000000"/>
                <w:lang w:eastAsia="es-MX"/>
              </w:rPr>
            </w:r>
          </w:p>
        </w:tc>
      </w:tr>
    </w:tbl>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5"/>
      <w:type w:val="nextPage"/>
      <w:pgSz w:w="12240" w:h="15840"/>
      <w:pgMar w:left="1701" w:right="1701" w:header="0" w:top="1417" w:footer="708"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lear" w:pos="4419"/>
        <w:tab w:val="clear" w:pos="8838"/>
        <w:tab w:val="left" w:pos="5040" w:leader="none"/>
      </w:tabs>
      <w:rPr/>
    </w:pPr>
    <w:r>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unhideWhenUsed/>
    <w:rsid w:val="00781739"/>
    <w:rPr>
      <w:color w:val="0563C1" w:themeColor="hyperlink"/>
      <w:u w:val="single"/>
    </w:rPr>
  </w:style>
  <w:style w:type="character" w:styleId="Mencinsinresolver1" w:customStyle="1">
    <w:name w:val="Mención sin resolver1"/>
    <w:basedOn w:val="DefaultParagraphFont"/>
    <w:uiPriority w:val="99"/>
    <w:semiHidden/>
    <w:unhideWhenUsed/>
    <w:qFormat/>
    <w:rsid w:val="00781739"/>
    <w:rPr>
      <w:color w:val="605E5C"/>
      <w:shd w:fill="E1DFDD" w:val="clear"/>
    </w:rPr>
  </w:style>
  <w:style w:type="character" w:styleId="Annotationreference">
    <w:name w:val="annotation reference"/>
    <w:basedOn w:val="DefaultParagraphFont"/>
    <w:uiPriority w:val="99"/>
    <w:semiHidden/>
    <w:unhideWhenUsed/>
    <w:qFormat/>
    <w:rsid w:val="00c326c0"/>
    <w:rPr>
      <w:sz w:val="16"/>
      <w:szCs w:val="16"/>
    </w:rPr>
  </w:style>
  <w:style w:type="character" w:styleId="TextocomentarioCar" w:customStyle="1">
    <w:name w:val="Texto comentario Car"/>
    <w:basedOn w:val="DefaultParagraphFont"/>
    <w:link w:val="Textocomentario"/>
    <w:uiPriority w:val="99"/>
    <w:semiHidden/>
    <w:qFormat/>
    <w:rsid w:val="00c326c0"/>
    <w:rPr>
      <w:sz w:val="20"/>
      <w:szCs w:val="20"/>
    </w:rPr>
  </w:style>
  <w:style w:type="character" w:styleId="AsuntodelcomentarioCar" w:customStyle="1">
    <w:name w:val="Asunto del comentario Car"/>
    <w:basedOn w:val="TextocomentarioCar"/>
    <w:link w:val="Asuntodelcomentario"/>
    <w:uiPriority w:val="99"/>
    <w:semiHidden/>
    <w:qFormat/>
    <w:rsid w:val="00c326c0"/>
    <w:rPr>
      <w:b/>
      <w:bCs/>
      <w:sz w:val="20"/>
      <w:szCs w:val="20"/>
    </w:rPr>
  </w:style>
  <w:style w:type="character" w:styleId="TextodegloboCar" w:customStyle="1">
    <w:name w:val="Texto de globo Car"/>
    <w:basedOn w:val="DefaultParagraphFont"/>
    <w:link w:val="Textodeglobo"/>
    <w:uiPriority w:val="99"/>
    <w:semiHidden/>
    <w:qFormat/>
    <w:rsid w:val="00331a26"/>
    <w:rPr>
      <w:rFonts w:ascii="Segoe UI" w:hAnsi="Segoe UI" w:cs="Segoe UI"/>
      <w:sz w:val="18"/>
      <w:szCs w:val="18"/>
    </w:rPr>
  </w:style>
  <w:style w:type="character" w:styleId="UnresolvedMention">
    <w:name w:val="Unresolved Mention"/>
    <w:basedOn w:val="DefaultParagraphFont"/>
    <w:uiPriority w:val="99"/>
    <w:semiHidden/>
    <w:unhideWhenUsed/>
    <w:qFormat/>
    <w:rsid w:val="008c32fe"/>
    <w:rPr>
      <w:color w:val="605E5C"/>
      <w:shd w:fill="E1DFDD" w:val="clear"/>
    </w:rPr>
  </w:style>
  <w:style w:type="character" w:styleId="EncabezadoCar" w:customStyle="1">
    <w:name w:val="Encabezado Car"/>
    <w:basedOn w:val="DefaultParagraphFont"/>
    <w:link w:val="Encabezado"/>
    <w:uiPriority w:val="99"/>
    <w:qFormat/>
    <w:rsid w:val="00c652d1"/>
    <w:rPr/>
  </w:style>
  <w:style w:type="character" w:styleId="PiedepginaCar" w:customStyle="1">
    <w:name w:val="Pie de página Car"/>
    <w:basedOn w:val="DefaultParagraphFont"/>
    <w:link w:val="Piedepgina"/>
    <w:uiPriority w:val="99"/>
    <w:qFormat/>
    <w:rsid w:val="00c652d1"/>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6b66eb"/>
    <w:pPr>
      <w:spacing w:before="0" w:after="160"/>
      <w:ind w:left="720" w:hanging="0"/>
      <w:contextualSpacing/>
    </w:pPr>
    <w:rPr/>
  </w:style>
  <w:style w:type="paragraph" w:styleId="Revision">
    <w:name w:val="Revision"/>
    <w:uiPriority w:val="99"/>
    <w:semiHidden/>
    <w:qFormat/>
    <w:rsid w:val="00c326c0"/>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Annotationtext">
    <w:name w:val="annotation text"/>
    <w:basedOn w:val="Normal"/>
    <w:link w:val="TextocomentarioCar"/>
    <w:uiPriority w:val="99"/>
    <w:semiHidden/>
    <w:unhideWhenUsed/>
    <w:qFormat/>
    <w:rsid w:val="00c326c0"/>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c326c0"/>
    <w:pPr/>
    <w:rPr>
      <w:b/>
      <w:bCs/>
    </w:rPr>
  </w:style>
  <w:style w:type="paragraph" w:styleId="BalloonText">
    <w:name w:val="Balloon Text"/>
    <w:basedOn w:val="Normal"/>
    <w:link w:val="TextodegloboCar"/>
    <w:uiPriority w:val="99"/>
    <w:semiHidden/>
    <w:unhideWhenUsed/>
    <w:qFormat/>
    <w:rsid w:val="00331a26"/>
    <w:pPr>
      <w:spacing w:lineRule="auto" w:line="240" w:before="0" w:after="0"/>
    </w:pPr>
    <w:rPr>
      <w:rFonts w:ascii="Segoe UI" w:hAnsi="Segoe UI" w:cs="Segoe UI"/>
      <w:sz w:val="18"/>
      <w:szCs w:val="18"/>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c652d1"/>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c652d1"/>
    <w:pPr>
      <w:tabs>
        <w:tab w:val="clear" w:pos="708"/>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92.168.15.50/CSNsms/action.php?mensaje=_mensaje&amp;numero=_numero" TargetMode="External"/><Relationship Id="rId3" Type="http://schemas.openxmlformats.org/officeDocument/2006/relationships/hyperlink" Target="mailto:123@domino.com" TargetMode="External"/><Relationship Id="rId4" Type="http://schemas.openxmlformats.org/officeDocument/2006/relationships/hyperlink" Target="mailto:123@domino.com"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Application>LibreOffice/6.3.6.2$Linux_X86_64 LibreOffice_project/30$Build-2</Application>
  <Pages>10</Pages>
  <Words>2660</Words>
  <Characters>15412</Characters>
  <CharactersWithSpaces>17761</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2021-10-21T15:43:00Z</dcterms:created>
  <dc:creator>Cesar Tello Torres</dc:creator>
  <dc:description/>
  <dc:language>es-MX</dc:language>
  <cp:lastModifiedBy/>
  <dcterms:modified xsi:type="dcterms:W3CDTF">2021-10-22T09:04:40Z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