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Шартномаси № </w:t>
      </w:r>
      <w:r>
        <w:rPr>
          <w:rFonts w:cs="Times New Roman" w:ascii="Times New Roman" w:hAnsi="Times New Roman"/>
          <w:b/>
          <w:color w:val="000000"/>
          <w:sz w:val="20"/>
          <w:szCs w:val="20"/>
          <w:lang w:val="uz-Cyrl-UZ"/>
        </w:rPr>
        <w:t>7777</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11.03.2024</w:t>
      </w:r>
      <w:r>
        <w:rPr>
          <w:rFonts w:cs="Times New Roman" w:ascii="Times New Roman" w:hAnsi="Times New Roman"/>
          <w:color w:val="000000"/>
          <w:sz w:val="20"/>
          <w:szCs w:val="20"/>
          <w:lang w:val="uz-Cyrl-UZ"/>
        </w:rPr>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w:t>
      </w:r>
      <w:r>
        <w:rPr>
          <w:rFonts w:cs="Times New Roman" w:ascii="Times New Roman" w:hAnsi="Times New Roman"/>
          <w:color w:val="000000"/>
          <w:sz w:val="20"/>
          <w:szCs w:val="20"/>
          <w:lang w:val="uz-Cyrl-UZ"/>
        </w:rPr>
        <w:t>Christine Barron</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Узбекистон Фукароси, паспорти №,AA 7777777  11.06.1982Y Deacon Young     томонидан берилган, Libero nulla et ut q манзилида истиқомат қилувчи, дастур тизими Фойдаланувчиси, логин +1 (549) 848-7665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10.1. </w:t>
      </w:r>
      <w:r>
        <w:rPr>
          <w:rFonts w:cs="Times New Roman" w:ascii="Times New Roman" w:hAnsi="Times New Roman"/>
          <w:color w:val="000000"/>
          <w:sz w:val="20"/>
          <w:szCs w:val="20"/>
          <w:lang w:val="uz-Cyrl-UZ" w:eastAsia="en-US"/>
        </w:rPr>
        <w:t>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11.03.2024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7777-</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Cameron Dalton</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895dona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535</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11.03.2024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 xml:space="preserve">7777-сонли </w:t>
      </w:r>
      <w:r>
        <w:rPr>
          <w:rFonts w:cs="Times New Roman" w:ascii="Times New Roman" w:hAnsi="Times New Roman"/>
          <w:b/>
          <w:color w:val="000000"/>
          <w:sz w:val="20"/>
          <w:szCs w:val="20"/>
          <w:lang w:val="uz-Cyrl-UZ" w:eastAsia="en-US"/>
        </w:rPr>
        <w:t>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895" w:type="dxa"/>
        <w:jc w:val="left"/>
        <w:tblInd w:w="0" w:type="dxa"/>
        <w:tblLayout w:type="fixed"/>
        <w:tblCellMar>
          <w:top w:w="0" w:type="dxa"/>
          <w:left w:w="108" w:type="dxa"/>
          <w:bottom w:w="0" w:type="dxa"/>
          <w:right w:w="108" w:type="dxa"/>
        </w:tblCellMar>
      </w:tblPr>
      <w:tblGrid>
        <w:gridCol w:w="3421"/>
        <w:gridCol w:w="3432"/>
        <w:gridCol w:w="3042"/>
      </w:tblGrid>
      <w:tr>
        <w:trPr>
          <w:trHeight w:val="314"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1-тў</w:t>
            </w:r>
            <w:r>
              <w:rPr>
                <w:color w:val="000000"/>
                <w:sz w:val="24"/>
                <w:szCs w:val="24"/>
              </w:rPr>
              <w:t>лов</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20.02.1992</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658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29.01.1995</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799</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3-тўлов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21.01.2023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232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4-тўлов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25.02.1983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253</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5-тўлов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16.09.1980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111</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6-тўлов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19.12.1992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518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7-тўлов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26.08.2000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593</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8-тўлов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18.06.2018</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642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9-тўлов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09.02.2023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451</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10-тўлов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30.09.1993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316</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11-тўлов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01.02.2009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36</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20.10.2019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930</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Christine Barron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Deacon Young</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11.06.1982Y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Libero nulla et ut q</w:t>
            </w:r>
          </w:p>
          <w:p>
            <w:pPr>
              <w:pStyle w:val="Normal"/>
              <w:widowControl w:val="false"/>
              <w:spacing w:lineRule="auto" w:line="360"/>
              <w:rPr>
                <w:color w:val="000000"/>
              </w:rPr>
            </w:pPr>
            <w:r>
              <w:rPr>
                <w:rFonts w:cs="Times New Roman" w:ascii="Times New Roman" w:hAnsi="Times New Roman"/>
                <w:i/>
                <w:color w:val="000000"/>
                <w:sz w:val="20"/>
                <w:szCs w:val="20"/>
                <w:lang w:val="uz-Cyrl-UZ"/>
              </w:rPr>
              <w:t>Autem sit animi ni.</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Wynne Talleyтомонидан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Odette Harrell</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Кимтомониданберилган </w:t>
            </w:r>
            <w:r>
              <w:rPr>
                <w:rFonts w:cs="Times New Roman" w:ascii="Times New Roman" w:hAnsi="Times New Roman"/>
                <w:color w:val="000000"/>
                <w:sz w:val="20"/>
                <w:szCs w:val="20"/>
                <w:lang w:val="uz-Cyrl-UZ"/>
              </w:rPr>
              <w:t>Wynne Talley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w:t>
            </w:r>
            <w:r>
              <w:rPr>
                <w:rFonts w:cs="Times New Roman" w:ascii="Times New Roman" w:hAnsi="Times New Roman"/>
                <w:color w:val="000000"/>
                <w:sz w:val="20"/>
                <w:szCs w:val="20"/>
                <w:lang w:val="uz-Cyrl-UZ"/>
              </w:rPr>
              <w:t xml:space="preserve">11.06.1982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Velit eos odio dolo</w:t>
            </w:r>
          </w:p>
          <w:p>
            <w:pPr>
              <w:pStyle w:val="Normal"/>
              <w:widowControl w:val="false"/>
              <w:spacing w:lineRule="auto" w:line="360"/>
              <w:rPr>
                <w:color w:val="000000"/>
              </w:rPr>
            </w:pPr>
            <w:r>
              <w:rPr>
                <w:rFonts w:cs="Times New Roman" w:ascii="Times New Roman" w:hAnsi="Times New Roman"/>
                <w:i/>
                <w:color w:val="000000"/>
                <w:sz w:val="20"/>
                <w:szCs w:val="20"/>
                <w:lang w:val="uz-Cyrl-UZ"/>
              </w:rPr>
              <w:t>Totam et deleniti ma.</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11.03.2024-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7777-</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Cameron Dalton</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895dona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535</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Christine Barron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Deacon Young</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11.06.1982Y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Libero nulla et ut q</w:t>
            </w:r>
          </w:p>
          <w:p>
            <w:pPr>
              <w:pStyle w:val="Normal"/>
              <w:widowControl w:val="false"/>
              <w:spacing w:lineRule="auto" w:line="360"/>
              <w:rPr>
                <w:color w:val="000000"/>
              </w:rPr>
            </w:pPr>
            <w:r>
              <w:rPr>
                <w:rFonts w:cs="Times New Roman" w:ascii="Times New Roman" w:hAnsi="Times New Roman"/>
                <w:i/>
                <w:color w:val="000000"/>
                <w:sz w:val="20"/>
                <w:szCs w:val="20"/>
                <w:lang w:val="uz-Cyrl-UZ"/>
              </w:rPr>
              <w:t>Autem sit animi ni.</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11</Pages>
  <Words>3682</Words>
  <Characters>28927</Characters>
  <CharactersWithSpaces>32524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2024-03-07T15:48:53Z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