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p>
      <w:pPr>
        <w:spacing w:before="300"/>
        <w:jc w:val="center"/>
      </w:pPr>
      <w:r>
        <w:rPr>
          <w:rFonts w:ascii="Arial" w:cs="Arial" w:eastAsia="Arial" w:hAnsi="Arial"/>
          <w:b/>
          <w:bCs/>
          <w:color w:val="0B1030"/>
          <w:sz w:val="48"/>
          <w:szCs w:val="48"/>
        </w:rPr>
        <w:t xml:space="preserve">TRAVERSE PROTOCOL</w:t>
      </w:r>
    </w:p>
    <w:p>
      <w:pPr>
        <w:spacing w:before="120"/>
        <w:jc w:val="center"/>
      </w:pPr>
      <w:r>
        <w:rPr>
          <w:rFonts w:ascii="Arial" w:cs="Arial" w:eastAsia="Arial" w:hAnsi="Arial"/>
          <w:b/>
          <w:bCs/>
          <w:color w:val="4F7CFF"/>
          <w:sz w:val="34"/>
          <w:szCs w:val="34"/>
        </w:rPr>
        <w:t xml:space="preserve">Whitepaper v2.0</w:t>
      </w:r>
    </w:p>
    <w:p>
      <w:pPr>
        <w:spacing w:before="200"/>
        <w:jc w:val="center"/>
      </w:pPr>
      <w:r>
        <w:rPr>
          <w:rFonts w:ascii="Arial" w:cs="Arial" w:eastAsia="Arial" w:hAnsi="Arial"/>
          <w:color w:val="5B6275"/>
          <w:sz w:val="24"/>
          <w:szCs w:val="24"/>
        </w:rPr>
        <w:t xml:space="preserve">Cross-chain liquidity, routed by intent</w:t>
      </w:r>
    </w:p>
    <w:p>
      <w:pPr>
        <w:spacing w:before="900"/>
        <w:jc w:val="center"/>
      </w:pPr>
      <w:r>
        <w:rPr>
          <w:rFonts w:ascii="Arial" w:cs="Arial" w:eastAsia="Arial" w:hAnsi="Arial"/>
          <w:color w:val="5B6275"/>
          <w:sz w:val="22"/>
          <w:szCs w:val="22"/>
        </w:rPr>
        <w:t xml:space="preserve">October 2026</w:t>
      </w:r>
    </w:p>
    <w:p>
      <w:pPr>
        <w:jc w:val="center"/>
      </w:pPr>
      <w:r>
        <w:rPr>
          <w:rFonts w:ascii="Arial" w:cs="Arial" w:eastAsia="Arial" w:hAnsi="Arial"/>
          <w:color w:val="5B6275"/>
          <w:sz w:val="18"/>
          <w:szCs w:val="18"/>
        </w:rPr>
        <w:t xml:space="preserve">traverse-protocol.netlify.app  |  x.com/TRVProtocol  |  discord.gg/xA6KsAnhM</w:t>
      </w:r>
    </w:p>
    <w:p>
      <w:r>
        <w:br w:type="page"/>
      </w:r>
    </w:p>
    <w:p>
      <w:pPr>
        <w:pStyle w:val="Heading1"/>
        <w:pBdr>
          <w:bottom w:val="single" w:color="4F7CFF" w:sz="6" w:space="4"/>
        </w:pBdr>
        <w:spacing w:after="160" w:before="360"/>
      </w:pPr>
      <w:r>
        <w:rPr>
          <w:rFonts w:ascii="Arial" w:cs="Arial" w:eastAsia="Arial" w:hAnsi="Arial"/>
          <w:b/>
          <w:bCs/>
          <w:color w:val="0B1030"/>
          <w:sz w:val="32"/>
          <w:szCs w:val="32"/>
        </w:rPr>
        <w:t xml:space="preserve">1. Executive Summary</w:t>
      </w:r>
    </w:p>
    <w:p>
      <w:pPr>
        <w:spacing w:after="140" w:line="300"/>
      </w:pPr>
      <w:r>
        <w:rPr>
          <w:rFonts w:ascii="Arial" w:cs="Arial" w:eastAsia="Arial" w:hAnsi="Arial"/>
          <w:sz w:val="21"/>
          <w:szCs w:val="21"/>
        </w:rPr>
        <w:t xml:space="preserve">Traverse Protocol is a cross-chain liquidity router built on intents. Instead of choosing bridges, swap routes and gas tokens on several networks, a user signs the outcome they want: which asset, on which chain, with what minimum amount and by when. A network of competing solvers then races to deliver that outcome. The user keeps custody of their funds until execution is verified.</w:t>
      </w:r>
    </w:p>
    <w:p>
      <w:pPr>
        <w:spacing w:after="140" w:line="300"/>
      </w:pPr>
      <w:r>
        <w:rPr>
          <w:rFonts w:ascii="Arial" w:cs="Arial" w:eastAsia="Arial" w:hAnsi="Arial"/>
          <w:sz w:val="21"/>
          <w:szCs w:val="21"/>
        </w:rPr>
        <w:t xml:space="preserve">Competition between solvers is the core mechanism. Solvers bid in a Dutch auction for the right to fill each intent, so users receive execution close to the best available route without having to find it themselves.</w:t>
      </w:r>
    </w:p>
    <w:p>
      <w:pPr>
        <w:spacing w:after="140" w:line="300"/>
      </w:pPr>
      <w:r>
        <w:rPr>
          <w:rFonts w:ascii="Arial" w:cs="Arial" w:eastAsia="Arial" w:hAnsi="Arial"/>
          <w:sz w:val="21"/>
          <w:szCs w:val="21"/>
        </w:rPr>
        <w:t xml:space="preserve">TRV is the project's token. It was </w:t>
      </w:r>
      <w:r>
        <w:rPr>
          <w:rFonts w:ascii="Arial" w:cs="Arial" w:eastAsia="Arial" w:hAnsi="Arial"/>
          <w:b/>
          <w:bCs/>
          <w:sz w:val="21"/>
          <w:szCs w:val="21"/>
        </w:rPr>
        <w:t xml:space="preserve">fair-launched on Solana via pump.fun on October 27, 2026</w:t>
      </w:r>
      <w:r>
        <w:rPr>
          <w:rFonts w:ascii="Arial" w:cs="Arial" w:eastAsia="Arial" w:hAnsi="Arial"/>
          <w:sz w:val="21"/>
          <w:szCs w:val="21"/>
        </w:rPr>
        <w:t xml:space="preserve">, with no presale, no team allocation and no private round. TRV's planned protocol roles are solver staking, governance and fee discounts. </w:t>
      </w:r>
      <w:r>
        <w:rPr>
          <w:rFonts w:ascii="Arial" w:cs="Arial" w:eastAsia="Arial" w:hAnsi="Arial"/>
          <w:b/>
          <w:bCs/>
          <w:sz w:val="21"/>
          <w:szCs w:val="21"/>
        </w:rPr>
        <w:t xml:space="preserve">These utilities are not live yet</w:t>
      </w:r>
      <w:r>
        <w:rPr>
          <w:rFonts w:ascii="Arial" w:cs="Arial" w:eastAsia="Arial" w:hAnsi="Arial"/>
          <w:sz w:val="21"/>
          <w:szCs w:val="21"/>
        </w:rPr>
        <w:t xml:space="preserve">: the protocol is in testnet and its contracts are unaudited. Section 5 describes the path from today's community token to on-chain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7CFF" w:sz="24"/>
              <w:bottom w:val="none"/>
              <w:right w:val="none"/>
            </w:tcBorders>
            <w:shd w:fill="EEF2FF" w:color="auto" w:val="clear"/>
            <w:tcMar>
              <w:top w:type="dxa" w:w="120"/>
              <w:left w:type="dxa" w:w="200"/>
              <w:bottom w:type="dxa" w:w="120"/>
              <w:right w:type="dxa" w:w="200"/>
            </w:tcMar>
          </w:tcPr>
          <w:p>
            <w:pPr>
              <w:spacing w:after="60"/>
            </w:pPr>
            <w:r>
              <w:rPr>
                <w:rFonts w:ascii="Arial" w:cs="Arial" w:eastAsia="Arial" w:hAnsi="Arial"/>
                <w:b/>
                <w:bCs/>
                <w:color w:val="0B1030"/>
                <w:sz w:val="21"/>
                <w:szCs w:val="21"/>
              </w:rPr>
              <w:t xml:space="preserve">Status at a glance (October 2026)</w:t>
            </w:r>
          </w:p>
          <w:p>
            <w:pPr>
              <w:spacing w:after="60"/>
            </w:pPr>
            <w:r>
              <w:rPr>
                <w:rFonts w:ascii="Arial" w:cs="Arial" w:eastAsia="Arial" w:hAnsi="Arial"/>
                <w:b/>
                <w:bCs/>
                <w:sz w:val="20"/>
                <w:szCs w:val="20"/>
              </w:rPr>
              <w:t xml:space="preserve">Token:</w:t>
            </w:r>
            <w:r>
              <w:rPr>
                <w:rFonts w:ascii="Arial" w:cs="Arial" w:eastAsia="Arial" w:hAnsi="Arial"/>
                <w:sz w:val="20"/>
                <w:szCs w:val="20"/>
              </w:rPr>
              <w:t xml:space="preserve"> live on Solana, CA AqYxQFndwosnbXeQXXnqyJUw471YddxbZqkwosDvpump</w:t>
            </w:r>
          </w:p>
          <w:p>
            <w:pPr>
              <w:spacing w:after="60"/>
            </w:pPr>
            <w:r>
              <w:rPr>
                <w:rFonts w:ascii="Arial" w:cs="Arial" w:eastAsia="Arial" w:hAnsi="Arial"/>
                <w:b/>
                <w:bCs/>
                <w:sz w:val="20"/>
                <w:szCs w:val="20"/>
              </w:rPr>
              <w:t xml:space="preserve">Protocol:</w:t>
            </w:r>
            <w:r>
              <w:rPr>
                <w:rFonts w:ascii="Arial" w:cs="Arial" w:eastAsia="Arial" w:hAnsi="Arial"/>
                <w:sz w:val="20"/>
                <w:szCs w:val="20"/>
              </w:rPr>
              <w:t xml:space="preserve"> smart contracts open source, in testnet, unaudited</w:t>
            </w:r>
          </w:p>
          <w:p>
            <w:pPr>
              <w:spacing w:after="60"/>
            </w:pPr>
            <w:r>
              <w:rPr>
                <w:rFonts w:ascii="Arial" w:cs="Arial" w:eastAsia="Arial" w:hAnsi="Arial"/>
                <w:b/>
                <w:bCs/>
                <w:sz w:val="20"/>
                <w:szCs w:val="20"/>
              </w:rPr>
              <w:t xml:space="preserve">Utilities:</w:t>
            </w:r>
            <w:r>
              <w:rPr>
                <w:rFonts w:ascii="Arial" w:cs="Arial" w:eastAsia="Arial" w:hAnsi="Arial"/>
                <w:sz w:val="20"/>
                <w:szCs w:val="20"/>
              </w:rPr>
              <w:t xml:space="preserve"> planned (bridge to Base, audit, then activation)</w:t>
            </w:r>
          </w:p>
        </w:tc>
      </w:tr>
    </w:tbl>
    <w:p>
      <w:pPr>
        <w:pStyle w:val="Heading1"/>
        <w:pBdr>
          <w:bottom w:val="single" w:color="4F7CFF" w:sz="6" w:space="4"/>
        </w:pBdr>
        <w:spacing w:after="160" w:before="360"/>
      </w:pPr>
      <w:r>
        <w:rPr>
          <w:rFonts w:ascii="Arial" w:cs="Arial" w:eastAsia="Arial" w:hAnsi="Arial"/>
          <w:b/>
          <w:bCs/>
          <w:color w:val="0B1030"/>
          <w:sz w:val="32"/>
          <w:szCs w:val="32"/>
        </w:rPr>
        <w:t xml:space="preserve">2. The Problem</w:t>
      </w:r>
    </w:p>
    <w:p>
      <w:pPr>
        <w:pStyle w:val="Heading2"/>
        <w:spacing w:after="120" w:before="240"/>
      </w:pPr>
      <w:r>
        <w:rPr>
          <w:rFonts w:ascii="Arial" w:cs="Arial" w:eastAsia="Arial" w:hAnsi="Arial"/>
          <w:b/>
          <w:bCs/>
          <w:color w:val="4F7CFF"/>
          <w:sz w:val="25"/>
          <w:szCs w:val="25"/>
        </w:rPr>
        <w:t xml:space="preserve">2.1 Fragmented liquidity</w:t>
      </w:r>
    </w:p>
    <w:p>
      <w:pPr>
        <w:spacing w:after="140" w:line="300"/>
      </w:pPr>
      <w:r>
        <w:rPr>
          <w:rFonts w:ascii="Arial" w:cs="Arial" w:eastAsia="Arial" w:hAnsi="Arial"/>
          <w:sz w:val="21"/>
          <w:szCs w:val="21"/>
        </w:rPr>
        <w:t xml:space="preserve">Liquidity is spread across dozens of L1s and L2s, each with its own DEXs, pools and bridged token representations. Moving value between them is still a manual, multi-step process.</w:t>
      </w:r>
    </w:p>
    <w:p>
      <w:pPr>
        <w:pStyle w:val="Heading2"/>
        <w:spacing w:after="120" w:before="240"/>
      </w:pPr>
      <w:r>
        <w:rPr>
          <w:rFonts w:ascii="Arial" w:cs="Arial" w:eastAsia="Arial" w:hAnsi="Arial"/>
          <w:b/>
          <w:bCs/>
          <w:color w:val="4F7CFF"/>
          <w:sz w:val="25"/>
          <w:szCs w:val="25"/>
        </w:rPr>
        <w:t xml:space="preserve">2.2 What a user goes through today</w:t>
      </w:r>
    </w:p>
    <w:p>
      <w:pPr>
        <w:spacing w:after="140" w:line="300"/>
      </w:pPr>
      <w:r>
        <w:rPr>
          <w:rFonts w:ascii="Arial" w:cs="Arial" w:eastAsia="Arial" w:hAnsi="Arial"/>
          <w:sz w:val="21"/>
          <w:szCs w:val="21"/>
        </w:rPr>
        <w:t xml:space="preserve">To move USDC earned on Arbitrum into SOL on Solana, a user typically has to:</w:t>
      </w:r>
    </w:p>
    <w:p>
      <w:pPr>
        <w:pStyle w:val="ListParagraph"/>
        <w:numPr>
          <w:ilvl w:val="0"/>
          <w:numId w:val="2"/>
        </w:numPr>
        <w:spacing w:after="80" w:line="290"/>
      </w:pPr>
      <w:r>
        <w:rPr>
          <w:rFonts w:ascii="Arial" w:cs="Arial" w:eastAsia="Arial" w:hAnsi="Arial"/>
          <w:sz w:val="21"/>
          <w:szCs w:val="21"/>
        </w:rPr>
        <w:t xml:space="preserve">Connect a wallet on Arbitrum and approve the token</w:t>
      </w:r>
    </w:p>
    <w:p>
      <w:pPr>
        <w:pStyle w:val="ListParagraph"/>
        <w:numPr>
          <w:ilvl w:val="0"/>
          <w:numId w:val="2"/>
        </w:numPr>
        <w:spacing w:after="80" w:line="290"/>
      </w:pPr>
      <w:r>
        <w:rPr>
          <w:rFonts w:ascii="Arial" w:cs="Arial" w:eastAsia="Arial" w:hAnsi="Arial"/>
          <w:sz w:val="21"/>
          <w:szCs w:val="21"/>
        </w:rPr>
        <w:t xml:space="preserve">Pick a bridge and trust its security model</w:t>
      </w:r>
    </w:p>
    <w:p>
      <w:pPr>
        <w:pStyle w:val="ListParagraph"/>
        <w:numPr>
          <w:ilvl w:val="0"/>
          <w:numId w:val="2"/>
        </w:numPr>
        <w:spacing w:after="80" w:line="290"/>
      </w:pPr>
      <w:r>
        <w:rPr>
          <w:rFonts w:ascii="Arial" w:cs="Arial" w:eastAsia="Arial" w:hAnsi="Arial"/>
          <w:sz w:val="21"/>
          <w:szCs w:val="21"/>
        </w:rPr>
        <w:t xml:space="preserve">Pay fees and wait for the bridge to finalize</w:t>
      </w:r>
    </w:p>
    <w:p>
      <w:pPr>
        <w:pStyle w:val="ListParagraph"/>
        <w:numPr>
          <w:ilvl w:val="0"/>
          <w:numId w:val="2"/>
        </w:numPr>
        <w:spacing w:after="80" w:line="290"/>
      </w:pPr>
      <w:r>
        <w:rPr>
          <w:rFonts w:ascii="Arial" w:cs="Arial" w:eastAsia="Arial" w:hAnsi="Arial"/>
          <w:sz w:val="21"/>
          <w:szCs w:val="21"/>
        </w:rPr>
        <w:t xml:space="preserve">Receive USDC (or a wrapped version with thinner liquidity) on Solana</w:t>
      </w:r>
    </w:p>
    <w:p>
      <w:pPr>
        <w:pStyle w:val="ListParagraph"/>
        <w:numPr>
          <w:ilvl w:val="0"/>
          <w:numId w:val="2"/>
        </w:numPr>
        <w:spacing w:after="80" w:line="290"/>
      </w:pPr>
      <w:r>
        <w:rPr>
          <w:rFonts w:ascii="Arial" w:cs="Arial" w:eastAsia="Arial" w:hAnsi="Arial"/>
          <w:sz w:val="21"/>
          <w:szCs w:val="21"/>
        </w:rPr>
        <w:t xml:space="preserve">Connect to a Solana DEX and swap to SOL</w:t>
      </w:r>
    </w:p>
    <w:p>
      <w:pPr>
        <w:pStyle w:val="ListParagraph"/>
        <w:numPr>
          <w:ilvl w:val="0"/>
          <w:numId w:val="2"/>
        </w:numPr>
        <w:spacing w:after="80" w:line="290"/>
      </w:pPr>
      <w:r>
        <w:rPr>
          <w:rFonts w:ascii="Arial" w:cs="Arial" w:eastAsia="Arial" w:hAnsi="Arial"/>
          <w:sz w:val="21"/>
          <w:szCs w:val="21"/>
        </w:rPr>
        <w:t xml:space="preserve">Manage slippage, gas in two native tokens and timing across both networks</w:t>
      </w:r>
    </w:p>
    <w:p>
      <w:pPr>
        <w:spacing w:after="140" w:line="300"/>
      </w:pPr>
      <w:r>
        <w:rPr>
          <w:rFonts w:ascii="Arial" w:cs="Arial" w:eastAsia="Arial" w:hAnsi="Arial"/>
          <w:sz w:val="21"/>
          <w:szCs w:val="21"/>
        </w:rPr>
        <w:t xml:space="preserve">Every step adds cost, latency and a point of failure, and nobody competes to give the user a better outcome.</w:t>
      </w:r>
    </w:p>
    <w:p>
      <w:pPr>
        <w:pStyle w:val="Heading1"/>
        <w:pBdr>
          <w:bottom w:val="single" w:color="4F7CFF" w:sz="6" w:space="4"/>
        </w:pBdr>
        <w:spacing w:after="160" w:before="360"/>
      </w:pPr>
      <w:r>
        <w:rPr>
          <w:rFonts w:ascii="Arial" w:cs="Arial" w:eastAsia="Arial" w:hAnsi="Arial"/>
          <w:b/>
          <w:bCs/>
          <w:color w:val="0B1030"/>
          <w:sz w:val="32"/>
          <w:szCs w:val="32"/>
        </w:rPr>
        <w:t xml:space="preserve">3. The Solution</w:t>
      </w:r>
    </w:p>
    <w:p>
      <w:pPr>
        <w:pStyle w:val="Heading2"/>
        <w:spacing w:after="120" w:before="240"/>
      </w:pPr>
      <w:r>
        <w:rPr>
          <w:rFonts w:ascii="Arial" w:cs="Arial" w:eastAsia="Arial" w:hAnsi="Arial"/>
          <w:b/>
          <w:bCs/>
          <w:color w:val="4F7CFF"/>
          <w:sz w:val="25"/>
          <w:szCs w:val="25"/>
        </w:rPr>
        <w:t xml:space="preserve">3.1 Intents</w:t>
      </w:r>
    </w:p>
    <w:p>
      <w:pPr>
        <w:spacing w:after="140" w:line="300"/>
      </w:pPr>
      <w:r>
        <w:rPr>
          <w:rFonts w:ascii="Arial" w:cs="Arial" w:eastAsia="Arial" w:hAnsi="Arial"/>
          <w:sz w:val="21"/>
          <w:szCs w:val="21"/>
        </w:rPr>
        <w:t xml:space="preserve">An intent is a typed, signed message (EIP-712 on EVM chains) that describes a result, not a path. The user states what they give, what they want to receive and the constraints. Solvers decide how.</w:t>
      </w:r>
    </w:p>
    <w:p>
      <w:pPr>
        <w:pStyle w:val="Heading2"/>
        <w:spacing w:after="120" w:before="240"/>
      </w:pPr>
      <w:r>
        <w:rPr>
          <w:rFonts w:ascii="Arial" w:cs="Arial" w:eastAsia="Arial" w:hAnsi="Arial"/>
          <w:b/>
          <w:bCs/>
          <w:color w:val="4F7CFF"/>
          <w:sz w:val="25"/>
          <w:szCs w:val="25"/>
        </w:rPr>
        <w:t xml:space="preserve">3.2 Execution flow</w:t>
      </w:r>
    </w:p>
    <w:p>
      <w:pPr>
        <w:pStyle w:val="ListParagraph"/>
        <w:numPr>
          <w:ilvl w:val="0"/>
          <w:numId w:val="3"/>
        </w:numPr>
        <w:spacing w:after="80" w:line="290"/>
      </w:pPr>
      <w:r>
        <w:rPr>
          <w:rFonts w:ascii="Arial" w:cs="Arial" w:eastAsia="Arial" w:hAnsi="Arial"/>
          <w:sz w:val="21"/>
          <w:szCs w:val="21"/>
        </w:rPr>
        <w:t xml:space="preserve">The user signs an intent and submits it to the Traverse intent pool</w:t>
      </w:r>
    </w:p>
    <w:p>
      <w:pPr>
        <w:pStyle w:val="ListParagraph"/>
        <w:numPr>
          <w:ilvl w:val="0"/>
          <w:numId w:val="3"/>
        </w:numPr>
        <w:spacing w:after="80" w:line="290"/>
      </w:pPr>
      <w:r>
        <w:rPr>
          <w:rFonts w:ascii="Arial" w:cs="Arial" w:eastAsia="Arial" w:hAnsi="Arial"/>
          <w:sz w:val="21"/>
          <w:szCs w:val="21"/>
        </w:rPr>
        <w:t xml:space="preserve">A Dutch auction starts; solvers evaluate routes, liquidity, gas and spread</w:t>
      </w:r>
    </w:p>
    <w:p>
      <w:pPr>
        <w:pStyle w:val="ListParagraph"/>
        <w:numPr>
          <w:ilvl w:val="0"/>
          <w:numId w:val="3"/>
        </w:numPr>
        <w:spacing w:after="80" w:line="290"/>
      </w:pPr>
      <w:r>
        <w:rPr>
          <w:rFonts w:ascii="Arial" w:cs="Arial" w:eastAsia="Arial" w:hAnsi="Arial"/>
          <w:sz w:val="21"/>
          <w:szCs w:val="21"/>
        </w:rPr>
        <w:t xml:space="preserve">The first solver to commit to a valid fill wins exclusive rights to execute</w:t>
      </w:r>
    </w:p>
    <w:p>
      <w:pPr>
        <w:pStyle w:val="ListParagraph"/>
        <w:numPr>
          <w:ilvl w:val="0"/>
          <w:numId w:val="3"/>
        </w:numPr>
        <w:spacing w:after="80" w:line="290"/>
      </w:pPr>
      <w:r>
        <w:rPr>
          <w:rFonts w:ascii="Arial" w:cs="Arial" w:eastAsia="Arial" w:hAnsi="Arial"/>
          <w:sz w:val="21"/>
          <w:szCs w:val="21"/>
        </w:rPr>
        <w:t xml:space="preserve">The solver executes the cross-chain operation with its own capital and routes</w:t>
      </w:r>
    </w:p>
    <w:p>
      <w:pPr>
        <w:pStyle w:val="ListParagraph"/>
        <w:numPr>
          <w:ilvl w:val="0"/>
          <w:numId w:val="3"/>
        </w:numPr>
        <w:spacing w:after="80" w:line="290"/>
      </w:pPr>
      <w:r>
        <w:rPr>
          <w:rFonts w:ascii="Arial" w:cs="Arial" w:eastAsia="Arial" w:hAnsi="Arial"/>
          <w:sz w:val="21"/>
          <w:szCs w:val="21"/>
        </w:rPr>
        <w:t xml:space="preserve">The solver proves delivery; the TraverseRouter settles and releases the fee</w:t>
      </w:r>
    </w:p>
    <w:p>
      <w:pPr>
        <w:spacing w:after="140" w:line="300"/>
      </w:pPr>
      <w:r>
        <w:rPr>
          <w:rFonts w:ascii="Arial" w:cs="Arial" w:eastAsia="Arial" w:hAnsi="Arial"/>
          <w:sz w:val="21"/>
          <w:szCs w:val="21"/>
        </w:rPr>
        <w:t xml:space="preserve">If no solver fills the intent before its deadline, it expires at no cost and the user's funds never leave their control.</w:t>
      </w:r>
    </w:p>
    <w:p>
      <w:pPr>
        <w:pStyle w:val="Heading1"/>
        <w:pBdr>
          <w:bottom w:val="single" w:color="4F7CFF" w:sz="6" w:space="4"/>
        </w:pBdr>
        <w:spacing w:after="160" w:before="360"/>
      </w:pPr>
      <w:r>
        <w:rPr>
          <w:rFonts w:ascii="Arial" w:cs="Arial" w:eastAsia="Arial" w:hAnsi="Arial"/>
          <w:b/>
          <w:bCs/>
          <w:color w:val="0B1030"/>
          <w:sz w:val="32"/>
          <w:szCs w:val="32"/>
        </w:rPr>
        <w:t xml:space="preserve">4. Technical Architecture</w:t>
      </w:r>
    </w:p>
    <w:p>
      <w:pPr>
        <w:pStyle w:val="Heading2"/>
        <w:spacing w:after="120" w:before="240"/>
      </w:pPr>
      <w:r>
        <w:rPr>
          <w:rFonts w:ascii="Arial" w:cs="Arial" w:eastAsia="Arial" w:hAnsi="Arial"/>
          <w:b/>
          <w:bCs/>
          <w:color w:val="4F7CFF"/>
          <w:sz w:val="25"/>
          <w:szCs w:val="25"/>
        </w:rPr>
        <w:t xml:space="preserve">4.1 Intent layer</w:t>
      </w:r>
    </w:p>
    <w:p>
      <w:pPr>
        <w:spacing w:after="140" w:line="300"/>
      </w:pPr>
      <w:r>
        <w:rPr>
          <w:rFonts w:ascii="Arial" w:cs="Arial" w:eastAsia="Arial" w:hAnsi="Arial"/>
          <w:sz w:val="21"/>
          <w:szCs w:val="21"/>
        </w:rPr>
        <w:t xml:space="preserve">A TraverseIntent contains: user, tokenIn, chainIdIn, amountIn, tokenOut, chainIdOut, minAmountOut, recipient, deadline and nonce, signed over an EIP-712 domain specific to Traverse. The nonce and domain separator prevent replay across intents and deployments.</w:t>
      </w:r>
    </w:p>
    <w:p>
      <w:pPr>
        <w:pStyle w:val="Heading2"/>
        <w:spacing w:after="120" w:before="240"/>
      </w:pPr>
      <w:r>
        <w:rPr>
          <w:rFonts w:ascii="Arial" w:cs="Arial" w:eastAsia="Arial" w:hAnsi="Arial"/>
          <w:b/>
          <w:bCs/>
          <w:color w:val="4F7CFF"/>
          <w:sz w:val="25"/>
          <w:szCs w:val="25"/>
        </w:rPr>
        <w:t xml:space="preserve">4.2 Solver network</w:t>
      </w:r>
    </w:p>
    <w:p>
      <w:pPr>
        <w:spacing w:after="140" w:line="300"/>
      </w:pPr>
      <w:r>
        <w:rPr>
          <w:rFonts w:ascii="Arial" w:cs="Arial" w:eastAsia="Arial" w:hAnsi="Arial"/>
          <w:sz w:val="21"/>
          <w:szCs w:val="21"/>
        </w:rPr>
        <w:t xml:space="preserve">Solvers are market makers, funds or automated systems that monitor the intent pool and maintain liquidity on supported chains. In the planned design, each solver locks a minimum stake as slashable collateral, so failed or dishonest execution has a cost.</w:t>
      </w:r>
    </w:p>
    <w:p>
      <w:pPr>
        <w:pStyle w:val="Heading2"/>
        <w:spacing w:after="120" w:before="240"/>
      </w:pPr>
      <w:r>
        <w:rPr>
          <w:rFonts w:ascii="Arial" w:cs="Arial" w:eastAsia="Arial" w:hAnsi="Arial"/>
          <w:b/>
          <w:bCs/>
          <w:color w:val="4F7CFF"/>
          <w:sz w:val="25"/>
          <w:szCs w:val="25"/>
        </w:rPr>
        <w:t xml:space="preserve">4.3 Dutch auction</w:t>
      </w:r>
    </w:p>
    <w:p>
      <w:pPr>
        <w:spacing w:after="140" w:line="300"/>
      </w:pPr>
      <w:r>
        <w:rPr>
          <w:rFonts w:ascii="Arial" w:cs="Arial" w:eastAsia="Arial" w:hAnsi="Arial"/>
          <w:sz w:val="21"/>
          <w:szCs w:val="21"/>
        </w:rPr>
        <w:t xml:space="preserve">Each auction starts at an output close to the best the market can offer and relaxes over time toward the user's minAmountOut. Solvers commit as soon as a fill is profitable for them, which pushes execution toward the best achievable price while guaranteeing the user's minimum.</w:t>
      </w:r>
    </w:p>
    <w:p>
      <w:pPr>
        <w:pStyle w:val="Heading2"/>
        <w:spacing w:after="120" w:before="240"/>
      </w:pPr>
      <w:r>
        <w:rPr>
          <w:rFonts w:ascii="Arial" w:cs="Arial" w:eastAsia="Arial" w:hAnsi="Arial"/>
          <w:b/>
          <w:bCs/>
          <w:color w:val="4F7CFF"/>
          <w:sz w:val="25"/>
          <w:szCs w:val="25"/>
        </w:rPr>
        <w:t xml:space="preserve">4.4 Cross-chain settlement</w:t>
      </w:r>
    </w:p>
    <w:p>
      <w:pPr>
        <w:spacing w:after="140" w:line="300"/>
      </w:pPr>
      <w:r>
        <w:rPr>
          <w:rFonts w:ascii="Arial" w:cs="Arial" w:eastAsia="Arial" w:hAnsi="Arial"/>
          <w:sz w:val="21"/>
          <w:szCs w:val="21"/>
        </w:rPr>
        <w:t xml:space="preserve">After delivering on the destination chain, the solver submits proof of execution (intent hash, destination transaction, amount, timestamp). A cross-chain messaging layer verifies it, and the TraverseRouter then releases the fee and marks the intent settled. If proof is not provided within a grace period, the solver's bond is slashed and the intent can be reopened.</w:t>
      </w:r>
    </w:p>
    <w:p>
      <w:pPr>
        <w:pStyle w:val="Heading2"/>
        <w:spacing w:after="120" w:before="240"/>
      </w:pPr>
      <w:r>
        <w:rPr>
          <w:rFonts w:ascii="Arial" w:cs="Arial" w:eastAsia="Arial" w:hAnsi="Arial"/>
          <w:b/>
          <w:bCs/>
          <w:color w:val="4F7CFF"/>
          <w:sz w:val="25"/>
          <w:szCs w:val="25"/>
        </w:rPr>
        <w:t xml:space="preserve">4.5 Smart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Contract</w:t>
            </w:r>
          </w:p>
        </w:tc>
        <w:tc>
          <w:tcPr>
            <w:tcW w:type="dxa" w:w="6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TraverseIntent</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Intent struct and EIP-712 verification</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TraverseRouter</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Intent lifecycle, auction, settlement and fee collection</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TraverseStaking</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Solver stake, unbonding and slashing</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TraverseGovernor / Timelock</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On-chain governance with a 48-hour timelock</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TraverseTreasury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Governance-controlled treasury</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TRV.sol (EVM)</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Original ERC-20 design, superseded by the Solana launch; to be replaced by bridged TRV on Base</w:t>
            </w:r>
          </w:p>
        </w:tc>
      </w:tr>
    </w:tbl>
    <w:p>
      <w:pPr>
        <w:spacing w:after="60"/>
      </w:pPr>
      <w:r>
        <w:rPr>
          <w:rFonts w:ascii="Arial" w:cs="Arial" w:eastAsia="Arial" w:hAnsi="Arial"/>
        </w:rPr>
        <w:t xml:space="preserve"/>
      </w:r>
    </w:p>
    <w:p>
      <w:pPr>
        <w:pStyle w:val="Heading2"/>
        <w:spacing w:after="120" w:before="240"/>
      </w:pPr>
      <w:r>
        <w:rPr>
          <w:rFonts w:ascii="Arial" w:cs="Arial" w:eastAsia="Arial" w:hAnsi="Arial"/>
          <w:b/>
          <w:bCs/>
          <w:color w:val="4F7CFF"/>
          <w:sz w:val="25"/>
          <w:szCs w:val="25"/>
        </w:rPr>
        <w:t xml:space="preserve">4.6 Security status</w:t>
      </w:r>
    </w:p>
    <w:p>
      <w:pPr>
        <w:pStyle w:val="ListParagraph"/>
        <w:numPr>
          <w:ilvl w:val="0"/>
          <w:numId w:val="4"/>
        </w:numPr>
        <w:spacing w:after="80" w:line="290"/>
      </w:pPr>
      <w:r>
        <w:rPr>
          <w:rFonts w:ascii="Arial" w:cs="Arial" w:eastAsia="Arial" w:hAnsi="Arial"/>
          <w:sz w:val="21"/>
          <w:szCs w:val="21"/>
        </w:rPr>
        <w:t xml:space="preserve">Contracts are open source, built on OpenZeppelin 5.x, and use reentrancy guards and checks-effects-interactions.</w:t>
      </w:r>
    </w:p>
    <w:p>
      <w:pPr>
        <w:pStyle w:val="ListParagraph"/>
        <w:numPr>
          <w:ilvl w:val="0"/>
          <w:numId w:val="4"/>
        </w:numPr>
        <w:spacing w:after="80" w:line="290"/>
      </w:pPr>
      <w:r>
        <w:rPr>
          <w:rFonts w:ascii="Arial" w:cs="Arial" w:eastAsia="Arial" w:hAnsi="Arial"/>
          <w:b/>
          <w:bCs/>
          <w:sz w:val="21"/>
          <w:szCs w:val="21"/>
        </w:rPr>
        <w:t xml:space="preserve">The contracts are unaudited.</w:t>
      </w:r>
      <w:r>
        <w:rPr>
          <w:rFonts w:ascii="Arial" w:cs="Arial" w:eastAsia="Arial" w:hAnsi="Arial"/>
          <w:sz w:val="21"/>
          <w:szCs w:val="21"/>
        </w:rPr>
        <w:t xml:space="preserve"> An independent audit is required before any mainnet deployment.</w:t>
      </w:r>
    </w:p>
    <w:p>
      <w:pPr>
        <w:pStyle w:val="ListParagraph"/>
        <w:numPr>
          <w:ilvl w:val="0"/>
          <w:numId w:val="4"/>
        </w:numPr>
        <w:spacing w:after="80" w:line="290"/>
      </w:pPr>
      <w:r>
        <w:rPr>
          <w:rFonts w:ascii="Arial" w:cs="Arial" w:eastAsia="Arial" w:hAnsi="Arial"/>
          <w:sz w:val="21"/>
          <w:szCs w:val="21"/>
        </w:rPr>
        <w:t xml:space="preserve">A bug bounty is planned before mainnet. Its size and terms will be published when it opens.</w:t>
      </w:r>
    </w:p>
    <w:p>
      <w:pPr>
        <w:pStyle w:val="ListParagraph"/>
        <w:numPr>
          <w:ilvl w:val="0"/>
          <w:numId w:val="4"/>
        </w:numPr>
        <w:spacing w:after="80" w:line="290"/>
      </w:pPr>
      <w:r>
        <w:rPr>
          <w:rFonts w:ascii="Arial" w:cs="Arial" w:eastAsia="Arial" w:hAnsi="Arial"/>
          <w:sz w:val="21"/>
          <w:szCs w:val="21"/>
        </w:rPr>
        <w:t xml:space="preserve">Emergency pause through a multisig with no unilateral upgrade power is planned for the first year of mainnet.</w:t>
      </w:r>
    </w:p>
    <w:p>
      <w:pPr>
        <w:pStyle w:val="Heading1"/>
        <w:pBdr>
          <w:bottom w:val="single" w:color="4F7CFF" w:sz="6" w:space="4"/>
        </w:pBdr>
        <w:spacing w:after="160" w:before="360"/>
      </w:pPr>
      <w:r>
        <w:rPr>
          <w:rFonts w:ascii="Arial" w:cs="Arial" w:eastAsia="Arial" w:hAnsi="Arial"/>
          <w:b/>
          <w:bCs/>
          <w:color w:val="0B1030"/>
          <w:sz w:val="32"/>
          <w:szCs w:val="32"/>
        </w:rPr>
        <w:t xml:space="preserve">5. The TRV Token</w:t>
      </w:r>
    </w:p>
    <w:p>
      <w:pPr>
        <w:pStyle w:val="Heading2"/>
        <w:spacing w:after="120" w:before="240"/>
      </w:pPr>
      <w:r>
        <w:rPr>
          <w:rFonts w:ascii="Arial" w:cs="Arial" w:eastAsia="Arial" w:hAnsi="Arial"/>
          <w:b/>
          <w:bCs/>
          <w:color w:val="4F7CFF"/>
          <w:sz w:val="25"/>
          <w:szCs w:val="25"/>
        </w:rPr>
        <w:t xml:space="preserve">5.1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Network</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Solana (SPL)</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Contract address</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AqYxQFndwosnbXeQXXnqyJUw471YddxbZqkwosDvpump</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Total supply</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1,000,000,000 TRV (fixed)</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Launch</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Fair launch on pump.fun, October 27, 2026</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Allocations</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No team, investor, treasury or airdrop allocation. Creator buy at launch: 0</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Disclosed team holdings</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~6.22M TRV (~0.62%) bought by the creator on the open curve after launch; wallet 3q2URVEc95XScuN8g15FndYjntNshgiCMHT7B8ZDHDgN; not locked</w:t>
            </w:r>
          </w:p>
        </w:tc>
      </w:tr>
    </w:tbl>
    <w:p>
      <w:pPr>
        <w:spacing w:after="60"/>
      </w:pPr>
      <w:r>
        <w:rPr>
          <w:rFonts w:ascii="Arial" w:cs="Arial" w:eastAsia="Arial" w:hAnsi="Arial"/>
        </w:rPr>
        <w:t xml:space="preserve"/>
      </w:r>
    </w:p>
    <w:p>
      <w:pPr>
        <w:spacing w:after="140" w:line="300"/>
      </w:pPr>
      <w:r>
        <w:rPr>
          <w:rFonts w:ascii="Arial" w:cs="Arial" w:eastAsia="Arial" w:hAnsi="Arial"/>
          <w:sz w:val="21"/>
          <w:szCs w:val="21"/>
        </w:rPr>
        <w:t xml:space="preserve">Full distribution details, creator-fee policy and risks are in the companion document </w:t>
      </w:r>
      <w:r>
        <w:rPr>
          <w:rFonts w:ascii="Arial" w:cs="Arial" w:eastAsia="Arial" w:hAnsi="Arial"/>
          <w:b/>
          <w:bCs/>
          <w:sz w:val="21"/>
          <w:szCs w:val="21"/>
        </w:rPr>
        <w:t xml:space="preserve">TRV Tokenomics v2.0</w:t>
      </w:r>
      <w:r>
        <w:rPr>
          <w:rFonts w:ascii="Arial" w:cs="Arial" w:eastAsia="Arial" w:hAnsi="Arial"/>
          <w:sz w:val="21"/>
          <w:szCs w:val="21"/>
        </w:rPr>
        <w:t xml:space="preserve">.</w:t>
      </w:r>
    </w:p>
    <w:p>
      <w:pPr>
        <w:pStyle w:val="Heading2"/>
        <w:spacing w:after="120" w:before="240"/>
      </w:pPr>
      <w:r>
        <w:rPr>
          <w:rFonts w:ascii="Arial" w:cs="Arial" w:eastAsia="Arial" w:hAnsi="Arial"/>
          <w:b/>
          <w:bCs/>
          <w:color w:val="4F7CFF"/>
          <w:sz w:val="25"/>
          <w:szCs w:val="25"/>
        </w:rPr>
        <w:t xml:space="preserve">5.2 From community token to protocol utility</w:t>
      </w:r>
    </w:p>
    <w:p>
      <w:pPr>
        <w:spacing w:after="140" w:line="300"/>
      </w:pPr>
      <w:r>
        <w:rPr>
          <w:rFonts w:ascii="Arial" w:cs="Arial" w:eastAsia="Arial" w:hAnsi="Arial"/>
          <w:sz w:val="21"/>
          <w:szCs w:val="21"/>
        </w:rPr>
        <w:t xml:space="preserve">The protocol contracts run on EVM chains, while TRV lives on Solana. To connect them without changing total supply, TRV will be bridged to Base using a lock-and-mint or burn-and-mint standard, so that the 1B supply is shared across chains rather than 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5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5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0. Community token</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Live</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TRV trading on Solana</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1. Protocol testnet</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 progress</w:t>
            </w:r>
          </w:p>
        </w:tc>
        <w:tc>
          <w:tcPr>
            <w:tcW w:type="dxa" w:w="55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Contracts on Base Sepolia with a test token</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2. Bridge</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TRV usable on Base, supply-preserving</w:t>
            </w:r>
          </w:p>
        </w:tc>
      </w:tr>
      <w:tr>
        <w:trPr>
          <w:tblHeader w:val="false"/>
        </w:trPr>
        <w:tc>
          <w:tcPr>
            <w:tcW w:type="dxa" w:w="23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3. Audit</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Independent audit of contracts and bridge setup</w:t>
            </w:r>
          </w:p>
        </w:tc>
      </w:tr>
      <w:tr>
        <w:trPr>
          <w:tblHeader w:val="false"/>
        </w:trPr>
        <w:tc>
          <w:tcPr>
            <w:tcW w:type="dxa" w:w="23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4. Activation</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Planned</w:t>
            </w:r>
          </w:p>
        </w:tc>
        <w:tc>
          <w:tcPr>
            <w:tcW w:type="dxa" w:w="55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Staking, governance and fee discounts live with bridged TRV</w:t>
            </w:r>
          </w:p>
        </w:tc>
      </w:tr>
    </w:tbl>
    <w:p>
      <w:pPr>
        <w:spacing w:after="60"/>
      </w:pPr>
      <w:r>
        <w:rPr>
          <w:rFonts w:ascii="Arial" w:cs="Arial" w:eastAsia="Arial" w:hAnsi="Arial"/>
        </w:rPr>
        <w:t xml:space="preserve"/>
      </w:r>
    </w:p>
    <w:p>
      <w:pPr>
        <w:pStyle w:val="Heading2"/>
        <w:spacing w:after="120" w:before="240"/>
      </w:pPr>
      <w:r>
        <w:rPr>
          <w:rFonts w:ascii="Arial" w:cs="Arial" w:eastAsia="Arial" w:hAnsi="Arial"/>
          <w:b/>
          <w:bCs/>
          <w:color w:val="4F7CFF"/>
          <w:sz w:val="25"/>
          <w:szCs w:val="25"/>
        </w:rPr>
        <w:t xml:space="preserve">5.3 Planned utilities</w:t>
      </w:r>
    </w:p>
    <w:p>
      <w:pPr>
        <w:pStyle w:val="ListParagraph"/>
        <w:numPr>
          <w:ilvl w:val="0"/>
          <w:numId w:val="4"/>
        </w:numPr>
        <w:spacing w:after="80" w:line="290"/>
      </w:pPr>
      <w:r>
        <w:rPr>
          <w:rFonts w:ascii="Arial" w:cs="Arial" w:eastAsia="Arial" w:hAnsi="Arial"/>
          <w:b/>
          <w:bCs/>
          <w:sz w:val="21"/>
          <w:szCs w:val="21"/>
        </w:rPr>
        <w:t xml:space="preserve">Solver staking:</w:t>
      </w:r>
      <w:r>
        <w:rPr>
          <w:rFonts w:ascii="Arial" w:cs="Arial" w:eastAsia="Arial" w:hAnsi="Arial"/>
          <w:sz w:val="21"/>
          <w:szCs w:val="21"/>
        </w:rPr>
        <w:t xml:space="preserve"> a minimum of 10,000 TRV locked as slashable collateral.</w:t>
      </w:r>
    </w:p>
    <w:p>
      <w:pPr>
        <w:pStyle w:val="ListParagraph"/>
        <w:numPr>
          <w:ilvl w:val="0"/>
          <w:numId w:val="4"/>
        </w:numPr>
        <w:spacing w:after="80" w:line="290"/>
      </w:pPr>
      <w:r>
        <w:rPr>
          <w:rFonts w:ascii="Arial" w:cs="Arial" w:eastAsia="Arial" w:hAnsi="Arial"/>
          <w:b/>
          <w:bCs/>
          <w:sz w:val="21"/>
          <w:szCs w:val="21"/>
        </w:rPr>
        <w:t xml:space="preserve">Governance:</w:t>
      </w:r>
      <w:r>
        <w:rPr>
          <w:rFonts w:ascii="Arial" w:cs="Arial" w:eastAsia="Arial" w:hAnsi="Arial"/>
          <w:sz w:val="21"/>
          <w:szCs w:val="21"/>
        </w:rPr>
        <w:t xml:space="preserve"> 1 staked TRV = 1 vote over fees, supported chains, auction and slashing parameters, treasury use and upgrades.</w:t>
      </w:r>
    </w:p>
    <w:p>
      <w:pPr>
        <w:pStyle w:val="ListParagraph"/>
        <w:numPr>
          <w:ilvl w:val="0"/>
          <w:numId w:val="4"/>
        </w:numPr>
        <w:spacing w:after="80" w:line="290"/>
      </w:pPr>
      <w:r>
        <w:rPr>
          <w:rFonts w:ascii="Arial" w:cs="Arial" w:eastAsia="Arial" w:hAnsi="Arial"/>
          <w:b/>
          <w:bCs/>
          <w:sz w:val="21"/>
          <w:szCs w:val="21"/>
        </w:rPr>
        <w:t xml:space="preserve">Fee discount:</w:t>
      </w:r>
      <w:r>
        <w:rPr>
          <w:rFonts w:ascii="Arial" w:cs="Arial" w:eastAsia="Arial" w:hAnsi="Arial"/>
          <w:sz w:val="21"/>
          <w:szCs w:val="21"/>
        </w:rPr>
        <w:t xml:space="preserve"> holding TRV lowers the 0.05% routing fee, by up to 50% in the highest tier.</w:t>
      </w:r>
    </w:p>
    <w:p>
      <w:pPr>
        <w:pStyle w:val="ListParagraph"/>
        <w:numPr>
          <w:ilvl w:val="0"/>
          <w:numId w:val="4"/>
        </w:numPr>
        <w:spacing w:after="80" w:line="290"/>
      </w:pPr>
      <w:r>
        <w:rPr>
          <w:rFonts w:ascii="Arial" w:cs="Arial" w:eastAsia="Arial" w:hAnsi="Arial"/>
          <w:b/>
          <w:bCs/>
          <w:sz w:val="21"/>
          <w:szCs w:val="21"/>
        </w:rPr>
        <w:t xml:space="preserve">Fee distribution:</w:t>
      </w:r>
      <w:r>
        <w:rPr>
          <w:rFonts w:ascii="Arial" w:cs="Arial" w:eastAsia="Arial" w:hAnsi="Arial"/>
          <w:sz w:val="21"/>
          <w:szCs w:val="21"/>
        </w:rPr>
        <w:t xml:space="preserve"> a proposed share of protocol fees for stakers, enabled only after legal review and a governance vote.</w:t>
      </w:r>
    </w:p>
    <w:p>
      <w:pPr>
        <w:spacing w:after="140" w:line="300"/>
      </w:pPr>
      <w:r>
        <w:rPr>
          <w:rFonts w:ascii="Arial" w:cs="Arial" w:eastAsia="Arial" w:hAnsi="Arial"/>
          <w:sz w:val="21"/>
          <w:szCs w:val="21"/>
        </w:rPr>
        <w:t xml:space="preserve">All parameters are proposals and may change before activation.</w:t>
      </w:r>
    </w:p>
    <w:p>
      <w:pPr>
        <w:pStyle w:val="Heading1"/>
        <w:pBdr>
          <w:bottom w:val="single" w:color="4F7CFF" w:sz="6" w:space="4"/>
        </w:pBdr>
        <w:spacing w:after="160" w:before="360"/>
      </w:pPr>
      <w:r>
        <w:rPr>
          <w:rFonts w:ascii="Arial" w:cs="Arial" w:eastAsia="Arial" w:hAnsi="Arial"/>
          <w:b/>
          <w:bCs/>
          <w:color w:val="0B1030"/>
          <w:sz w:val="32"/>
          <w:szCs w:val="32"/>
        </w:rPr>
        <w:t xml:space="preserve">6. Governance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Proposed value</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Voting power</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1 staked TRV = 1 vote, snapshot at proposal creation</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Proposal threshold</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1,000,000 TRV</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Quorum</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4% of total supply</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Voting period</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5 days</w:t>
            </w:r>
          </w:p>
        </w:tc>
      </w:tr>
      <w:tr>
        <w:trPr>
          <w:tblHeader w:val="false"/>
        </w:trPr>
        <w:tc>
          <w:tcPr>
            <w:tcW w:type="dxa" w:w="3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Timelock</w:t>
            </w:r>
          </w:p>
        </w:tc>
        <w:tc>
          <w:tcPr>
            <w:tcW w:type="dxa" w:w="6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48 hours between approval and execution</w:t>
            </w:r>
          </w:p>
        </w:tc>
      </w:tr>
      <w:tr>
        <w:trPr>
          <w:tblHeader w:val="false"/>
        </w:trPr>
        <w:tc>
          <w:tcPr>
            <w:tcW w:type="dxa" w:w="3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Protocol fee range</w:t>
            </w:r>
          </w:p>
        </w:tc>
        <w:tc>
          <w:tcPr>
            <w:tcW w:type="dxa" w:w="6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0.01% to 0.20% (initial 0.05%)</w:t>
            </w:r>
          </w:p>
        </w:tc>
      </w:tr>
    </w:tbl>
    <w:p>
      <w:pPr>
        <w:spacing w:after="60"/>
      </w:pPr>
      <w:r>
        <w:rPr>
          <w:rFonts w:ascii="Arial" w:cs="Arial" w:eastAsia="Arial" w:hAnsi="Arial"/>
        </w:rPr>
        <w:t xml:space="preserve"/>
      </w:r>
    </w:p>
    <w:p>
      <w:pPr>
        <w:spacing w:after="140" w:line="300"/>
      </w:pPr>
      <w:r>
        <w:rPr>
          <w:rFonts w:ascii="Arial" w:cs="Arial" w:eastAsia="Arial" w:hAnsi="Arial"/>
          <w:sz w:val="21"/>
          <w:szCs w:val="21"/>
        </w:rPr>
        <w:t xml:space="preserve">Proposals go through discussion, an on-chain vote, a timelock queue and execution. Governance becomes active only after TRV is bridged and the contracts are audited.</w:t>
      </w:r>
    </w:p>
    <w:p>
      <w:pPr>
        <w:pStyle w:val="Heading1"/>
        <w:pBdr>
          <w:bottom w:val="single" w:color="4F7CFF" w:sz="6" w:space="4"/>
        </w:pBdr>
        <w:spacing w:after="160" w:before="360"/>
      </w:pPr>
      <w:r>
        <w:rPr>
          <w:rFonts w:ascii="Arial" w:cs="Arial" w:eastAsia="Arial" w:hAnsi="Arial"/>
          <w:b/>
          <w:bCs/>
          <w:color w:val="0B1030"/>
          <w:sz w:val="32"/>
          <w:szCs w:val="32"/>
        </w:rPr>
        <w:t xml:space="preserve">7. Roadmap</w:t>
      </w:r>
    </w:p>
    <w:p>
      <w:pPr>
        <w:spacing w:after="140" w:line="300"/>
      </w:pPr>
      <w:r>
        <w:rPr>
          <w:rFonts w:ascii="Arial" w:cs="Arial" w:eastAsia="Arial" w:hAnsi="Arial"/>
          <w:sz w:val="21"/>
          <w:szCs w:val="21"/>
        </w:rPr>
        <w:t xml:space="preserve">Dates are targets, not commitments, and depend on audit results and funding from creator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73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rPr>
          <w:tblHeader w:val="false"/>
        </w:trPr>
        <w:tc>
          <w:tcPr>
            <w:tcW w:type="dxa" w:w="2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Q4 2026</w:t>
            </w:r>
          </w:p>
        </w:tc>
        <w:tc>
          <w:tcPr>
            <w:tcW w:type="dxa" w:w="7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TRV fair launch (done). Public testnet on Base Sepolia. Solver reference bot</w:t>
            </w:r>
          </w:p>
        </w:tc>
      </w:tr>
      <w:tr>
        <w:trPr>
          <w:tblHeader w:val="false"/>
        </w:trPr>
        <w:tc>
          <w:tcPr>
            <w:tcW w:type="dxa" w:w="2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Q1 2027</w:t>
            </w:r>
          </w:p>
        </w:tc>
        <w:tc>
          <w:tcPr>
            <w:tcW w:type="dxa" w:w="7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Bridge design and testnet integration with test TRV. Audit scoping</w:t>
            </w:r>
          </w:p>
        </w:tc>
      </w:tr>
      <w:tr>
        <w:trPr>
          <w:tblHeader w:val="false"/>
        </w:trPr>
        <w:tc>
          <w:tcPr>
            <w:tcW w:type="dxa" w:w="2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Q2 2027</w:t>
            </w:r>
          </w:p>
        </w:tc>
        <w:tc>
          <w:tcPr>
            <w:tcW w:type="dxa" w:w="7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Independent audit. Bug bounty. Bridge of TRV to Base</w:t>
            </w:r>
          </w:p>
        </w:tc>
      </w:tr>
      <w:tr>
        <w:trPr>
          <w:tblHeader w:val="false"/>
        </w:trPr>
        <w:tc>
          <w:tcPr>
            <w:tcW w:type="dxa" w:w="20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H2 2027</w:t>
            </w:r>
          </w:p>
        </w:tc>
        <w:tc>
          <w:tcPr>
            <w:tcW w:type="dxa" w:w="73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Mainnet beta on Base with capped volume. Staking and governance activation</w:t>
            </w:r>
          </w:p>
        </w:tc>
      </w:tr>
      <w:tr>
        <w:trPr>
          <w:tblHeader w:val="false"/>
        </w:trPr>
        <w:tc>
          <w:tcPr>
            <w:tcW w:type="dxa" w:w="20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2028</w:t>
            </w:r>
          </w:p>
        </w:tc>
        <w:tc>
          <w:tcPr>
            <w:tcW w:type="dxa" w:w="73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Additional chains, solver SDK, progressive decentralization</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500"/>
        <w:gridCol w:w="2060"/>
      </w:tblGrid>
      <w:tr>
        <w:trPr>
          <w:tblHeader/>
        </w:trPr>
        <w:tc>
          <w:tcPr>
            <w:tcW w:type="dxa" w:w="18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22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8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Cross-chain</w:t>
            </w:r>
          </w:p>
        </w:tc>
        <w:tc>
          <w:tcPr>
            <w:tcW w:type="dxa" w:w="15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Intents</w:t>
            </w:r>
          </w:p>
        </w:tc>
        <w:tc>
          <w:tcPr>
            <w:tcW w:type="dxa" w:w="20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Solver auction</w:t>
            </w:r>
          </w:p>
        </w:tc>
      </w:tr>
      <w:tr>
        <w:trPr>
          <w:tblHeader w:val="false"/>
        </w:trPr>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1inch</w:t>
            </w:r>
          </w:p>
        </w:tc>
        <w:tc>
          <w:tcPr>
            <w:tcW w:type="dxa" w:w="22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DEX aggregator</w:t>
            </w:r>
          </w:p>
        </w:tc>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Partial</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Partial</w:t>
            </w:r>
          </w:p>
        </w:tc>
        <w:tc>
          <w:tcPr>
            <w:tcW w:type="dxa" w:w="20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No</w:t>
            </w:r>
          </w:p>
        </w:tc>
      </w:tr>
      <w:tr>
        <w:trPr>
          <w:tblHeader w:val="false"/>
        </w:trPr>
        <w:tc>
          <w:tcPr>
            <w:tcW w:type="dxa" w:w="18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Jupiter</w:t>
            </w:r>
          </w:p>
        </w:tc>
        <w:tc>
          <w:tcPr>
            <w:tcW w:type="dxa" w:w="22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DEX aggregator</w:t>
            </w:r>
          </w:p>
        </w:tc>
        <w:tc>
          <w:tcPr>
            <w:tcW w:type="dxa" w:w="18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Solana only</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No</w:t>
            </w:r>
          </w:p>
        </w:tc>
        <w:tc>
          <w:tcPr>
            <w:tcW w:type="dxa" w:w="20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No</w:t>
            </w:r>
          </w:p>
        </w:tc>
      </w:tr>
      <w:tr>
        <w:trPr>
          <w:tblHeader w:val="false"/>
        </w:trPr>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LI.FI</w:t>
            </w:r>
          </w:p>
        </w:tc>
        <w:tc>
          <w:tcPr>
            <w:tcW w:type="dxa" w:w="22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Bridge/DEX aggregator</w:t>
            </w:r>
          </w:p>
        </w:tc>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Yes</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Partial</w:t>
            </w:r>
          </w:p>
        </w:tc>
        <w:tc>
          <w:tcPr>
            <w:tcW w:type="dxa" w:w="20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No</w:t>
            </w:r>
          </w:p>
        </w:tc>
      </w:tr>
      <w:tr>
        <w:trPr>
          <w:tblHeader w:val="false"/>
        </w:trPr>
        <w:tc>
          <w:tcPr>
            <w:tcW w:type="dxa" w:w="18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CoW Protocol</w:t>
            </w:r>
          </w:p>
        </w:tc>
        <w:tc>
          <w:tcPr>
            <w:tcW w:type="dxa" w:w="22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Batch auctions</w:t>
            </w:r>
          </w:p>
        </w:tc>
        <w:tc>
          <w:tcPr>
            <w:tcW w:type="dxa" w:w="18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No (per chain)</w:t>
            </w:r>
          </w:p>
        </w:tc>
        <w:tc>
          <w:tcPr>
            <w:tcW w:type="dxa" w:w="15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Yes</w:t>
            </w:r>
          </w:p>
        </w:tc>
        <w:tc>
          <w:tcPr>
            <w:tcW w:type="dxa" w:w="20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Yes</w:t>
            </w:r>
          </w:p>
        </w:tc>
      </w:tr>
      <w:tr>
        <w:trPr>
          <w:tblHeader w:val="false"/>
        </w:trPr>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Traverse</w:t>
            </w:r>
          </w:p>
        </w:tc>
        <w:tc>
          <w:tcPr>
            <w:tcW w:type="dxa" w:w="22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Intent router</w:t>
            </w:r>
          </w:p>
        </w:tc>
        <w:tc>
          <w:tcPr>
            <w:tcW w:type="dxa" w:w="18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Yes (design)</w:t>
            </w:r>
          </w:p>
        </w:tc>
        <w:tc>
          <w:tcPr>
            <w:tcW w:type="dxa" w:w="15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Yes</w:t>
            </w:r>
          </w:p>
        </w:tc>
        <w:tc>
          <w:tcPr>
            <w:tcW w:type="dxa" w:w="20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Yes, with staked solvers</w:t>
            </w:r>
          </w:p>
        </w:tc>
      </w:tr>
    </w:tbl>
    <w:p>
      <w:pPr>
        <w:spacing w:after="60"/>
      </w:pPr>
      <w:r>
        <w:rPr>
          <w:rFonts w:ascii="Arial" w:cs="Arial" w:eastAsia="Arial" w:hAnsi="Arial"/>
        </w:rPr>
        <w:t xml:space="preserve"/>
      </w:r>
    </w:p>
    <w:p>
      <w:pPr>
        <w:spacing w:after="140" w:line="300"/>
      </w:pPr>
      <w:r>
        <w:rPr>
          <w:rFonts w:ascii="Arial" w:cs="Arial" w:eastAsia="Arial" w:hAnsi="Arial"/>
          <w:sz w:val="21"/>
          <w:szCs w:val="21"/>
        </w:rPr>
        <w:t xml:space="preserve">Traverse's design combines cross-chain intents with a staked, competitive solver set. This is a design goal; the protocol is not yet live on mainnet.</w:t>
      </w:r>
    </w:p>
    <w:p>
      <w:pPr>
        <w:pStyle w:val="Heading1"/>
        <w:pBdr>
          <w:bottom w:val="single" w:color="4F7CFF" w:sz="6" w:space="4"/>
        </w:pBdr>
        <w:spacing w:after="160" w:before="360"/>
      </w:pPr>
      <w:r>
        <w:rPr>
          <w:rFonts w:ascii="Arial" w:cs="Arial" w:eastAsia="Arial" w:hAnsi="Arial"/>
          <w:b/>
          <w:bCs/>
          <w:color w:val="0B1030"/>
          <w:sz w:val="32"/>
          <w:szCs w:val="32"/>
        </w:rP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5760"/>
            <w:tcBorders>
              <w:top w:val="single" w:color="C9D1E8" w:sz="4"/>
              <w:left w:val="single" w:color="C9D1E8" w:sz="4"/>
              <w:bottom w:val="single" w:color="C9D1E8" w:sz="4"/>
              <w:right w:val="single" w:color="C9D1E8" w:sz="4"/>
            </w:tcBorders>
            <w:shd w:fill="0B1030" w:color="auto"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rPr>
          <w:tblHeader w:val="false"/>
        </w:trPr>
        <w:tc>
          <w:tcPr>
            <w:tcW w:type="dxa" w:w="36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Smart contract vulnerabilities</w:t>
            </w:r>
          </w:p>
        </w:tc>
        <w:tc>
          <w:tcPr>
            <w:tcW w:type="dxa" w:w="57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Independent audit, bug bounty, volume caps at mainnet beta</w:t>
            </w:r>
          </w:p>
        </w:tc>
      </w:tr>
      <w:tr>
        <w:trPr>
          <w:tblHeader w:val="false"/>
        </w:trPr>
        <w:tc>
          <w:tcPr>
            <w:tcW w:type="dxa" w:w="36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Solver failure or misconduct</w:t>
            </w:r>
          </w:p>
        </w:tc>
        <w:tc>
          <w:tcPr>
            <w:tcW w:type="dxa" w:w="57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Slashable stake, deadlines, automatic intent reopening</w:t>
            </w:r>
          </w:p>
        </w:tc>
      </w:tr>
      <w:tr>
        <w:trPr>
          <w:tblHeader w:val="false"/>
        </w:trPr>
        <w:tc>
          <w:tcPr>
            <w:tcW w:type="dxa" w:w="36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Bridge and messaging risk</w:t>
            </w:r>
          </w:p>
        </w:tc>
        <w:tc>
          <w:tcPr>
            <w:tcW w:type="dxa" w:w="57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Established standards, audited configuration</w:t>
            </w:r>
          </w:p>
        </w:tc>
      </w:tr>
      <w:tr>
        <w:trPr>
          <w:tblHeader w:val="false"/>
        </w:trPr>
        <w:tc>
          <w:tcPr>
            <w:tcW w:type="dxa" w:w="36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Token volatility and no live utility</w:t>
            </w:r>
          </w:p>
        </w:tc>
        <w:tc>
          <w:tcPr>
            <w:tcW w:type="dxa" w:w="57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Honest status reporting, no price or return promises</w:t>
            </w:r>
          </w:p>
        </w:tc>
      </w:tr>
      <w:tr>
        <w:trPr>
          <w:tblHeader w:val="false"/>
        </w:trPr>
        <w:tc>
          <w:tcPr>
            <w:tcW w:type="dxa" w:w="360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Regulatory uncertainty</w:t>
            </w:r>
          </w:p>
        </w:tc>
        <w:tc>
          <w:tcPr>
            <w:tcW w:type="dxa" w:w="5760"/>
            <w:tcBorders>
              <w:top w:val="single" w:color="C9D1E8" w:sz="4"/>
              <w:left w:val="single" w:color="C9D1E8" w:sz="4"/>
              <w:bottom w:val="single" w:color="C9D1E8" w:sz="4"/>
              <w:right w:val="single" w:color="C9D1E8" w:sz="4"/>
            </w:tcBorders>
            <w:tcMar>
              <w:top w:type="dxa" w:w="80"/>
              <w:left w:type="dxa" w:w="120"/>
              <w:bottom w:type="dxa" w:w="80"/>
              <w:right w:type="dxa" w:w="120"/>
            </w:tcMar>
          </w:tcPr>
          <w:p>
            <w:r>
              <w:rPr>
                <w:rFonts w:ascii="Arial" w:cs="Arial" w:eastAsia="Arial" w:hAnsi="Arial"/>
                <w:sz w:val="19"/>
                <w:szCs w:val="19"/>
              </w:rPr>
              <w:t xml:space="preserve">Legal review before any fee distribution to holders</w:t>
            </w:r>
          </w:p>
        </w:tc>
      </w:tr>
      <w:tr>
        <w:trPr>
          <w:tblHeader w:val="false"/>
        </w:trPr>
        <w:tc>
          <w:tcPr>
            <w:tcW w:type="dxa" w:w="360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Impersonation and scams</w:t>
            </w:r>
          </w:p>
        </w:tc>
        <w:tc>
          <w:tcPr>
            <w:tcW w:type="dxa" w:w="5760"/>
            <w:tcBorders>
              <w:top w:val="single" w:color="C9D1E8" w:sz="4"/>
              <w:left w:val="single" w:color="C9D1E8" w:sz="4"/>
              <w:bottom w:val="single" w:color="C9D1E8" w:sz="4"/>
              <w:right w:val="single" w:color="C9D1E8" w:sz="4"/>
            </w:tcBorders>
            <w:shd w:fill="F6F8FE" w:color="auto" w:val="clear"/>
            <w:tcMar>
              <w:top w:type="dxa" w:w="80"/>
              <w:left w:type="dxa" w:w="120"/>
              <w:bottom w:type="dxa" w:w="80"/>
              <w:right w:type="dxa" w:w="120"/>
            </w:tcMar>
          </w:tcPr>
          <w:p>
            <w:r>
              <w:rPr>
                <w:rFonts w:ascii="Arial" w:cs="Arial" w:eastAsia="Arial" w:hAnsi="Arial"/>
                <w:sz w:val="19"/>
                <w:szCs w:val="19"/>
              </w:rPr>
              <w:t xml:space="preserve">One official CA, team never DMs first</w:t>
            </w:r>
          </w:p>
        </w:tc>
      </w:tr>
    </w:tbl>
    <w:p>
      <w:pPr>
        <w:spacing w:after="60"/>
      </w:pPr>
      <w:r>
        <w:rPr>
          <w:rFonts w:ascii="Arial" w:cs="Arial" w:eastAsia="Arial" w:hAnsi="Arial"/>
        </w:rPr>
        <w:t xml:space="preserve"/>
      </w:r>
    </w:p>
    <w:p>
      <w:pPr>
        <w:pStyle w:val="Heading1"/>
        <w:pBdr>
          <w:bottom w:val="single" w:color="4F7CFF" w:sz="6" w:space="4"/>
        </w:pBdr>
        <w:spacing w:after="160" w:before="360"/>
      </w:pPr>
      <w:r>
        <w:rPr>
          <w:rFonts w:ascii="Arial" w:cs="Arial" w:eastAsia="Arial" w:hAnsi="Arial"/>
          <w:b/>
          <w:bCs/>
          <w:color w:val="0B1030"/>
          <w:sz w:val="32"/>
          <w:szCs w:val="32"/>
        </w:rPr>
        <w:t xml:space="preserve">10. Team</w:t>
      </w:r>
    </w:p>
    <w:p>
      <w:pPr>
        <w:spacing w:after="140" w:line="300"/>
      </w:pPr>
      <w:r>
        <w:rPr>
          <w:rFonts w:ascii="Arial" w:cs="Arial" w:eastAsia="Arial" w:hAnsi="Arial"/>
          <w:sz w:val="21"/>
          <w:szCs w:val="21"/>
        </w:rPr>
        <w:t xml:space="preserve">Traverse Protocol is built by a small founding team. Contributors are listed in the public GitHub repository, and the team communicates through the official X account and Discord. Team members will be named publicly with their own consent; this document does not list biographies that cannot be verified.</w:t>
      </w:r>
    </w:p>
    <w:p>
      <w:pPr>
        <w:pStyle w:val="Heading1"/>
        <w:pBdr>
          <w:bottom w:val="single" w:color="4F7CFF" w:sz="6" w:space="4"/>
        </w:pBdr>
        <w:spacing w:after="160" w:before="360"/>
      </w:pPr>
      <w:r>
        <w:rPr>
          <w:rFonts w:ascii="Arial" w:cs="Arial" w:eastAsia="Arial" w:hAnsi="Arial"/>
          <w:b/>
          <w:bCs/>
          <w:color w:val="0B1030"/>
          <w:sz w:val="32"/>
          <w:szCs w:val="32"/>
        </w:rPr>
        <w:t xml:space="preserve">11. Disclaimer</w:t>
      </w:r>
    </w:p>
    <w:p>
      <w:pPr>
        <w:spacing w:after="140" w:line="300"/>
      </w:pPr>
      <w:r>
        <w:rPr>
          <w:rFonts w:ascii="Arial" w:cs="Arial" w:eastAsia="Arial" w:hAnsi="Arial"/>
          <w:sz w:val="21"/>
          <w:szCs w:val="21"/>
        </w:rPr>
        <w:t xml:space="preserve">This whitepaper is for information only. It is not an offer or solicitation to buy or sell any asset and not investment, legal or tax advice. TRV carries no promise of return, profit or price. The protocol is experimental, its contracts are unaudited, and planned features may change, be delayed or never ship. Crypto assets can lose all their value. Participation may be restricted in some jurisdictions. Consult qualified advisors before acting.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275"/>
        <w:sz w:val="16"/>
        <w:szCs w:val="16"/>
      </w:rPr>
      <w:t xml:space="preserve">Traverse Protocol  |  Whitepaper v2.0  |  Page </w:t>
    </w:r>
    <w:r>
      <w:rPr>
        <w:rFonts w:ascii="Arial" w:cs="Arial" w:eastAsia="Arial" w:hAnsi="Arial"/>
        <w:color w:val="5B62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0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F7C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f3322e8054732a44a01466289a5a431fb362d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2026-10-27T19:45:02.070Z</dcterms:created>
  <dcterms:modified xsi:type="dcterms:W3CDTF">2026-10-27T19:45:02.072Z</dcterms:modified>
</cp:coreProperties>
</file>

<file path=docProps/custom.xml><?xml version="1.0" encoding="utf-8"?>
<Properties xmlns="http://schemas.openxmlformats.org/officeDocument/2006/custom-properties" xmlns:vt="http://schemas.openxmlformats.org/officeDocument/2006/docPropsVTypes"/>
</file>