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rFonts w:ascii="Arial" w:cs="Arial" w:eastAsia="Arial" w:hAnsi="Arial"/>
          <w:b/>
          <w:bCs/>
          <w:color w:val="1A3C6E"/>
          <w:sz w:val="72"/>
          <w:szCs w:val="72"/>
        </w:rPr>
        <w:t xml:space="preserve">VORTEX PROTOCOL</w:t>
      </w:r>
    </w:p>
    <w:p>
      <w:pPr>
        <w:spacing w:after="240"/>
        <w:jc w:val="center"/>
      </w:pPr>
      <w:r>
        <w:rPr>
          <w:rFonts w:ascii="Arial" w:cs="Arial" w:eastAsia="Arial" w:hAnsi="Arial"/>
          <w:b/>
          <w:bCs/>
          <w:color w:val="2D7DD2"/>
          <w:sz w:val="52"/>
          <w:szCs w:val="52"/>
        </w:rPr>
        <w:t xml:space="preserve">VTX</w:t>
      </w:r>
    </w:p>
    <w:p>
      <w:pPr>
        <w:pBdr>
          <w:bottom w:val="single" w:color="2D7DD2" w:sz="6" w:space="1"/>
        </w:pBdr>
        <w:spacing w:after="240"/>
        <w:jc w:val="center"/>
      </w:pPr>
    </w:p>
    <w:p>
      <w:pPr>
        <w:spacing w:after="160"/>
      </w:pPr>
    </w:p>
    <w:p>
      <w:pPr>
        <w:spacing w:after="160"/>
        <w:jc w:val="center"/>
      </w:pPr>
      <w:r>
        <w:rPr>
          <w:rFonts w:ascii="Arial" w:cs="Arial" w:eastAsia="Arial" w:hAnsi="Arial"/>
          <w:b/>
          <w:bCs/>
          <w:color w:val="1A1A2E"/>
          <w:sz w:val="36"/>
          <w:szCs w:val="36"/>
        </w:rPr>
        <w:t xml:space="preserve">Whitepaper v1.0</w:t>
      </w:r>
    </w:p>
    <w:p>
      <w:pPr>
        <w:spacing w:after="160"/>
        <w:jc w:val="center"/>
      </w:pPr>
      <w:r>
        <w:rPr>
          <w:rFonts w:ascii="Arial" w:cs="Arial" w:eastAsia="Arial" w:hAnsi="Arial"/>
          <w:color w:val="4A5568"/>
          <w:sz w:val="28"/>
          <w:szCs w:val="28"/>
        </w:rPr>
        <w:t xml:space="preserve">Junho 2026</w:t>
      </w:r>
    </w:p>
    <w:p>
      <w:pPr>
        <w:spacing w:after="400"/>
      </w:pPr>
    </w:p>
    <w:p>
      <w:pPr>
        <w:spacing w:after="120"/>
        <w:jc w:val="center"/>
      </w:pPr>
      <w:r>
        <w:rPr>
          <w:rFonts w:ascii="Arial" w:cs="Arial" w:eastAsia="Arial" w:hAnsi="Arial"/>
          <w:i/>
          <w:iCs/>
          <w:color w:val="4A5568"/>
          <w:sz w:val="26"/>
          <w:szCs w:val="26"/>
        </w:rPr>
        <w:t xml:space="preserve">Roteamento de Liquidez Cross-Chain com Intent-Based Architecture</w:t>
      </w:r>
    </w:p>
    <w:p>
      <w:pPr>
        <w:spacing w:after="80"/>
        <w:jc w:val="center"/>
      </w:pPr>
      <w:r>
        <w:rPr>
          <w:rFonts w:ascii="Arial" w:cs="Arial" w:eastAsia="Arial" w:hAnsi="Arial"/>
          <w:i/>
          <w:iCs/>
          <w:color w:val="4A5568"/>
          <w:sz w:val="26"/>
          <w:szCs w:val="26"/>
        </w:rPr>
        <w:t xml:space="preserve">e Solver Auction Competitivo</w:t>
      </w:r>
    </w:p>
    <w:p>
      <w:pPr>
        <w:spacing w:after="800"/>
      </w:pPr>
    </w:p>
    <w:p>
      <w:pPr>
        <w:spacing w:after="60"/>
        <w:jc w:val="center"/>
      </w:pPr>
      <w:r>
        <w:rPr>
          <w:rFonts w:ascii="Arial" w:cs="Arial" w:eastAsia="Arial" w:hAnsi="Arial"/>
          <w:color w:val="2D7DD2"/>
          <w:sz w:val="22"/>
          <w:szCs w:val="22"/>
        </w:rPr>
        <w:t xml:space="preserve">vortexprotocol.io</w:t>
      </w:r>
    </w:p>
    <w:p>
      <w:pPr>
        <w:spacing w:after="60"/>
        <w:jc w:val="center"/>
      </w:pPr>
      <w:r>
        <w:rPr>
          <w:rFonts w:ascii="Arial" w:cs="Arial" w:eastAsia="Arial" w:hAnsi="Arial"/>
          <w:color w:val="2D7DD2"/>
          <w:sz w:val="22"/>
          <w:szCs w:val="22"/>
        </w:rPr>
        <w:t xml:space="preserve">contact@vortexprotocol.io</w:t>
      </w:r>
    </w:p>
    <w:p>
      <w:r>
        <w:br w:type="page"/>
      </w:r>
    </w:p>
    <w:p>
      <w:pPr>
        <w:pStyle w:val="Heading1"/>
        <w:spacing w:after="200" w:before="400"/>
      </w:pPr>
      <w:r>
        <w:rPr>
          <w:rFonts w:ascii="Arial" w:cs="Arial" w:eastAsia="Arial" w:hAnsi="Arial"/>
          <w:b/>
          <w:bCs/>
          <w:color w:val="1A3C6E"/>
          <w:sz w:val="36"/>
          <w:szCs w:val="36"/>
        </w:rPr>
        <w:t xml:space="preserve">Resumo Executivo</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 xml:space="preserve">O Vortex Protocol (VTX) e uma infraestrutura de roteamento de liquidez cross-chain baseada em arquitetura intent-based com mecanismo de solver auction competitivo. O protocolo resolve um dos problemas mais criticos do ecossistema DeFi atual: a fragmentacao de liquidez entre dezenas de blockchains e centenas de protocolos descentralizados, que impoe ao usuario final custos excessivos, experiencia de uso degradada e riscos operacionais desnecessarios.</w:t>
      </w:r>
    </w:p>
    <w:p>
      <w:pPr>
        <w:spacing w:after="160" w:line="276" w:lineRule="auto"/>
        <w:jc w:val="both"/>
      </w:pPr>
      <w:r>
        <w:rPr>
          <w:rFonts w:ascii="Arial" w:cs="Arial" w:eastAsia="Arial" w:hAnsi="Arial"/>
          <w:color w:val="1A1A2E"/>
          <w:sz w:val="20"/>
          <w:szCs w:val="20"/>
        </w:rPr>
        <w:t xml:space="preserve">Em vez de exigir que usuarios entendam pontes, rotas de swap, slippage e gas em multiplas redes, o Vortex abstrai toda essa complexidade atraves do conceito de intents. O usuario simplesmente declara o que deseja — por exemplo, 'trocar 1 ETH na rede Ethereum por USDC na Solana' — e o protocolo coordena a execucao otima dessa operacao de forma automatica e competitiva.</w:t>
      </w:r>
    </w:p>
    <w:p>
      <w:pPr>
        <w:spacing w:after="160" w:line="276" w:lineRule="auto"/>
        <w:jc w:val="both"/>
      </w:pPr>
      <w:r>
        <w:rPr>
          <w:rFonts w:ascii="Arial" w:cs="Arial" w:eastAsia="Arial" w:hAnsi="Arial"/>
          <w:color w:val="1A1A2E"/>
          <w:sz w:val="20"/>
          <w:szCs w:val="20"/>
        </w:rPr>
        <w:t xml:space="preserve">A competicao entre solvers — agentes economicamente incentivados que disputam o direito de executar cada intent — garante que o usuario sempre receba a melhor execucao disponivel no mercado. O vencedor do leilao recebe a fee da operacao; qualquer desvio da execucao prometida resulta em slashing do bond depositado. Esse modelo cria um mercado eficiente de execucao, analogamente ao que os market makers profissionais fazem em mercados tradicionais, mas de forma descentralizada e permissionless.</w:t>
      </w:r>
    </w:p>
    <w:p>
      <w:pPr>
        <w:spacing w:after="160" w:line="276" w:lineRule="auto"/>
        <w:jc w:val="both"/>
      </w:pPr>
      <w:r>
        <w:rPr>
          <w:rFonts w:ascii="Arial" w:cs="Arial" w:eastAsia="Arial" w:hAnsi="Arial"/>
          <w:color w:val="1A1A2E"/>
          <w:sz w:val="20"/>
          <w:szCs w:val="20"/>
        </w:rPr>
        <w:t xml:space="preserve">O token VTX e o ativo de utilidade central do ecossistema, com quatro funcoes interligadas: (1) staking obrigatorio para solvers, criando skin-in-the-game; (2) participacao na governanca on-chain; (3) desconto progressivo de fees para holders; e (4) compartilhamento de receita do protocolo para stakers. O supply total e fixo em 1,000,000,000 (um bilhao) de tokens, sem possibilidade de emissao adicional.</w:t>
      </w:r>
    </w:p>
    <w:p>
      <w:pPr>
        <w:spacing w:after="160" w:line="276" w:lineRule="auto"/>
        <w:jc w:val="both"/>
      </w:pPr>
      <w:r>
        <w:rPr>
          <w:rFonts w:ascii="Arial" w:cs="Arial" w:eastAsia="Arial" w:hAnsi="Arial"/>
          <w:color w:val="1A1A2E"/>
          <w:sz w:val="20"/>
          <w:szCs w:val="20"/>
        </w:rPr>
        <w:t xml:space="preserve">O mercado enderecavel e substancial: o valor total bloqueado (TVL) em DeFi supera $100 bilhoes, o volume cross-chain cresce a uma taxa anual composta superior a 60%, e mais de 50 blockchains Layer 1 e Layer 2 competem por liquidez fragmentada. O Vortex Protocol posiciona-se como a camada de roteamento universal que conecta esse ecossistema fragmentado de forma eficiente e segura.</w:t>
      </w: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Proposta Central: </w:t>
      </w:r>
      <w:r>
        <w:rPr>
          <w:rFonts w:ascii="Arial" w:cs="Arial" w:eastAsia="Arial" w:hAnsi="Arial"/>
          <w:color w:val="1A1A2E"/>
          <w:sz w:val="20"/>
          <w:szCs w:val="20"/>
        </w:rPr>
        <w:t xml:space="preserve">Vortex e o unico protocolo intent-based cross-chain com solver auction nativo e multi-chain — combinando a eficiencia de execucao do CoW Protocol com a abrangencia multi-chain do LiFi, em uma arquitetura superior.</w:t>
      </w:r>
    </w:p>
    <w:p>
      <w:r>
        <w:br w:type="page"/>
      </w:r>
    </w:p>
    <w:p>
      <w:pPr>
        <w:pStyle w:val="Heading1"/>
        <w:spacing w:after="200" w:before="400"/>
      </w:pPr>
      <w:r>
        <w:rPr>
          <w:rFonts w:ascii="Arial" w:cs="Arial" w:eastAsia="Arial" w:hAnsi="Arial"/>
          <w:b/>
          <w:bCs/>
          <w:color w:val="1A3C6E"/>
          <w:sz w:val="36"/>
          <w:szCs w:val="36"/>
        </w:rPr>
        <w:t xml:space="preserve">O Problema: Fragmentacao de Liquidez em DeFi</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2.1 Evolucao das Blockchains e DEXs</w:t>
      </w:r>
    </w:p>
    <w:p>
      <w:pPr>
        <w:spacing w:after="160" w:line="276" w:lineRule="auto"/>
        <w:jc w:val="both"/>
      </w:pPr>
      <w:r>
        <w:rPr>
          <w:rFonts w:ascii="Arial" w:cs="Arial" w:eastAsia="Arial" w:hAnsi="Arial"/>
          <w:color w:val="1A1A2E"/>
          <w:sz w:val="20"/>
          <w:szCs w:val="20"/>
        </w:rPr>
        <w:t xml:space="preserve">Desde o surgimento do Bitcoin em 2009 e do Ethereum em 2015, o ecossistema de blockchains passou por uma expansao exponencial. O Ethereum catalysou a revolucao DeFi com o lancamento de protocolos como Uniswap (2018), Compound (2018) e Aave (2020), estabelecendo as bases de exchanges descentralizadas (DEXs), mercados monetarios e derivativos on-chain.</w:t>
      </w:r>
    </w:p>
    <w:p>
      <w:pPr>
        <w:spacing w:after="160" w:line="276" w:lineRule="auto"/>
        <w:jc w:val="both"/>
      </w:pPr>
      <w:r>
        <w:rPr>
          <w:rFonts w:ascii="Arial" w:cs="Arial" w:eastAsia="Arial" w:hAnsi="Arial"/>
          <w:color w:val="1A1A2E"/>
          <w:sz w:val="20"/>
          <w:szCs w:val="20"/>
        </w:rPr>
        <w:t xml:space="preserve">A limitacao de throughput e os altos custos de gas do Ethereum impulsionaram o desenvolvimento de solucoes de escalabilidade: Layer 2s (Arbitrum, Optimism, Base, zkSync), sidechains (Polygon) e blockchains alternativas de alto desempenho (Solana, BNB Chain, Avalanche, Sui, Aptos). Cada uma dessas redes atraiu projetos, usuarios e liquidez proprios, criando um ecossistema rico, porem profundamente fragmentado.</w:t>
      </w:r>
    </w:p>
    <w:p>
      <w:pPr>
        <w:spacing w:after="160" w:line="276" w:lineRule="auto"/>
        <w:jc w:val="both"/>
      </w:pPr>
      <w:r>
        <w:rPr>
          <w:rFonts w:ascii="Arial" w:cs="Arial" w:eastAsia="Arial" w:hAnsi="Arial"/>
          <w:color w:val="1A1A2E"/>
          <w:sz w:val="20"/>
          <w:szCs w:val="20"/>
        </w:rPr>
        <w:t xml:space="preserve">O resultado e um panorama onde cada blockchain possui seus proprios DEXs nativos, pools de liquidez isolados e tokens representativos. Uniswap domina em Ethereum e suas L2s; Jupiter e o agregador hegemonic na Solana; PancakeSwap lidera na BNB Chain. Mas esses ecossistemas raramente comunicam-se de forma eficiente entre si.</w:t>
      </w:r>
    </w:p>
    <w:p>
      <w:pPr>
        <w:pStyle w:val="Heading2"/>
        <w:spacing w:after="140" w:before="300"/>
      </w:pPr>
      <w:r>
        <w:rPr>
          <w:rFonts w:ascii="Arial" w:cs="Arial" w:eastAsia="Arial" w:hAnsi="Arial"/>
          <w:b/>
          <w:bCs/>
          <w:color w:val="2D7DD2"/>
          <w:sz w:val="28"/>
          <w:szCs w:val="28"/>
        </w:rPr>
        <w:t xml:space="preserve">2.2 O Problema do Usuario Final</w:t>
      </w:r>
    </w:p>
    <w:p>
      <w:pPr>
        <w:spacing w:after="160" w:line="276" w:lineRule="auto"/>
        <w:jc w:val="both"/>
      </w:pPr>
      <w:r>
        <w:rPr>
          <w:rFonts w:ascii="Arial" w:cs="Arial" w:eastAsia="Arial" w:hAnsi="Arial"/>
          <w:color w:val="1A1A2E"/>
          <w:sz w:val="20"/>
          <w:szCs w:val="20"/>
        </w:rPr>
        <w:t xml:space="preserve">Para um usuario sofisticado que deseja, por exemplo, utilizar rendimentos em USDC obtidos na Arbitrum para comprar SOL na Solana, o processo atual envolve uma sequencia complexa de etapas:</w:t>
      </w:r>
    </w:p>
    <w:p>
      <w:pPr>
        <w:pStyle w:val="ListParagraph"/>
        <w:numPr>
          <w:ilvl w:val="0"/>
          <w:numId w:val="2"/>
        </w:numPr>
        <w:spacing w:after="80" w:line="260" w:lineRule="auto"/>
      </w:pPr>
      <w:r>
        <w:rPr>
          <w:rFonts w:ascii="Arial" w:cs="Arial" w:eastAsia="Arial" w:hAnsi="Arial"/>
          <w:color w:val="1A1A2E"/>
          <w:sz w:val="20"/>
          <w:szCs w:val="20"/>
        </w:rPr>
        <w:t xml:space="preserve">Conectar carteira ao protocolo na Arbitrum e aprovar o token USDC</w:t>
      </w:r>
    </w:p>
    <w:p>
      <w:pPr>
        <w:pStyle w:val="ListParagraph"/>
        <w:numPr>
          <w:ilvl w:val="0"/>
          <w:numId w:val="2"/>
        </w:numPr>
        <w:spacing w:after="80" w:line="260" w:lineRule="auto"/>
      </w:pPr>
      <w:r>
        <w:rPr>
          <w:rFonts w:ascii="Arial" w:cs="Arial" w:eastAsia="Arial" w:hAnsi="Arial"/>
          <w:color w:val="1A1A2E"/>
          <w:sz w:val="20"/>
          <w:szCs w:val="20"/>
        </w:rPr>
        <w:t xml:space="preserve">Identificar e selecionar uma ponte cross-chain confiavel (Wormhole, Stargate, Across, Synapse)</w:t>
      </w:r>
    </w:p>
    <w:p>
      <w:pPr>
        <w:pStyle w:val="ListParagraph"/>
        <w:numPr>
          <w:ilvl w:val="0"/>
          <w:numId w:val="2"/>
        </w:numPr>
        <w:spacing w:after="80" w:line="260" w:lineRule="auto"/>
      </w:pPr>
      <w:r>
        <w:rPr>
          <w:rFonts w:ascii="Arial" w:cs="Arial" w:eastAsia="Arial" w:hAnsi="Arial"/>
          <w:color w:val="1A1A2E"/>
          <w:sz w:val="20"/>
          <w:szCs w:val="20"/>
        </w:rPr>
        <w:t xml:space="preserve">Executar a transacao de bridge, pagando fees na Arbitrum e aguardando de 1 a 30 minutos pelo processo de finalizacao</w:t>
      </w:r>
    </w:p>
    <w:p>
      <w:pPr>
        <w:pStyle w:val="ListParagraph"/>
        <w:numPr>
          <w:ilvl w:val="0"/>
          <w:numId w:val="2"/>
        </w:numPr>
        <w:spacing w:after="80" w:line="260" w:lineRule="auto"/>
      </w:pPr>
      <w:r>
        <w:rPr>
          <w:rFonts w:ascii="Arial" w:cs="Arial" w:eastAsia="Arial" w:hAnsi="Arial"/>
          <w:color w:val="1A1A2E"/>
          <w:sz w:val="20"/>
          <w:szCs w:val="20"/>
        </w:rPr>
        <w:t xml:space="preserve">Receber o USDC equivalente na Solana (ou um wrapped token com liquidez inferior)</w:t>
      </w:r>
    </w:p>
    <w:p>
      <w:pPr>
        <w:pStyle w:val="ListParagraph"/>
        <w:numPr>
          <w:ilvl w:val="0"/>
          <w:numId w:val="2"/>
        </w:numPr>
        <w:spacing w:after="80" w:line="260" w:lineRule="auto"/>
      </w:pPr>
      <w:r>
        <w:rPr>
          <w:rFonts w:ascii="Arial" w:cs="Arial" w:eastAsia="Arial" w:hAnsi="Arial"/>
          <w:color w:val="1A1A2E"/>
          <w:sz w:val="20"/>
          <w:szCs w:val="20"/>
        </w:rPr>
        <w:t xml:space="preserve">Conectar carteira a um DEX na Solana e executar o swap para SOL</w:t>
      </w:r>
    </w:p>
    <w:p>
      <w:pPr>
        <w:pStyle w:val="ListParagraph"/>
        <w:numPr>
          <w:ilvl w:val="0"/>
          <w:numId w:val="2"/>
        </w:numPr>
        <w:spacing w:after="80" w:line="260" w:lineRule="auto"/>
      </w:pPr>
      <w:r>
        <w:rPr>
          <w:rFonts w:ascii="Arial" w:cs="Arial" w:eastAsia="Arial" w:hAnsi="Arial"/>
          <w:color w:val="1A1A2E"/>
          <w:sz w:val="20"/>
          <w:szCs w:val="20"/>
        </w:rPr>
        <w:t xml:space="preserve">Gerenciar slippage, timing de mercado e confirmacoes em ambas as redes</w:t>
      </w:r>
    </w:p>
    <w:p>
      <w:pPr>
        <w:spacing w:after="100"/>
      </w:pPr>
    </w:p>
    <w:p>
      <w:pPr>
        <w:spacing w:after="160" w:line="276" w:lineRule="auto"/>
        <w:jc w:val="both"/>
      </w:pPr>
      <w:r>
        <w:rPr>
          <w:rFonts w:ascii="Arial" w:cs="Arial" w:eastAsia="Arial" w:hAnsi="Arial"/>
          <w:color w:val="1A1A2E"/>
          <w:sz w:val="20"/>
          <w:szCs w:val="20"/>
        </w:rPr>
        <w:t xml:space="preserve">Cada etapa introduz custos, riscos e pontos de falha. O usuario deve entender mecanismos de diferentes protocolos, gerenciar gas em multiplas moedas nativas e monitorar transacoes em diferentes block explorers. Esta experiencia e fundamentalmente hostil para adocao em massa.</w:t>
      </w:r>
    </w:p>
    <w:p>
      <w:pPr>
        <w:spacing w:after="160" w:line="276" w:lineRule="auto"/>
        <w:jc w:val="both"/>
      </w:pPr>
      <w:r>
        <w:rPr>
          <w:rFonts w:ascii="Arial" w:cs="Arial" w:eastAsia="Arial" w:hAnsi="Arial"/>
          <w:color w:val="1A1A2E"/>
          <w:sz w:val="20"/>
          <w:szCs w:val="20"/>
        </w:rPr>
        <w:t xml:space="preserve">Alem do atrito de UX, os usuarios enfrentam riscos economicos reais. Slippage inesperado em pools de baixa liquidez pode resultar em perdas de 1% a 5% em transacoes de tamanho medio. Ataques a pontes representaram perdas superiores a $2.5 bilhoes entre 2021 e 2024, incluindo o hack do Ronin Bridge ($625M), Wormhole ($320M) e Nomad ($190M). A fragmentacao tambem cria ineficiencias de precificacao: um mesmo ativo pode ser negociado a precos 2-5% diferentes em chains distintas por falta de arbitragem eficiente.</w:t>
      </w:r>
    </w:p>
    <w:p>
      <w:pPr>
        <w:pStyle w:val="Heading2"/>
        <w:spacing w:after="140" w:before="300"/>
      </w:pPr>
      <w:r>
        <w:rPr>
          <w:rFonts w:ascii="Arial" w:cs="Arial" w:eastAsia="Arial" w:hAnsi="Arial"/>
          <w:b/>
          <w:bCs/>
          <w:color w:val="2D7DD2"/>
          <w:sz w:val="28"/>
          <w:szCs w:val="28"/>
        </w:rPr>
        <w:t xml:space="preserve">2.3 Dados de Mercado</w:t>
      </w:r>
    </w:p>
    <w:p>
      <w:pPr>
        <w:spacing w:after="160" w:line="276" w:lineRule="auto"/>
        <w:jc w:val="both"/>
      </w:pPr>
      <w:r>
        <w:rPr>
          <w:rFonts w:ascii="Arial" w:cs="Arial" w:eastAsia="Arial" w:hAnsi="Arial"/>
          <w:color w:val="1A1A2E"/>
          <w:sz w:val="20"/>
          <w:szCs w:val="20"/>
        </w:rPr>
        <w:t xml:space="preserve">O mercado de roteamento cross-chain e liquidez DeFi apresenta indicadores que justificam a urgencia de uma solucao unificada:</w:t>
      </w:r>
    </w:p>
    <w:p>
      <w:pPr>
        <w:pStyle w:val="ListParagraph"/>
        <w:numPr>
          <w:ilvl w:val="0"/>
          <w:numId w:val="2"/>
        </w:numPr>
        <w:spacing w:after="80" w:line="260" w:lineRule="auto"/>
      </w:pPr>
      <w:r>
        <w:rPr>
          <w:rFonts w:ascii="Arial" w:cs="Arial" w:eastAsia="Arial" w:hAnsi="Arial"/>
          <w:color w:val="1A1A2E"/>
          <w:sz w:val="20"/>
          <w:szCs w:val="20"/>
        </w:rPr>
        <w:t xml:space="preserve">TVL total em DeFi: superior a $100 bilhoes (DeFiLlama, 2024), distribuido por mais de 120 protocolos em 50+ chains</w:t>
      </w:r>
    </w:p>
    <w:p>
      <w:pPr>
        <w:pStyle w:val="ListParagraph"/>
        <w:numPr>
          <w:ilvl w:val="0"/>
          <w:numId w:val="2"/>
        </w:numPr>
        <w:spacing w:after="80" w:line="260" w:lineRule="auto"/>
      </w:pPr>
      <w:r>
        <w:rPr>
          <w:rFonts w:ascii="Arial" w:cs="Arial" w:eastAsia="Arial" w:hAnsi="Arial"/>
          <w:color w:val="1A1A2E"/>
          <w:sz w:val="20"/>
          <w:szCs w:val="20"/>
        </w:rPr>
        <w:t xml:space="preserve">Volume cross-chain: estimado em $800 bilhoes em 2024, com crescimento anual de 60%+ segundo dados de Dune Analytics e Token Terminal</w:t>
      </w:r>
    </w:p>
    <w:p>
      <w:pPr>
        <w:pStyle w:val="ListParagraph"/>
        <w:numPr>
          <w:ilvl w:val="0"/>
          <w:numId w:val="2"/>
        </w:numPr>
        <w:spacing w:after="80" w:line="260" w:lineRule="auto"/>
      </w:pPr>
      <w:r>
        <w:rPr>
          <w:rFonts w:ascii="Arial" w:cs="Arial" w:eastAsia="Arial" w:hAnsi="Arial"/>
          <w:color w:val="1A1A2E"/>
          <w:sz w:val="20"/>
          <w:szCs w:val="20"/>
        </w:rPr>
        <w:t xml:space="preserve">Numero de chains EVM ativas: mais de 30 redes com TVL superior a $100 milhoes cada</w:t>
      </w:r>
    </w:p>
    <w:p>
      <w:pPr>
        <w:pStyle w:val="ListParagraph"/>
        <w:numPr>
          <w:ilvl w:val="0"/>
          <w:numId w:val="2"/>
        </w:numPr>
        <w:spacing w:after="80" w:line="260" w:lineRule="auto"/>
      </w:pPr>
      <w:r>
        <w:rPr>
          <w:rFonts w:ascii="Arial" w:cs="Arial" w:eastAsia="Arial" w:hAnsi="Arial"/>
          <w:color w:val="1A1A2E"/>
          <w:sz w:val="20"/>
          <w:szCs w:val="20"/>
        </w:rPr>
        <w:t xml:space="preserve">Perda media de valor em operacoes cross-chain: estimada em 0.5-3% por transacao considerando bridge fees, slippage e timing</w:t>
      </w:r>
    </w:p>
    <w:p>
      <w:pPr>
        <w:pStyle w:val="ListParagraph"/>
        <w:numPr>
          <w:ilvl w:val="0"/>
          <w:numId w:val="2"/>
        </w:numPr>
        <w:spacing w:after="80" w:line="260" w:lineRule="auto"/>
      </w:pPr>
      <w:r>
        <w:rPr>
          <w:rFonts w:ascii="Arial" w:cs="Arial" w:eastAsia="Arial" w:hAnsi="Arial"/>
          <w:color w:val="1A1A2E"/>
          <w:sz w:val="20"/>
          <w:szCs w:val="20"/>
        </w:rPr>
        <w:t xml:space="preserve">Usuarios DeFi ativos mensais: aproximadamente 4-6 milhoes de enderecos unicos, segundo dados on-chain</w:t>
      </w:r>
    </w:p>
    <w:p>
      <w:pPr>
        <w:pStyle w:val="ListParagraph"/>
        <w:numPr>
          <w:ilvl w:val="0"/>
          <w:numId w:val="2"/>
        </w:numPr>
        <w:spacing w:after="80" w:line="260" w:lineRule="auto"/>
      </w:pPr>
      <w:r>
        <w:rPr>
          <w:rFonts w:ascii="Arial" w:cs="Arial" w:eastAsia="Arial" w:hAnsi="Arial"/>
          <w:color w:val="1A1A2E"/>
          <w:sz w:val="20"/>
          <w:szCs w:val="20"/>
        </w:rPr>
        <w:t xml:space="preserve">Mercado de agregadores: mais de $50 bilhoes em volume mensal roteado via agregadores como 1inch e Jupiter</w:t>
      </w:r>
    </w:p>
    <w:p>
      <w:pPr>
        <w:spacing w:after="100"/>
      </w:pP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Oportunidade: </w:t>
      </w:r>
      <w:r>
        <w:rPr>
          <w:rFonts w:ascii="Arial" w:cs="Arial" w:eastAsia="Arial" w:hAnsi="Arial"/>
          <w:color w:val="1A1A2E"/>
          <w:sz w:val="20"/>
          <w:szCs w:val="20"/>
        </w:rPr>
        <w:t xml:space="preserve">Se o Vortex capturar apenas 5% do volume cross-chain projetado para 2027 ($2T anualizados), isso representa $100B em volume anual e $50M em fees ao protocolo — suficiente para sustentar um ecossistema robusto de stakers e solvers.</w:t>
      </w:r>
    </w:p>
    <w:p>
      <w:r>
        <w:br w:type="page"/>
      </w:r>
    </w:p>
    <w:p>
      <w:pPr>
        <w:pStyle w:val="Heading1"/>
        <w:spacing w:after="200" w:before="400"/>
      </w:pPr>
      <w:r>
        <w:rPr>
          <w:rFonts w:ascii="Arial" w:cs="Arial" w:eastAsia="Arial" w:hAnsi="Arial"/>
          <w:b/>
          <w:bCs/>
          <w:color w:val="1A3C6E"/>
          <w:sz w:val="36"/>
          <w:szCs w:val="36"/>
        </w:rPr>
        <w:t xml:space="preserve">A Solucao: Vortex Protocol</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3.1 Visao Geral</w:t>
      </w:r>
    </w:p>
    <w:p>
      <w:pPr>
        <w:spacing w:after="160" w:line="276" w:lineRule="auto"/>
        <w:jc w:val="both"/>
      </w:pPr>
      <w:r>
        <w:rPr>
          <w:rFonts w:ascii="Arial" w:cs="Arial" w:eastAsia="Arial" w:hAnsi="Arial"/>
          <w:color w:val="1A1A2E"/>
          <w:sz w:val="20"/>
          <w:szCs w:val="20"/>
        </w:rPr>
        <w:t xml:space="preserve">O Vortex Protocol e um roteador de liquidez cross-chain que abstrai toda a complexidade operacional de movimentacao de ativos entre blockchains atraves de uma interface de intents declarativas. O protocolo nao e uma bridge, nao e um DEX e nao e um simples agregador: e uma camada de coordenacao que conecta demanda (usuarios com intents) a oferta (solvers com capital e acesso a liquidez).</w:t>
      </w:r>
    </w:p>
    <w:p>
      <w:pPr>
        <w:spacing w:after="160" w:line="276" w:lineRule="auto"/>
        <w:jc w:val="both"/>
      </w:pPr>
      <w:r>
        <w:rPr>
          <w:rFonts w:ascii="Arial" w:cs="Arial" w:eastAsia="Arial" w:hAnsi="Arial"/>
          <w:color w:val="1A1A2E"/>
          <w:sz w:val="20"/>
          <w:szCs w:val="20"/>
        </w:rPr>
        <w:t xml:space="preserve">A arquitetura e fundamentalmente diferente dos protocolos existentes. Em vez de executar swaps ou bridges diretamente via smart contracts monoliticos, o Vortex atua como um sistema de coordenacao entre partes economicamente motivadas, garantindo que a execucao seja sempre competitiva, transparente e verificavel on-chain.</w:t>
      </w:r>
    </w:p>
    <w:p>
      <w:pPr>
        <w:pStyle w:val="Heading2"/>
        <w:spacing w:after="140" w:before="300"/>
      </w:pPr>
      <w:r>
        <w:rPr>
          <w:rFonts w:ascii="Arial" w:cs="Arial" w:eastAsia="Arial" w:hAnsi="Arial"/>
          <w:b/>
          <w:bCs/>
          <w:color w:val="2D7DD2"/>
          <w:sz w:val="28"/>
          <w:szCs w:val="28"/>
        </w:rPr>
        <w:t xml:space="preserve">3.2 Intent-Based Routing Explicado</w:t>
      </w:r>
    </w:p>
    <w:p>
      <w:pPr>
        <w:spacing w:after="160" w:line="276" w:lineRule="auto"/>
        <w:jc w:val="both"/>
      </w:pPr>
      <w:r>
        <w:rPr>
          <w:rFonts w:ascii="Arial" w:cs="Arial" w:eastAsia="Arial" w:hAnsi="Arial"/>
          <w:color w:val="1A1A2E"/>
          <w:sz w:val="20"/>
          <w:szCs w:val="20"/>
        </w:rPr>
        <w:t xml:space="preserve">Uma intent (ou intenção de execucao) e uma instrucao assinada criptograficamente pelo usuario que descreve o resultado desejado de uma operacao, sem especificar o caminho de execucao. Ao contrario de uma transacao tradicional — que especifica exatamente qual contrato chamar, qual rota usar e qual gas pagar — uma intent delega essas decisoes operacionais a solvers especializados.</w:t>
      </w:r>
    </w:p>
    <w:p>
      <w:pPr>
        <w:spacing w:after="160" w:line="276" w:lineRule="auto"/>
        <w:jc w:val="both"/>
      </w:pPr>
      <w:r>
        <w:rPr>
          <w:rFonts w:ascii="Arial" w:cs="Arial" w:eastAsia="Arial" w:hAnsi="Arial"/>
          <w:color w:val="1A1A2E"/>
          <w:sz w:val="20"/>
          <w:szCs w:val="20"/>
        </w:rPr>
        <w:t xml:space="preserve">Formalmente, uma intent no Vortex e uma estrutura de dados EIP-712 contendo:</w:t>
      </w:r>
    </w:p>
    <w:p>
      <w:pPr>
        <w:pStyle w:val="ListParagraph"/>
        <w:numPr>
          <w:ilvl w:val="0"/>
          <w:numId w:val="2"/>
        </w:numPr>
        <w:spacing w:after="80" w:line="260" w:lineRule="auto"/>
      </w:pPr>
      <w:r>
        <w:rPr>
          <w:rFonts w:ascii="Arial" w:cs="Arial" w:eastAsia="Arial" w:hAnsi="Arial"/>
          <w:color w:val="1A1A2E"/>
          <w:sz w:val="20"/>
          <w:szCs w:val="20"/>
        </w:rPr>
        <w:t xml:space="preserve">Ativo de entrada (token, chain, quantidade)</w:t>
      </w:r>
    </w:p>
    <w:p>
      <w:pPr>
        <w:pStyle w:val="ListParagraph"/>
        <w:numPr>
          <w:ilvl w:val="0"/>
          <w:numId w:val="2"/>
        </w:numPr>
        <w:spacing w:after="80" w:line="260" w:lineRule="auto"/>
      </w:pPr>
      <w:r>
        <w:rPr>
          <w:rFonts w:ascii="Arial" w:cs="Arial" w:eastAsia="Arial" w:hAnsi="Arial"/>
          <w:color w:val="1A1A2E"/>
          <w:sz w:val="20"/>
          <w:szCs w:val="20"/>
        </w:rPr>
        <w:t xml:space="preserve">Ativo de saida (token, chain, quantidade minima aceitavel)</w:t>
      </w:r>
    </w:p>
    <w:p>
      <w:pPr>
        <w:pStyle w:val="ListParagraph"/>
        <w:numPr>
          <w:ilvl w:val="0"/>
          <w:numId w:val="2"/>
        </w:numPr>
        <w:spacing w:after="80" w:line="260" w:lineRule="auto"/>
      </w:pPr>
      <w:r>
        <w:rPr>
          <w:rFonts w:ascii="Arial" w:cs="Arial" w:eastAsia="Arial" w:hAnsi="Arial"/>
          <w:color w:val="1A1A2E"/>
          <w:sz w:val="20"/>
          <w:szCs w:val="20"/>
        </w:rPr>
        <w:t xml:space="preserve">Deadline de execucao (timestamp de expiracao)</w:t>
      </w:r>
    </w:p>
    <w:p>
      <w:pPr>
        <w:pStyle w:val="ListParagraph"/>
        <w:numPr>
          <w:ilvl w:val="0"/>
          <w:numId w:val="2"/>
        </w:numPr>
        <w:spacing w:after="80" w:line="260" w:lineRule="auto"/>
      </w:pPr>
      <w:r>
        <w:rPr>
          <w:rFonts w:ascii="Arial" w:cs="Arial" w:eastAsia="Arial" w:hAnsi="Arial"/>
          <w:color w:val="1A1A2E"/>
          <w:sz w:val="20"/>
          <w:szCs w:val="20"/>
        </w:rPr>
        <w:t xml:space="preserve">Destinatario do ativo de saida (pode diferir do usuario)</w:t>
      </w:r>
    </w:p>
    <w:p>
      <w:pPr>
        <w:pStyle w:val="ListParagraph"/>
        <w:numPr>
          <w:ilvl w:val="0"/>
          <w:numId w:val="2"/>
        </w:numPr>
        <w:spacing w:after="80" w:line="260" w:lineRule="auto"/>
      </w:pPr>
      <w:r>
        <w:rPr>
          <w:rFonts w:ascii="Arial" w:cs="Arial" w:eastAsia="Arial" w:hAnsi="Arial"/>
          <w:color w:val="1A1A2E"/>
          <w:sz w:val="20"/>
          <w:szCs w:val="20"/>
        </w:rPr>
        <w:t xml:space="preserve">Parametros opcionais: slippage maximo, solver preferido, partial fill</w:t>
      </w:r>
    </w:p>
    <w:p>
      <w:pPr>
        <w:pStyle w:val="ListParagraph"/>
        <w:numPr>
          <w:ilvl w:val="0"/>
          <w:numId w:val="2"/>
        </w:numPr>
        <w:spacing w:after="80" w:line="260" w:lineRule="auto"/>
      </w:pPr>
      <w:r>
        <w:rPr>
          <w:rFonts w:ascii="Arial" w:cs="Arial" w:eastAsia="Arial" w:hAnsi="Arial"/>
          <w:color w:val="1A1A2E"/>
          <w:sz w:val="20"/>
          <w:szCs w:val="20"/>
        </w:rPr>
        <w:t xml:space="preserve">Assinatura EIP-712 do usuario (autoriza a execucao sem custodia de fundos)</w:t>
      </w:r>
    </w:p>
    <w:p>
      <w:pPr>
        <w:spacing w:after="100"/>
      </w:pPr>
    </w:p>
    <w:p>
      <w:pPr>
        <w:spacing w:after="160" w:line="276" w:lineRule="auto"/>
        <w:jc w:val="both"/>
      </w:pPr>
      <w:r>
        <w:rPr>
          <w:rFonts w:ascii="Arial" w:cs="Arial" w:eastAsia="Arial" w:hAnsi="Arial"/>
          <w:color w:val="1A1A2E"/>
          <w:sz w:val="20"/>
          <w:szCs w:val="20"/>
        </w:rPr>
        <w:t xml:space="preserve">O design de intents tem uma propriedade fundamental de seguranca: o usuario nunca perde custodia de seus fundos ate que a execucao seja verificada. O settlement so ocorre quando o solver prova, on-chain, que entregou o resultado prometido ao destinatario.</w:t>
      </w:r>
    </w:p>
    <w:p>
      <w:pPr>
        <w:pStyle w:val="Heading2"/>
        <w:spacing w:after="140" w:before="300"/>
      </w:pPr>
      <w:r>
        <w:rPr>
          <w:rFonts w:ascii="Arial" w:cs="Arial" w:eastAsia="Arial" w:hAnsi="Arial"/>
          <w:b/>
          <w:bCs/>
          <w:color w:val="2D7DD2"/>
          <w:sz w:val="28"/>
          <w:szCs w:val="28"/>
        </w:rPr>
        <w:t xml:space="preserve">3.3 Fluxo Completo de Execucao</w:t>
      </w:r>
    </w:p>
    <w:p>
      <w:pPr>
        <w:spacing w:after="160" w:line="276" w:lineRule="auto"/>
        <w:jc w:val="both"/>
      </w:pPr>
      <w:r>
        <w:rPr>
          <w:rFonts w:ascii="Arial" w:cs="Arial" w:eastAsia="Arial" w:hAnsi="Arial"/>
          <w:color w:val="1A1A2E"/>
          <w:sz w:val="20"/>
          <w:szCs w:val="20"/>
        </w:rPr>
        <w:t xml:space="preserve">O diagrama abaixo descreve o fluxo completo de uma operacao no Vortex Protocol:</w:t>
      </w:r>
    </w:p>
    <w:p>
      <w:pPr>
        <w:spacing w:after="80"/>
      </w:pPr>
    </w:p>
    <w:p>
      <w:pPr>
        <w:pBdr>
          <w:top w:val="single" w:color="C5D5E8" w:sz="4"/>
          <w:bottom w:val="single" w:color="C5D5E8" w:sz="4"/>
          <w:left w:val="single" w:color="C5D5E8" w:sz="4"/>
          <w:right w:val="single" w:color="C5D5E8" w:sz="4"/>
        </w:pBdr>
        <w:shd w:fill="E8F1FB" w:val="clear"/>
        <w:spacing w:after="40" w:before="120" w:line="320" w:lineRule="auto"/>
        <w:ind w:left="360" w:right="360"/>
      </w:pPr>
      <w:r>
        <w:rPr>
          <w:rFonts w:ascii="Courier New" w:cs="Courier New" w:eastAsia="Courier New" w:hAnsi="Courier New"/>
          <w:b/>
          <w:bCs/>
          <w:color w:val="1A3C6E"/>
          <w:sz w:val="20"/>
          <w:szCs w:val="20"/>
        </w:rPr>
        <w:t xml:space="preserve">USUARIO</w:t>
      </w:r>
    </w:p>
    <w:p>
      <w:pPr>
        <w:shd w:fill="E8F1FB" w:val="clear"/>
        <w:spacing w:after="40" w:line="320" w:lineRule="auto"/>
        <w:ind w:left="360" w:right="360"/>
      </w:pPr>
      <w:r>
        <w:rPr>
          <w:rFonts w:ascii="Courier New" w:cs="Courier New" w:eastAsia="Courier New" w:hAnsi="Courier New"/>
          <w:color w:val="2D7DD2"/>
          <w:sz w:val="20"/>
          <w:szCs w:val="20"/>
        </w:rPr>
        <w:t xml:space="preserve">  |</w:t>
      </w:r>
    </w:p>
    <w:p>
      <w:pPr>
        <w:shd w:fill="E8F1FB" w:val="clear"/>
        <w:spacing w:after="40" w:line="320" w:lineRule="auto"/>
        <w:ind w:left="360" w:right="360"/>
      </w:pPr>
      <w:r>
        <w:rPr>
          <w:rFonts w:ascii="Courier New" w:cs="Courier New" w:eastAsia="Courier New" w:hAnsi="Courier New"/>
          <w:color w:val="1A1A2E"/>
          <w:sz w:val="20"/>
          <w:szCs w:val="20"/>
        </w:rPr>
        <w:t xml:space="preserve">  | (1) Submete Intent assinada (EIP-712)</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shd w:fill="E8F1FB" w:val="clear"/>
        <w:spacing w:after="40" w:line="320" w:lineRule="auto"/>
        <w:ind w:left="360" w:right="360"/>
      </w:pPr>
      <w:r>
        <w:rPr>
          <w:rFonts w:ascii="Courier New" w:cs="Courier New" w:eastAsia="Courier New" w:hAnsi="Courier New"/>
          <w:b/>
          <w:bCs/>
          <w:color w:val="1A3C6E"/>
          <w:sz w:val="20"/>
          <w:szCs w:val="20"/>
        </w:rPr>
        <w:t xml:space="preserve">VORTEX INTENT POOL (off-chain mempool)</w:t>
      </w:r>
    </w:p>
    <w:p>
      <w:pPr>
        <w:shd w:fill="E8F1FB" w:val="clear"/>
        <w:spacing w:after="40" w:line="320" w:lineRule="auto"/>
        <w:ind w:left="360" w:right="360"/>
      </w:pPr>
      <w:r>
        <w:rPr>
          <w:rFonts w:ascii="Courier New" w:cs="Courier New" w:eastAsia="Courier New" w:hAnsi="Courier New"/>
          <w:color w:val="2D7DD2"/>
          <w:sz w:val="20"/>
          <w:szCs w:val="20"/>
        </w:rPr>
        <w:t xml:space="preserve">  |</w:t>
      </w:r>
    </w:p>
    <w:p>
      <w:pPr>
        <w:shd w:fill="E8F1FB" w:val="clear"/>
        <w:spacing w:after="40" w:line="320" w:lineRule="auto"/>
        <w:ind w:left="360" w:right="360"/>
      </w:pPr>
      <w:r>
        <w:rPr>
          <w:rFonts w:ascii="Courier New" w:cs="Courier New" w:eastAsia="Courier New" w:hAnsi="Courier New"/>
          <w:color w:val="1A1A2E"/>
          <w:sz w:val="20"/>
          <w:szCs w:val="20"/>
        </w:rPr>
        <w:t xml:space="preserve">  | (2) Intent publicada; leilao Dutch iniciado</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shd w:fill="E8F1FB" w:val="clear"/>
        <w:spacing w:after="40" w:line="320" w:lineRule="auto"/>
        <w:ind w:left="360" w:right="360"/>
      </w:pPr>
      <w:r>
        <w:rPr>
          <w:rFonts w:ascii="Courier New" w:cs="Courier New" w:eastAsia="Courier New" w:hAnsi="Courier New"/>
          <w:b/>
          <w:bCs/>
          <w:color w:val="1A3C6E"/>
          <w:sz w:val="20"/>
          <w:szCs w:val="20"/>
        </w:rPr>
        <w:t xml:space="preserve">SOLVER NETWORK (S1, S2, S3...Sn em competicao)</w:t>
      </w:r>
    </w:p>
    <w:p>
      <w:pPr>
        <w:shd w:fill="E8F1FB" w:val="clear"/>
        <w:spacing w:after="40" w:line="320" w:lineRule="auto"/>
        <w:ind w:left="360" w:right="360"/>
      </w:pPr>
      <w:r>
        <w:rPr>
          <w:rFonts w:ascii="Courier New" w:cs="Courier New" w:eastAsia="Courier New" w:hAnsi="Courier New"/>
          <w:color w:val="1A1A2E"/>
          <w:sz w:val="20"/>
          <w:szCs w:val="20"/>
        </w:rPr>
        <w:t xml:space="preserve">  |  Cada solver avalia: rota, liquidez, gas, spread</w:t>
      </w:r>
    </w:p>
    <w:p>
      <w:pPr>
        <w:shd w:fill="E8F1FB" w:val="clear"/>
        <w:spacing w:after="40" w:line="320" w:lineRule="auto"/>
        <w:ind w:left="360" w:right="360"/>
      </w:pPr>
      <w:r>
        <w:rPr>
          <w:rFonts w:ascii="Courier New" w:cs="Courier New" w:eastAsia="Courier New" w:hAnsi="Courier New"/>
          <w:color w:val="1A1A2E"/>
          <w:sz w:val="20"/>
          <w:szCs w:val="20"/>
        </w:rPr>
        <w:t xml:space="preserve">  | (3) Melhor oferta ganha o leilao</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shd w:fill="E8F1FB" w:val="clear"/>
        <w:spacing w:after="40" w:line="320" w:lineRule="auto"/>
        <w:ind w:left="360" w:right="360"/>
      </w:pPr>
      <w:r>
        <w:rPr>
          <w:rFonts w:ascii="Courier New" w:cs="Courier New" w:eastAsia="Courier New" w:hAnsi="Courier New"/>
          <w:b/>
          <w:bCs/>
          <w:color w:val="1A3C6E"/>
          <w:sz w:val="20"/>
          <w:szCs w:val="20"/>
        </w:rPr>
        <w:t xml:space="preserve">SOLVER VENCEDOR</w:t>
      </w:r>
    </w:p>
    <w:p>
      <w:pPr>
        <w:shd w:fill="E8F1FB" w:val="clear"/>
        <w:spacing w:after="40" w:line="320" w:lineRule="auto"/>
        <w:ind w:left="360" w:right="360"/>
      </w:pPr>
      <w:r>
        <w:rPr>
          <w:rFonts w:ascii="Courier New" w:cs="Courier New" w:eastAsia="Courier New" w:hAnsi="Courier New"/>
          <w:color w:val="1A1A2E"/>
          <w:sz w:val="20"/>
          <w:szCs w:val="20"/>
        </w:rPr>
        <w:t xml:space="preserve">  |  (4) Executa operacao cross-chain (bridge + swap)</w:t>
      </w:r>
    </w:p>
    <w:p>
      <w:pPr>
        <w:shd w:fill="E8F1FB" w:val="clear"/>
        <w:spacing w:after="40" w:line="320" w:lineRule="auto"/>
        <w:ind w:left="360" w:right="360"/>
      </w:pPr>
      <w:r>
        <w:rPr>
          <w:rFonts w:ascii="Courier New" w:cs="Courier New" w:eastAsia="Courier New" w:hAnsi="Courier New"/>
          <w:color w:val="1A1A2E"/>
          <w:sz w:val="20"/>
          <w:szCs w:val="20"/>
        </w:rPr>
        <w:t xml:space="preserve">  |  (5) Entrega ativo de saida ao destinatario</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pBdr>
          <w:bottom w:val="single" w:color="C5D5E8" w:sz="4"/>
        </w:pBdr>
        <w:shd w:fill="E8F1FB" w:val="clear"/>
        <w:spacing w:after="120" w:line="320" w:lineRule="auto"/>
        <w:ind w:left="360" w:right="360"/>
      </w:pPr>
      <w:r>
        <w:rPr>
          <w:rFonts w:ascii="Courier New" w:cs="Courier New" w:eastAsia="Courier New" w:hAnsi="Courier New"/>
          <w:b/>
          <w:bCs/>
          <w:color w:val="1A3C6E"/>
          <w:sz w:val="20"/>
          <w:szCs w:val="20"/>
        </w:rPr>
        <w:t xml:space="preserve">SETTLEMENT (VortexRouter verifica + libera fee para solver)</w:t>
      </w:r>
    </w:p>
    <w:p>
      <w:pPr>
        <w:spacing w:after="160"/>
      </w:pPr>
    </w:p>
    <w:p>
      <w:r>
        <w:br w:type="page"/>
      </w:r>
    </w:p>
    <w:p>
      <w:pPr>
        <w:pStyle w:val="Heading1"/>
        <w:spacing w:after="200" w:before="400"/>
      </w:pPr>
      <w:r>
        <w:rPr>
          <w:rFonts w:ascii="Arial" w:cs="Arial" w:eastAsia="Arial" w:hAnsi="Arial"/>
          <w:b/>
          <w:bCs/>
          <w:color w:val="1A3C6E"/>
          <w:sz w:val="36"/>
          <w:szCs w:val="36"/>
        </w:rPr>
        <w:t xml:space="preserve">Arquitetura Tecnica</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4.1 Camada de Intents (EIP-712)</w:t>
      </w:r>
    </w:p>
    <w:p>
      <w:pPr>
        <w:spacing w:after="160" w:line="276" w:lineRule="auto"/>
        <w:jc w:val="both"/>
      </w:pPr>
      <w:r>
        <w:rPr>
          <w:rFonts w:ascii="Arial" w:cs="Arial" w:eastAsia="Arial" w:hAnsi="Arial"/>
          <w:color w:val="1A1A2E"/>
          <w:sz w:val="20"/>
          <w:szCs w:val="20"/>
        </w:rPr>
        <w:t xml:space="preserve">A Camada de Intents e o ponto de entrada do protocolo. Quando um usuario deseja executar uma operacao, assina localmente uma estrutura de dados tipada conforme o padrao EIP-712 (Ethereum Improvement Proposal 712), que define um metodo para hashing e assinatura de dados estruturados de forma legivel e segura.</w:t>
      </w:r>
    </w:p>
    <w:p>
      <w:pPr>
        <w:spacing w:after="160" w:line="276" w:lineRule="auto"/>
        <w:jc w:val="both"/>
      </w:pPr>
      <w:r>
        <w:rPr>
          <w:rFonts w:ascii="Arial" w:cs="Arial" w:eastAsia="Arial" w:hAnsi="Arial"/>
          <w:color w:val="1A1A2E"/>
          <w:sz w:val="20"/>
          <w:szCs w:val="20"/>
        </w:rPr>
        <w:t xml:space="preserve">A estrutura de uma VortexIntent contem os seguintes campos tipados:</w:t>
      </w:r>
    </w:p>
    <w:p>
      <w:pPr>
        <w:pStyle w:val="ListParagraph"/>
        <w:numPr>
          <w:ilvl w:val="0"/>
          <w:numId w:val="2"/>
        </w:numPr>
        <w:spacing w:after="80" w:line="260" w:lineRule="auto"/>
      </w:pPr>
      <w:r>
        <w:rPr>
          <w:rFonts w:ascii="Arial" w:cs="Arial" w:eastAsia="Arial" w:hAnsi="Arial"/>
          <w:color w:val="1A1A2E"/>
          <w:sz w:val="20"/>
          <w:szCs w:val="20"/>
        </w:rPr>
        <w:t xml:space="preserve">address user — endereco do usuario remetente</w:t>
      </w:r>
    </w:p>
    <w:p>
      <w:pPr>
        <w:pStyle w:val="ListParagraph"/>
        <w:numPr>
          <w:ilvl w:val="0"/>
          <w:numId w:val="2"/>
        </w:numPr>
        <w:spacing w:after="80" w:line="260" w:lineRule="auto"/>
      </w:pPr>
      <w:r>
        <w:rPr>
          <w:rFonts w:ascii="Arial" w:cs="Arial" w:eastAsia="Arial" w:hAnsi="Arial"/>
          <w:color w:val="1A1A2E"/>
          <w:sz w:val="20"/>
          <w:szCs w:val="20"/>
        </w:rPr>
        <w:t xml:space="preserve">address tokenIn — contrato do token de entrada (address(0) para ETH nativo)</w:t>
      </w:r>
    </w:p>
    <w:p>
      <w:pPr>
        <w:pStyle w:val="ListParagraph"/>
        <w:numPr>
          <w:ilvl w:val="0"/>
          <w:numId w:val="2"/>
        </w:numPr>
        <w:spacing w:after="80" w:line="260" w:lineRule="auto"/>
      </w:pPr>
      <w:r>
        <w:rPr>
          <w:rFonts w:ascii="Arial" w:cs="Arial" w:eastAsia="Arial" w:hAnsi="Arial"/>
          <w:color w:val="1A1A2E"/>
          <w:sz w:val="20"/>
          <w:szCs w:val="20"/>
        </w:rPr>
        <w:t xml:space="preserve">uint256 chainIdIn — identificador da chain de origem</w:t>
      </w:r>
    </w:p>
    <w:p>
      <w:pPr>
        <w:pStyle w:val="ListParagraph"/>
        <w:numPr>
          <w:ilvl w:val="0"/>
          <w:numId w:val="2"/>
        </w:numPr>
        <w:spacing w:after="80" w:line="260" w:lineRule="auto"/>
      </w:pPr>
      <w:r>
        <w:rPr>
          <w:rFonts w:ascii="Arial" w:cs="Arial" w:eastAsia="Arial" w:hAnsi="Arial"/>
          <w:color w:val="1A1A2E"/>
          <w:sz w:val="20"/>
          <w:szCs w:val="20"/>
        </w:rPr>
        <w:t xml:space="preserve">uint256 amountIn — quantidade exata de tokens a ser enviada</w:t>
      </w:r>
    </w:p>
    <w:p>
      <w:pPr>
        <w:pStyle w:val="ListParagraph"/>
        <w:numPr>
          <w:ilvl w:val="0"/>
          <w:numId w:val="2"/>
        </w:numPr>
        <w:spacing w:after="80" w:line="260" w:lineRule="auto"/>
      </w:pPr>
      <w:r>
        <w:rPr>
          <w:rFonts w:ascii="Arial" w:cs="Arial" w:eastAsia="Arial" w:hAnsi="Arial"/>
          <w:color w:val="1A1A2E"/>
          <w:sz w:val="20"/>
          <w:szCs w:val="20"/>
        </w:rPr>
        <w:t xml:space="preserve">address tokenOut — contrato do token desejado na chain de destino</w:t>
      </w:r>
    </w:p>
    <w:p>
      <w:pPr>
        <w:pStyle w:val="ListParagraph"/>
        <w:numPr>
          <w:ilvl w:val="0"/>
          <w:numId w:val="2"/>
        </w:numPr>
        <w:spacing w:after="80" w:line="260" w:lineRule="auto"/>
      </w:pPr>
      <w:r>
        <w:rPr>
          <w:rFonts w:ascii="Arial" w:cs="Arial" w:eastAsia="Arial" w:hAnsi="Arial"/>
          <w:color w:val="1A1A2E"/>
          <w:sz w:val="20"/>
          <w:szCs w:val="20"/>
        </w:rPr>
        <w:t xml:space="preserve">uint256 chainIdOut — identificador da chain de destino</w:t>
      </w:r>
    </w:p>
    <w:p>
      <w:pPr>
        <w:pStyle w:val="ListParagraph"/>
        <w:numPr>
          <w:ilvl w:val="0"/>
          <w:numId w:val="2"/>
        </w:numPr>
        <w:spacing w:after="80" w:line="260" w:lineRule="auto"/>
      </w:pPr>
      <w:r>
        <w:rPr>
          <w:rFonts w:ascii="Arial" w:cs="Arial" w:eastAsia="Arial" w:hAnsi="Arial"/>
          <w:color w:val="1A1A2E"/>
          <w:sz w:val="20"/>
          <w:szCs w:val="20"/>
        </w:rPr>
        <w:t xml:space="preserve">uint256 minAmountOut — quantidade minima aceitavel (protecao contra slippage)</w:t>
      </w:r>
    </w:p>
    <w:p>
      <w:pPr>
        <w:pStyle w:val="ListParagraph"/>
        <w:numPr>
          <w:ilvl w:val="0"/>
          <w:numId w:val="2"/>
        </w:numPr>
        <w:spacing w:after="80" w:line="260" w:lineRule="auto"/>
      </w:pPr>
      <w:r>
        <w:rPr>
          <w:rFonts w:ascii="Arial" w:cs="Arial" w:eastAsia="Arial" w:hAnsi="Arial"/>
          <w:color w:val="1A1A2E"/>
          <w:sz w:val="20"/>
          <w:szCs w:val="20"/>
        </w:rPr>
        <w:t xml:space="preserve">address recipient — endereco de destino (pode ser diferente do usuario)</w:t>
      </w:r>
    </w:p>
    <w:p>
      <w:pPr>
        <w:pStyle w:val="ListParagraph"/>
        <w:numPr>
          <w:ilvl w:val="0"/>
          <w:numId w:val="2"/>
        </w:numPr>
        <w:spacing w:after="80" w:line="260" w:lineRule="auto"/>
      </w:pPr>
      <w:r>
        <w:rPr>
          <w:rFonts w:ascii="Arial" w:cs="Arial" w:eastAsia="Arial" w:hAnsi="Arial"/>
          <w:color w:val="1A1A2E"/>
          <w:sz w:val="20"/>
          <w:szCs w:val="20"/>
        </w:rPr>
        <w:t xml:space="preserve">uint256 deadline — timestamp de expiracao da intent</w:t>
      </w:r>
    </w:p>
    <w:p>
      <w:pPr>
        <w:pStyle w:val="ListParagraph"/>
        <w:numPr>
          <w:ilvl w:val="0"/>
          <w:numId w:val="2"/>
        </w:numPr>
        <w:spacing w:after="80" w:line="260" w:lineRule="auto"/>
      </w:pPr>
      <w:r>
        <w:rPr>
          <w:rFonts w:ascii="Arial" w:cs="Arial" w:eastAsia="Arial" w:hAnsi="Arial"/>
          <w:color w:val="1A1A2E"/>
          <w:sz w:val="20"/>
          <w:szCs w:val="20"/>
        </w:rPr>
        <w:t xml:space="preserve">bytes32 nonce — valor unico para prevenir replay attacks</w:t>
      </w:r>
    </w:p>
    <w:p>
      <w:pPr>
        <w:pStyle w:val="ListParagraph"/>
        <w:numPr>
          <w:ilvl w:val="0"/>
          <w:numId w:val="2"/>
        </w:numPr>
        <w:spacing w:after="80" w:line="260" w:lineRule="auto"/>
      </w:pPr>
      <w:r>
        <w:rPr>
          <w:rFonts w:ascii="Arial" w:cs="Arial" w:eastAsia="Arial" w:hAnsi="Arial"/>
          <w:color w:val="1A1A2E"/>
          <w:sz w:val="20"/>
          <w:szCs w:val="20"/>
        </w:rPr>
        <w:t xml:space="preserve">bytes signature — assinatura ECDSA do usuario sobre o hash EIP-712</w:t>
      </w:r>
    </w:p>
    <w:p>
      <w:pPr>
        <w:spacing w:after="100"/>
      </w:pPr>
    </w:p>
    <w:p>
      <w:pPr>
        <w:spacing w:after="160" w:line="276" w:lineRule="auto"/>
        <w:jc w:val="both"/>
      </w:pPr>
      <w:r>
        <w:rPr>
          <w:rFonts w:ascii="Arial" w:cs="Arial" w:eastAsia="Arial" w:hAnsi="Arial"/>
          <w:color w:val="1A1A2E"/>
          <w:sz w:val="20"/>
          <w:szCs w:val="20"/>
        </w:rPr>
        <w:t xml:space="preserve">O hash EIP-712 incorpora o domain separator especifico do Vortex Protocol, garantindo que assinaturas validas em um contexto nao possam ser reutilizadas em outros contratos ou chains. Apos criada e assinada, a intent e transmitida ao Intent Pool — uma rede off-chain de nos que atuam como mempool de intents, analogamente ao mempool de transacoes do Ethereum.</w:t>
      </w:r>
    </w:p>
    <w:p>
      <w:pPr>
        <w:spacing w:after="160" w:line="276" w:lineRule="auto"/>
        <w:jc w:val="both"/>
      </w:pPr>
      <w:r>
        <w:rPr>
          <w:rFonts w:ascii="Arial" w:cs="Arial" w:eastAsia="Arial" w:hAnsi="Arial"/>
          <w:color w:val="1A1A2E"/>
          <w:sz w:val="20"/>
          <w:szCs w:val="20"/>
        </w:rPr>
        <w:t xml:space="preserve">Intents expiradas, malformadas ou com assinatura invalida sao rejeitadas antes de entrar no leilao. A verificacao criptografica e feita pelos solvers off-chain e, de forma definitiva, pelo VortexRouter on-chain no momento do settlement.</w:t>
      </w:r>
    </w:p>
    <w:p>
      <w:pPr>
        <w:pStyle w:val="Heading2"/>
        <w:spacing w:after="140" w:before="300"/>
      </w:pPr>
      <w:r>
        <w:rPr>
          <w:rFonts w:ascii="Arial" w:cs="Arial" w:eastAsia="Arial" w:hAnsi="Arial"/>
          <w:b/>
          <w:bCs/>
          <w:color w:val="2D7DD2"/>
          <w:sz w:val="28"/>
          <w:szCs w:val="28"/>
        </w:rPr>
        <w:t xml:space="preserve">4.2 Rede de Solvers</w:t>
      </w:r>
    </w:p>
    <w:p>
      <w:pPr>
        <w:spacing w:after="160" w:line="276" w:lineRule="auto"/>
        <w:jc w:val="both"/>
      </w:pPr>
      <w:r>
        <w:rPr>
          <w:rFonts w:ascii="Arial" w:cs="Arial" w:eastAsia="Arial" w:hAnsi="Arial"/>
          <w:color w:val="1A1A2E"/>
          <w:sz w:val="20"/>
          <w:szCs w:val="20"/>
        </w:rPr>
        <w:t xml:space="preserve">Solvers sao agentes economicos — individuos, fundos de market making, protocolos ou sistemas automatizados — que se registram no Vortex Protocol depositando um bond minimo de 10,000 VTX em staking. Esse deposito serve como garantia de comportamento correto: desvios do output prometido resultam em slashing proporcional ao dano causado ao usuario.</w:t>
      </w:r>
    </w:p>
    <w:p>
      <w:pPr>
        <w:spacing w:after="160" w:line="276" w:lineRule="auto"/>
        <w:jc w:val="both"/>
      </w:pPr>
      <w:r>
        <w:rPr>
          <w:rFonts w:ascii="Arial" w:cs="Arial" w:eastAsia="Arial" w:hAnsi="Arial"/>
          <w:color w:val="1A1A2E"/>
          <w:sz w:val="20"/>
          <w:szCs w:val="20"/>
        </w:rPr>
        <w:t xml:space="preserve">Para participar da rede, um solver deve:</w:t>
      </w:r>
    </w:p>
    <w:p>
      <w:pPr>
        <w:pStyle w:val="ListParagraph"/>
        <w:numPr>
          <w:ilvl w:val="0"/>
          <w:numId w:val="2"/>
        </w:numPr>
        <w:spacing w:after="80" w:line="260" w:lineRule="auto"/>
      </w:pPr>
      <w:r>
        <w:rPr>
          <w:rFonts w:ascii="Arial" w:cs="Arial" w:eastAsia="Arial" w:hAnsi="Arial"/>
          <w:color w:val="1A1A2E"/>
          <w:sz w:val="20"/>
          <w:szCs w:val="20"/>
        </w:rPr>
        <w:t xml:space="preserve">Depositar stake minimo de 10,000 VTX no contrato VortexStaking</w:t>
      </w:r>
    </w:p>
    <w:p>
      <w:pPr>
        <w:pStyle w:val="ListParagraph"/>
        <w:numPr>
          <w:ilvl w:val="0"/>
          <w:numId w:val="2"/>
        </w:numPr>
        <w:spacing w:after="80" w:line="260" w:lineRule="auto"/>
      </w:pPr>
      <w:r>
        <w:rPr>
          <w:rFonts w:ascii="Arial" w:cs="Arial" w:eastAsia="Arial" w:hAnsi="Arial"/>
          <w:color w:val="1A1A2E"/>
          <w:sz w:val="20"/>
          <w:szCs w:val="20"/>
        </w:rPr>
        <w:t xml:space="preserve">Registrar endpoints de disponibilidade (webhook ou polling API)</w:t>
      </w:r>
    </w:p>
    <w:p>
      <w:pPr>
        <w:pStyle w:val="ListParagraph"/>
        <w:numPr>
          <w:ilvl w:val="0"/>
          <w:numId w:val="2"/>
        </w:numPr>
        <w:spacing w:after="80" w:line="260" w:lineRule="auto"/>
      </w:pPr>
      <w:r>
        <w:rPr>
          <w:rFonts w:ascii="Arial" w:cs="Arial" w:eastAsia="Arial" w:hAnsi="Arial"/>
          <w:color w:val="1A1A2E"/>
          <w:sz w:val="20"/>
          <w:szCs w:val="20"/>
        </w:rPr>
        <w:t xml:space="preserve">Manter liquidez suficiente nas chains suportadas para executar intents</w:t>
      </w:r>
    </w:p>
    <w:p>
      <w:pPr>
        <w:pStyle w:val="ListParagraph"/>
        <w:numPr>
          <w:ilvl w:val="0"/>
          <w:numId w:val="2"/>
        </w:numPr>
        <w:spacing w:after="80" w:line="260" w:lineRule="auto"/>
      </w:pPr>
      <w:r>
        <w:rPr>
          <w:rFonts w:ascii="Arial" w:cs="Arial" w:eastAsia="Arial" w:hAnsi="Arial"/>
          <w:color w:val="1A1A2E"/>
          <w:sz w:val="20"/>
          <w:szCs w:val="20"/>
        </w:rPr>
        <w:t xml:space="preserve">Assinar termos de participacao on-chain (contrato de adesao)</w:t>
      </w:r>
    </w:p>
    <w:p>
      <w:pPr>
        <w:spacing w:after="100"/>
      </w:pPr>
    </w:p>
    <w:p>
      <w:pPr>
        <w:spacing w:after="160" w:line="276" w:lineRule="auto"/>
        <w:jc w:val="both"/>
      </w:pPr>
      <w:r>
        <w:rPr>
          <w:rFonts w:ascii="Arial" w:cs="Arial" w:eastAsia="Arial" w:hAnsi="Arial"/>
          <w:color w:val="1A1A2E"/>
          <w:sz w:val="20"/>
          <w:szCs w:val="20"/>
        </w:rPr>
        <w:t xml:space="preserve">Solvers mais sofisticados desenvolvem sistemas proprios de roteamento que consultam: liquidez em AMMs (Uniswap v3, Curve, Orca), orderbooks de DEXs com book de ordens (dYdX, Vertex), rates de bridges (Stargate, Across, Wormhole), e precos de gas em diferentes redes. A qualidade do algoritmo de roteamento de um solver e seu principal diferencial competitivo.</w:t>
      </w:r>
    </w:p>
    <w:p>
      <w:pPr>
        <w:pStyle w:val="Heading2"/>
        <w:spacing w:after="140" w:before="300"/>
      </w:pPr>
      <w:r>
        <w:rPr>
          <w:rFonts w:ascii="Arial" w:cs="Arial" w:eastAsia="Arial" w:hAnsi="Arial"/>
          <w:b/>
          <w:bCs/>
          <w:color w:val="2D7DD2"/>
          <w:sz w:val="28"/>
          <w:szCs w:val="28"/>
        </w:rPr>
        <w:t xml:space="preserve">4.3 Mecanismo de Leilao (Dutch Auction)</w:t>
      </w:r>
    </w:p>
    <w:p>
      <w:pPr>
        <w:spacing w:after="160" w:line="276" w:lineRule="auto"/>
        <w:jc w:val="both"/>
      </w:pPr>
      <w:r>
        <w:rPr>
          <w:rFonts w:ascii="Arial" w:cs="Arial" w:eastAsia="Arial" w:hAnsi="Arial"/>
          <w:color w:val="1A1A2E"/>
          <w:sz w:val="20"/>
          <w:szCs w:val="20"/>
        </w:rPr>
        <w:t xml:space="preserve">O mecanismo de alocacao de intents a solvers e um Dutch Auction (leilao holandes) temporal. O funcionamento e o seguinte:</w:t>
      </w:r>
    </w:p>
    <w:p>
      <w:pPr>
        <w:pStyle w:val="ListParagraph"/>
        <w:numPr>
          <w:ilvl w:val="0"/>
          <w:numId w:val="2"/>
        </w:numPr>
        <w:spacing w:after="80" w:line="260" w:lineRule="auto"/>
      </w:pPr>
      <w:r>
        <w:rPr>
          <w:rFonts w:ascii="Arial" w:cs="Arial" w:eastAsia="Arial" w:hAnsi="Arial"/>
          <w:color w:val="1A1A2E"/>
          <w:sz w:val="20"/>
          <w:szCs w:val="20"/>
        </w:rPr>
        <w:t xml:space="preserve">Quando uma intent e publicada no pool, o leilao inicia com parametros definidos pela propria intent (ex: 'pelo menos 1,950 USDC para 1 ETH')</w:t>
      </w:r>
    </w:p>
    <w:p>
      <w:pPr>
        <w:pStyle w:val="ListParagraph"/>
        <w:numPr>
          <w:ilvl w:val="0"/>
          <w:numId w:val="2"/>
        </w:numPr>
        <w:spacing w:after="80" w:line="260" w:lineRule="auto"/>
      </w:pPr>
      <w:r>
        <w:rPr>
          <w:rFonts w:ascii="Arial" w:cs="Arial" w:eastAsia="Arial" w:hAnsi="Arial"/>
          <w:color w:val="1A1A2E"/>
          <w:sz w:val="20"/>
          <w:szCs w:val="20"/>
        </w:rPr>
        <w:t xml:space="preserve">O 'preco' do leilao aumenta progressivamente ao longo do tempo: nos primeiros segundos, solvers precisam oferecer output proximo do minAmountOut; apos alguns blocos, o leilao aceita ofertas piores para garantir execucao dentro do deadline</w:t>
      </w:r>
    </w:p>
    <w:p>
      <w:pPr>
        <w:pStyle w:val="ListParagraph"/>
        <w:numPr>
          <w:ilvl w:val="0"/>
          <w:numId w:val="2"/>
        </w:numPr>
        <w:spacing w:after="80" w:line="260" w:lineRule="auto"/>
      </w:pPr>
      <w:r>
        <w:rPr>
          <w:rFonts w:ascii="Arial" w:cs="Arial" w:eastAsia="Arial" w:hAnsi="Arial"/>
          <w:color w:val="1A1A2E"/>
          <w:sz w:val="20"/>
          <w:szCs w:val="20"/>
        </w:rPr>
        <w:t xml:space="preserve">O primeiro solver a submeter uma oferta valida — que atenda o minAmountOut no momento da submissao — 'ganha' o direito exclusivo de executar aquela intent</w:t>
      </w:r>
    </w:p>
    <w:p>
      <w:pPr>
        <w:pStyle w:val="ListParagraph"/>
        <w:numPr>
          <w:ilvl w:val="0"/>
          <w:numId w:val="2"/>
        </w:numPr>
        <w:spacing w:after="80" w:line="260" w:lineRule="auto"/>
      </w:pPr>
      <w:r>
        <w:rPr>
          <w:rFonts w:ascii="Arial" w:cs="Arial" w:eastAsia="Arial" w:hAnsi="Arial"/>
          <w:color w:val="1A1A2E"/>
          <w:sz w:val="20"/>
          <w:szCs w:val="20"/>
        </w:rPr>
        <w:t xml:space="preserve">Solvers monitoram o leilao em tempo real e submetem ofertas quando calculam que podem executar de forma rentavel, ou seja, quando o spread entre o custo de execucao e o output prometido e positivo</w:t>
      </w:r>
    </w:p>
    <w:p>
      <w:pPr>
        <w:spacing w:after="100"/>
      </w:pPr>
    </w:p>
    <w:p>
      <w:pPr>
        <w:spacing w:after="160" w:line="276" w:lineRule="auto"/>
        <w:jc w:val="both"/>
      </w:pPr>
      <w:r>
        <w:rPr>
          <w:rFonts w:ascii="Arial" w:cs="Arial" w:eastAsia="Arial" w:hAnsi="Arial"/>
          <w:color w:val="1A1A2E"/>
          <w:sz w:val="20"/>
          <w:szCs w:val="20"/>
        </w:rPr>
        <w:t xml:space="preserve">A estrutura de Dutch Auction foi escolhida por equilibrar eficiencia de mercado (incentiva solvers a submeter ofertas rapido quando a execucao e rentavel) com garantia de execucao (leilao fica progressivamente mais 'generoso' para solvers, garantindo que haja sempre um solver disposto a executar).</w:t>
      </w:r>
    </w:p>
    <w:p>
      <w:pPr>
        <w:spacing w:after="160" w:line="276" w:lineRule="auto"/>
        <w:jc w:val="both"/>
      </w:pPr>
      <w:r>
        <w:rPr>
          <w:rFonts w:ascii="Arial" w:cs="Arial" w:eastAsia="Arial" w:hAnsi="Arial"/>
          <w:color w:val="1A1A2E"/>
          <w:sz w:val="20"/>
          <w:szCs w:val="20"/>
        </w:rPr>
        <w:t xml:space="preserve">Em caso de nao execucao dentro do deadline (ausencia de solvers disponiveis), a intent expira sem custo para o usuario — os fundos permanecem integralmente em sua posse, pois o protocolo nunca tem custodia dos ativos de entrada.</w:t>
      </w:r>
    </w:p>
    <w:p>
      <w:pPr>
        <w:pStyle w:val="Heading2"/>
        <w:spacing w:after="140" w:before="300"/>
      </w:pPr>
      <w:r>
        <w:rPr>
          <w:rFonts w:ascii="Arial" w:cs="Arial" w:eastAsia="Arial" w:hAnsi="Arial"/>
          <w:b/>
          <w:bCs/>
          <w:color w:val="2D7DD2"/>
          <w:sz w:val="28"/>
          <w:szCs w:val="28"/>
        </w:rPr>
        <w:t xml:space="preserve">4.4 Settlement Cross-Chain</w:t>
      </w:r>
    </w:p>
    <w:p>
      <w:pPr>
        <w:spacing w:after="160" w:line="276" w:lineRule="auto"/>
        <w:jc w:val="both"/>
      </w:pPr>
      <w:r>
        <w:rPr>
          <w:rFonts w:ascii="Arial" w:cs="Arial" w:eastAsia="Arial" w:hAnsi="Arial"/>
          <w:color w:val="1A1A2E"/>
          <w:sz w:val="20"/>
          <w:szCs w:val="20"/>
        </w:rPr>
        <w:t xml:space="preserve">O settlement e o processo de verificacao e liquidacao de uma intent executada. O VortexRouter — o contrato central do protocolo — atua como juiz da execucao. O fluxo de settlement envolve:</w:t>
      </w:r>
    </w:p>
    <w:p>
      <w:pPr>
        <w:pStyle w:val="ListParagraph"/>
        <w:numPr>
          <w:ilvl w:val="0"/>
          <w:numId w:val="2"/>
        </w:numPr>
        <w:spacing w:after="80" w:line="260" w:lineRule="auto"/>
      </w:pPr>
      <w:r>
        <w:rPr>
          <w:rFonts w:ascii="Arial" w:cs="Arial" w:eastAsia="Arial" w:hAnsi="Arial"/>
          <w:color w:val="1A1A2E"/>
          <w:sz w:val="20"/>
          <w:szCs w:val="20"/>
        </w:rPr>
        <w:t xml:space="preserve">O solver executa a operacao cross-chain utilizando seus proprios recursos (bridges, swaps, liquidez propria)</w:t>
      </w:r>
    </w:p>
    <w:p>
      <w:pPr>
        <w:pStyle w:val="ListParagraph"/>
        <w:numPr>
          <w:ilvl w:val="0"/>
          <w:numId w:val="2"/>
        </w:numPr>
        <w:spacing w:after="80" w:line="260" w:lineRule="auto"/>
      </w:pPr>
      <w:r>
        <w:rPr>
          <w:rFonts w:ascii="Arial" w:cs="Arial" w:eastAsia="Arial" w:hAnsi="Arial"/>
          <w:color w:val="1A1A2E"/>
          <w:sz w:val="20"/>
          <w:szCs w:val="20"/>
        </w:rPr>
        <w:t xml:space="preserve">Apos entregar o ativo de saida ao recipient na chain de destino, o solver submete uma prova de execucao ao VortexRouter na chain de origem</w:t>
      </w:r>
    </w:p>
    <w:p>
      <w:pPr>
        <w:pStyle w:val="ListParagraph"/>
        <w:numPr>
          <w:ilvl w:val="0"/>
          <w:numId w:val="2"/>
        </w:numPr>
        <w:spacing w:after="80" w:line="260" w:lineRule="auto"/>
      </w:pPr>
      <w:r>
        <w:rPr>
          <w:rFonts w:ascii="Arial" w:cs="Arial" w:eastAsia="Arial" w:hAnsi="Arial"/>
          <w:color w:val="1A1A2E"/>
          <w:sz w:val="20"/>
          <w:szCs w:val="20"/>
        </w:rPr>
        <w:t xml:space="preserve">A prova inclui: hash da intent, transaction hash na chain de destino, quantidade entregue, e timestamp da entrega</w:t>
      </w:r>
    </w:p>
    <w:p>
      <w:pPr>
        <w:pStyle w:val="ListParagraph"/>
        <w:numPr>
          <w:ilvl w:val="0"/>
          <w:numId w:val="2"/>
        </w:numPr>
        <w:spacing w:after="80" w:line="260" w:lineRule="auto"/>
      </w:pPr>
      <w:r>
        <w:rPr>
          <w:rFonts w:ascii="Arial" w:cs="Arial" w:eastAsia="Arial" w:hAnsi="Arial"/>
          <w:color w:val="1A1A2E"/>
          <w:sz w:val="20"/>
          <w:szCs w:val="20"/>
        </w:rPr>
        <w:t xml:space="preserve">Um sistema de mensageria cross-chain (LayerZero, Wormhole ou Axelar, configuravel por chain) verifica a prova de forma trustless</w:t>
      </w:r>
    </w:p>
    <w:p>
      <w:pPr>
        <w:pStyle w:val="ListParagraph"/>
        <w:numPr>
          <w:ilvl w:val="0"/>
          <w:numId w:val="2"/>
        </w:numPr>
        <w:spacing w:after="80" w:line="260" w:lineRule="auto"/>
      </w:pPr>
      <w:r>
        <w:rPr>
          <w:rFonts w:ascii="Arial" w:cs="Arial" w:eastAsia="Arial" w:hAnsi="Arial"/>
          <w:color w:val="1A1A2E"/>
          <w:sz w:val="20"/>
          <w:szCs w:val="20"/>
        </w:rPr>
        <w:t xml:space="preserve">Confirmada a execucao, o VortexRouter libera a fee ao solver e registra a intent como 'settled' no estado on-chain</w:t>
      </w:r>
    </w:p>
    <w:p>
      <w:pPr>
        <w:spacing w:after="100"/>
      </w:pPr>
    </w:p>
    <w:p>
      <w:pPr>
        <w:spacing w:after="160" w:line="276" w:lineRule="auto"/>
        <w:jc w:val="both"/>
      </w:pPr>
      <w:r>
        <w:rPr>
          <w:rFonts w:ascii="Arial" w:cs="Arial" w:eastAsia="Arial" w:hAnsi="Arial"/>
          <w:color w:val="1A1A2E"/>
          <w:sz w:val="20"/>
          <w:szCs w:val="20"/>
        </w:rPr>
        <w:t xml:space="preserve">Se o solver nao comprovar execucao dentro de um periodo de graca (tipicamente 30 minutos apos o deadline), seu bond e parcialmente slashado e a intent e reaberta para outros solvers ou devolvida ao usuario.</w:t>
      </w:r>
    </w:p>
    <w:p>
      <w:pPr>
        <w:pStyle w:val="Heading2"/>
        <w:spacing w:after="140" w:before="300"/>
      </w:pPr>
      <w:r>
        <w:rPr>
          <w:rFonts w:ascii="Arial" w:cs="Arial" w:eastAsia="Arial" w:hAnsi="Arial"/>
          <w:b/>
          <w:bCs/>
          <w:color w:val="2D7DD2"/>
          <w:sz w:val="28"/>
          <w:szCs w:val="28"/>
        </w:rPr>
        <w:t xml:space="preserve">4.5 Smart Contracts</w:t>
      </w:r>
    </w:p>
    <w:p>
      <w:pPr>
        <w:pStyle w:val="Heading3"/>
        <w:spacing w:after="100" w:before="200"/>
      </w:pPr>
      <w:r>
        <w:rPr>
          <w:rFonts w:ascii="Arial" w:cs="Arial" w:eastAsia="Arial" w:hAnsi="Arial"/>
          <w:b/>
          <w:bCs/>
          <w:color w:val="1A3C6E"/>
          <w:sz w:val="22"/>
          <w:szCs w:val="22"/>
        </w:rPr>
        <w:t xml:space="preserve">VTX Token (ERC-20)</w:t>
      </w:r>
    </w:p>
    <w:p>
      <w:pPr>
        <w:spacing w:after="160" w:line="276" w:lineRule="auto"/>
        <w:jc w:val="both"/>
      </w:pPr>
      <w:r>
        <w:rPr>
          <w:rFonts w:ascii="Arial" w:cs="Arial" w:eastAsia="Arial" w:hAnsi="Arial"/>
          <w:color w:val="1A1A2E"/>
          <w:sz w:val="20"/>
          <w:szCs w:val="20"/>
        </w:rPr>
        <w:t xml:space="preserve">O contrato VTX implementa o padrao ERC-20 com supply fixo pre-mintado no deployment. Nao ha funcao de mint() apos o deployment inicial. Suporta EIP-2612 (permit()) para aprovacoes gasless. O contrato e nao-upgradeable e auditado. Endereco de deployment sera publicado no TGE.</w:t>
      </w:r>
    </w:p>
    <w:p>
      <w:pPr>
        <w:pStyle w:val="Heading3"/>
        <w:spacing w:after="100" w:before="200"/>
      </w:pPr>
      <w:r>
        <w:rPr>
          <w:rFonts w:ascii="Arial" w:cs="Arial" w:eastAsia="Arial" w:hAnsi="Arial"/>
          <w:b/>
          <w:bCs/>
          <w:color w:val="1A3C6E"/>
          <w:sz w:val="22"/>
          <w:szCs w:val="22"/>
        </w:rPr>
        <w:t xml:space="preserve">VortexRouter</w:t>
      </w:r>
    </w:p>
    <w:p>
      <w:pPr>
        <w:spacing w:after="160" w:line="276" w:lineRule="auto"/>
        <w:jc w:val="both"/>
      </w:pPr>
      <w:r>
        <w:rPr>
          <w:rFonts w:ascii="Arial" w:cs="Arial" w:eastAsia="Arial" w:hAnsi="Arial"/>
          <w:color w:val="1A1A2E"/>
          <w:sz w:val="20"/>
          <w:szCs w:val="20"/>
        </w:rPr>
        <w:t xml:space="preserve">Contrato central responsavel por: verificar assinaturas EIP-712 de intents; gerenciar o ciclo de vida de cada intent (pending, filled, expired, cancelled); processar settlement mediante prova de execucao cross-chain; calcular e distribuir fees (70% stakers / 20% tesouro / 10% operacoes); emitir eventos on-chain para indexacao. Implementado como proxy upgradeable (EIP-1967) controlado pelo VortexGovernor via timelock.</w:t>
      </w:r>
    </w:p>
    <w:p>
      <w:pPr>
        <w:pStyle w:val="Heading3"/>
        <w:spacing w:after="100" w:before="200"/>
      </w:pPr>
      <w:r>
        <w:rPr>
          <w:rFonts w:ascii="Arial" w:cs="Arial" w:eastAsia="Arial" w:hAnsi="Arial"/>
          <w:b/>
          <w:bCs/>
          <w:color w:val="1A3C6E"/>
          <w:sz w:val="22"/>
          <w:szCs w:val="22"/>
        </w:rPr>
        <w:t xml:space="preserve">VortexStaking</w:t>
      </w:r>
    </w:p>
    <w:p>
      <w:pPr>
        <w:spacing w:after="160" w:line="276" w:lineRule="auto"/>
        <w:jc w:val="both"/>
      </w:pPr>
      <w:r>
        <w:rPr>
          <w:rFonts w:ascii="Arial" w:cs="Arial" w:eastAsia="Arial" w:hAnsi="Arial"/>
          <w:color w:val="1A1A2E"/>
          <w:sz w:val="20"/>
          <w:szCs w:val="20"/>
        </w:rPr>
        <w:t xml:space="preserve">Gerencia depositos de VTX por solvers e stakers de revenue sharing. Funcoes principais: deposit(), withdraw() com periodo de unbonding (7 dias); slash() chamavel apenas pelo VortexRouter em casos de execucao incorreta; claimRewards() para distribuicao de fees acumuladas; getStakerScore() para calculo de peso de reputacao de solvers.</w:t>
      </w:r>
    </w:p>
    <w:p>
      <w:pPr>
        <w:pStyle w:val="Heading3"/>
        <w:spacing w:after="100" w:before="200"/>
      </w:pPr>
      <w:r>
        <w:rPr>
          <w:rFonts w:ascii="Arial" w:cs="Arial" w:eastAsia="Arial" w:hAnsi="Arial"/>
          <w:b/>
          <w:bCs/>
          <w:color w:val="1A3C6E"/>
          <w:sz w:val="22"/>
          <w:szCs w:val="22"/>
        </w:rPr>
        <w:t xml:space="preserve">VortexGovernor</w:t>
      </w:r>
    </w:p>
    <w:p>
      <w:pPr>
        <w:spacing w:after="160" w:line="276" w:lineRule="auto"/>
        <w:jc w:val="both"/>
      </w:pPr>
      <w:r>
        <w:rPr>
          <w:rFonts w:ascii="Arial" w:cs="Arial" w:eastAsia="Arial" w:hAnsi="Arial"/>
          <w:color w:val="1A1A2E"/>
          <w:sz w:val="20"/>
          <w:szCs w:val="20"/>
        </w:rPr>
        <w:t xml:space="preserve">Implementa governanca on-chain baseada em OpenZeppelin Governor com extensao de timelock. Parametros: periodo de votacao de 5 dias; timelock de 48h antes da execucao; quorum de 10% do supply circulante; proposta exige 1,000,000 VTX em stake. Controla: upgrades do VortexRouter; parametros de fee; adicao de novas chains; parametros de slash.</w:t>
      </w:r>
    </w:p>
    <w:p>
      <w:pPr>
        <w:pStyle w:val="Heading2"/>
        <w:spacing w:after="140" w:before="300"/>
      </w:pPr>
      <w:r>
        <w:rPr>
          <w:rFonts w:ascii="Arial" w:cs="Arial" w:eastAsia="Arial" w:hAnsi="Arial"/>
          <w:b/>
          <w:bCs/>
          <w:color w:val="2D7DD2"/>
          <w:sz w:val="28"/>
          <w:szCs w:val="28"/>
        </w:rPr>
        <w:t xml:space="preserve">4.6 Seguranca</w:t>
      </w:r>
    </w:p>
    <w:p>
      <w:pPr>
        <w:spacing w:after="160" w:line="276" w:lineRule="auto"/>
        <w:jc w:val="both"/>
      </w:pPr>
      <w:r>
        <w:rPr>
          <w:rFonts w:ascii="Arial" w:cs="Arial" w:eastAsia="Arial" w:hAnsi="Arial"/>
          <w:color w:val="1A1A2E"/>
          <w:sz w:val="20"/>
          <w:szCs w:val="20"/>
        </w:rPr>
        <w:t xml:space="preserve">Seguranca e tratada como prioridade maxima, dado que o protocolo gerencia fluxos de alto valor. As medidas adotadas incluem:</w:t>
      </w:r>
    </w:p>
    <w:p>
      <w:pPr>
        <w:pStyle w:val="ListParagraph"/>
        <w:numPr>
          <w:ilvl w:val="0"/>
          <w:numId w:val="2"/>
        </w:numPr>
        <w:spacing w:after="80" w:line="260" w:lineRule="auto"/>
      </w:pPr>
      <w:r>
        <w:rPr>
          <w:rFonts w:ascii="Arial" w:cs="Arial" w:eastAsia="Arial" w:hAnsi="Arial"/>
          <w:color w:val="1A1A2E"/>
          <w:sz w:val="20"/>
          <w:szCs w:val="20"/>
        </w:rPr>
        <w:t xml:space="preserve">Auditorias formais: dois rounds por auditoras independentes de primeira linha (Trail of Bits e OpenZeppelin) antes do deploy em mainnet</w:t>
      </w:r>
    </w:p>
    <w:p>
      <w:pPr>
        <w:pStyle w:val="ListParagraph"/>
        <w:numPr>
          <w:ilvl w:val="0"/>
          <w:numId w:val="2"/>
        </w:numPr>
        <w:spacing w:after="80" w:line="260" w:lineRule="auto"/>
      </w:pPr>
      <w:r>
        <w:rPr>
          <w:rFonts w:ascii="Arial" w:cs="Arial" w:eastAsia="Arial" w:hAnsi="Arial"/>
          <w:color w:val="1A1A2E"/>
          <w:sz w:val="20"/>
          <w:szCs w:val="20"/>
        </w:rPr>
        <w:t xml:space="preserve">Multisig de emergencia: carteira Gnosis Safe 5-de-9 com poder de pause() do VortexRouter em casos de emergencia; sem poder de upgrade unilateral</w:t>
      </w:r>
    </w:p>
    <w:p>
      <w:pPr>
        <w:pStyle w:val="ListParagraph"/>
        <w:numPr>
          <w:ilvl w:val="0"/>
          <w:numId w:val="2"/>
        </w:numPr>
        <w:spacing w:after="80" w:line="260" w:lineRule="auto"/>
      </w:pPr>
      <w:r>
        <w:rPr>
          <w:rFonts w:ascii="Arial" w:cs="Arial" w:eastAsia="Arial" w:hAnsi="Arial"/>
          <w:color w:val="1A1A2E"/>
          <w:sz w:val="20"/>
          <w:szCs w:val="20"/>
        </w:rPr>
        <w:t xml:space="preserve">Timelock obrigatorio: todas as mudancas de parametros e upgrades passam por espera de 48h apos aprovacao em governanca</w:t>
      </w:r>
    </w:p>
    <w:p>
      <w:pPr>
        <w:pStyle w:val="ListParagraph"/>
        <w:numPr>
          <w:ilvl w:val="0"/>
          <w:numId w:val="2"/>
        </w:numPr>
        <w:spacing w:after="80" w:line="260" w:lineRule="auto"/>
      </w:pPr>
      <w:r>
        <w:rPr>
          <w:rFonts w:ascii="Arial" w:cs="Arial" w:eastAsia="Arial" w:hAnsi="Arial"/>
          <w:color w:val="1A1A2E"/>
          <w:sz w:val="20"/>
          <w:szCs w:val="20"/>
        </w:rPr>
        <w:t xml:space="preserve">Bug Bounty: programa de $500,000 USD em VTX para reportes de vulnerabilidades criticas, gerenciado via Immunefi</w:t>
      </w:r>
    </w:p>
    <w:p>
      <w:pPr>
        <w:pStyle w:val="ListParagraph"/>
        <w:numPr>
          <w:ilvl w:val="0"/>
          <w:numId w:val="2"/>
        </w:numPr>
        <w:spacing w:after="80" w:line="260" w:lineRule="auto"/>
      </w:pPr>
      <w:r>
        <w:rPr>
          <w:rFonts w:ascii="Arial" w:cs="Arial" w:eastAsia="Arial" w:hAnsi="Arial"/>
          <w:color w:val="1A1A2E"/>
          <w:sz w:val="20"/>
          <w:szCs w:val="20"/>
        </w:rPr>
        <w:t xml:space="preserve">Limites de rate: VortexRouter implementa limites maximos de volume por intent e por periodo para mitigar impacto de exploits</w:t>
      </w:r>
    </w:p>
    <w:p>
      <w:pPr>
        <w:pStyle w:val="ListParagraph"/>
        <w:numPr>
          <w:ilvl w:val="0"/>
          <w:numId w:val="2"/>
        </w:numPr>
        <w:spacing w:after="80" w:line="260" w:lineRule="auto"/>
      </w:pPr>
      <w:r>
        <w:rPr>
          <w:rFonts w:ascii="Arial" w:cs="Arial" w:eastAsia="Arial" w:hAnsi="Arial"/>
          <w:color w:val="1A1A2E"/>
          <w:sz w:val="20"/>
          <w:szCs w:val="20"/>
        </w:rPr>
        <w:t xml:space="preserve">Separacao de privilegios: nenhuma chave privada central controla fundos de usuarios; o protocolo e non-custodial por design</w:t>
      </w:r>
    </w:p>
    <w:p>
      <w:r>
        <w:br w:type="page"/>
      </w:r>
    </w:p>
    <w:p>
      <w:pPr>
        <w:pStyle w:val="Heading1"/>
        <w:spacing w:after="200" w:before="400"/>
      </w:pPr>
      <w:r>
        <w:rPr>
          <w:rFonts w:ascii="Arial" w:cs="Arial" w:eastAsia="Arial" w:hAnsi="Arial"/>
          <w:b/>
          <w:bCs/>
          <w:color w:val="1A3C6E"/>
          <w:sz w:val="36"/>
          <w:szCs w:val="36"/>
        </w:rPr>
        <w:t xml:space="preserve">Token VTX</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5.1 Caracteristicas Basicas</w:t>
      </w:r>
    </w:p>
    <w:p>
      <w:pPr>
        <w:spacing w:after="160" w:line="276" w:lineRule="auto"/>
        <w:jc w:val="both"/>
      </w:pPr>
      <w:r>
        <w:rPr>
          <w:rFonts w:ascii="Arial" w:cs="Arial" w:eastAsia="Arial" w:hAnsi="Arial"/>
          <w:color w:val="1A1A2E"/>
          <w:sz w:val="20"/>
          <w:szCs w:val="20"/>
        </w:rPr>
        <w:t xml:space="preserve">VTX e o token de utilidade nativo do Vortex Protocol. E implementado como um contrato ERC-20 padrao na Ethereum Mainnet, com supply total fixo e definitivo de 1,000,000,000 (um bilhao) de tokens, sem possibilidade de emissao adicional apos o deployment inicial. O contrato nao possui funcao mint() acessivel apos a genesis, e o supply inicial e integralmente pre-mintado e alocado conforme o cronograma descrito na secao de Tokenomics.</w:t>
      </w:r>
    </w:p>
    <w:p>
      <w:pPr>
        <w:pStyle w:val="Heading2"/>
        <w:spacing w:after="140" w:before="300"/>
      </w:pPr>
      <w:r>
        <w:rPr>
          <w:rFonts w:ascii="Arial" w:cs="Arial" w:eastAsia="Arial" w:hAnsi="Arial"/>
          <w:b/>
          <w:bCs/>
          <w:color w:val="2D7DD2"/>
          <w:sz w:val="28"/>
          <w:szCs w:val="28"/>
        </w:rPr>
        <w:t xml:space="preserve">5.2 Os Quatro Pilares de Utilidade</w:t>
      </w:r>
    </w:p>
    <w:p>
      <w:pPr>
        <w:pStyle w:val="Heading3"/>
        <w:spacing w:after="100" w:before="200"/>
      </w:pPr>
      <w:r>
        <w:rPr>
          <w:rFonts w:ascii="Arial" w:cs="Arial" w:eastAsia="Arial" w:hAnsi="Arial"/>
          <w:b/>
          <w:bCs/>
          <w:color w:val="1A3C6E"/>
          <w:sz w:val="22"/>
          <w:szCs w:val="22"/>
        </w:rPr>
        <w:t xml:space="preserve">Pilar 1: Staking de Solver (Skin-in-the-Game)</w:t>
      </w:r>
    </w:p>
    <w:p>
      <w:pPr>
        <w:spacing w:after="160" w:line="276" w:lineRule="auto"/>
        <w:jc w:val="both"/>
      </w:pPr>
      <w:r>
        <w:rPr>
          <w:rFonts w:ascii="Arial" w:cs="Arial" w:eastAsia="Arial" w:hAnsi="Arial"/>
          <w:color w:val="1A1A2E"/>
          <w:sz w:val="20"/>
          <w:szCs w:val="20"/>
        </w:rPr>
        <w:t xml:space="preserve">Qualquer entidade que deseje participar como solver na rede Vortex deve depositar um minimo de 10,000 VTX no contrato VortexStaking. Esse deposito serve como bond de garantia de comportamento correto. Se um solver vence um leilao mas falha em entregar o output prometido — ou entrega menos do que o minAmountOut — uma parcela proporcional de seu stake e slashada e redistribuida para compensar o usuario afetado.</w:t>
      </w:r>
    </w:p>
    <w:p>
      <w:pPr>
        <w:spacing w:after="160" w:line="276" w:lineRule="auto"/>
        <w:jc w:val="both"/>
      </w:pPr>
      <w:r>
        <w:rPr>
          <w:rFonts w:ascii="Arial" w:cs="Arial" w:eastAsia="Arial" w:hAnsi="Arial"/>
          <w:color w:val="1A1A2E"/>
          <w:sz w:val="20"/>
          <w:szCs w:val="20"/>
        </w:rPr>
        <w:t xml:space="preserve">O mecanismo de staking cria tres efeitos positivos: (1) barreia natural contra atores maliciosos que precisariam de capital significativo para participar; (2) skin-in-the-game que alinha incentivos do solver com os do usuario; (3) demanda constante por VTX de novos solvers que desejam entrar na rede.</w:t>
      </w:r>
    </w:p>
    <w:p>
      <w:pPr>
        <w:pStyle w:val="Heading3"/>
        <w:spacing w:after="100" w:before="200"/>
      </w:pPr>
      <w:r>
        <w:rPr>
          <w:rFonts w:ascii="Arial" w:cs="Arial" w:eastAsia="Arial" w:hAnsi="Arial"/>
          <w:b/>
          <w:bCs/>
          <w:color w:val="1A3C6E"/>
          <w:sz w:val="22"/>
          <w:szCs w:val="22"/>
        </w:rPr>
        <w:t xml:space="preserve">Pilar 2: Governanca On-Chain</w:t>
      </w:r>
    </w:p>
    <w:p>
      <w:pPr>
        <w:spacing w:after="160" w:line="276" w:lineRule="auto"/>
        <w:jc w:val="both"/>
      </w:pPr>
      <w:r>
        <w:rPr>
          <w:rFonts w:ascii="Arial" w:cs="Arial" w:eastAsia="Arial" w:hAnsi="Arial"/>
          <w:color w:val="1A1A2E"/>
          <w:sz w:val="20"/>
          <w:szCs w:val="20"/>
        </w:rPr>
        <w:t xml:space="preserve">Holders de VTX em stake participam da governanca do protocolo atraves do VortexGovernor. Cada VTX em stake equivale a um voto. As decisoes governadas incluem: parametros de fee do protocolo; adicao e remocao de chains suportadas; aprovacao de upgrades do VortexRouter; alocacao do tesouro; alteracoes nos parametros de auction; e definicao de novas funcionalidades via EIPs internas (VIPs — Vortex Improvement Proposals).</w:t>
      </w:r>
    </w:p>
    <w:p>
      <w:pPr>
        <w:spacing w:after="160" w:line="276" w:lineRule="auto"/>
        <w:jc w:val="both"/>
      </w:pPr>
      <w:r>
        <w:rPr>
          <w:rFonts w:ascii="Arial" w:cs="Arial" w:eastAsia="Arial" w:hAnsi="Arial"/>
          <w:color w:val="1A1A2E"/>
          <w:sz w:val="20"/>
          <w:szCs w:val="20"/>
        </w:rPr>
        <w:t xml:space="preserve">A governanca e progressivamente descentralizada: inicialmente, o multisig de emergencia retém poder de veto temporario; apos 12 meses de operacao em mainnet e atingido o threshold de 50 solvers ativos, o poder de veto e revogado e a governanca torna-se totalmente on-chain.</w:t>
      </w:r>
    </w:p>
    <w:p>
      <w:pPr>
        <w:pStyle w:val="Heading3"/>
        <w:spacing w:after="100" w:before="200"/>
      </w:pPr>
      <w:r>
        <w:rPr>
          <w:rFonts w:ascii="Arial" w:cs="Arial" w:eastAsia="Arial" w:hAnsi="Arial"/>
          <w:b/>
          <w:bCs/>
          <w:color w:val="1A3C6E"/>
          <w:sz w:val="22"/>
          <w:szCs w:val="22"/>
        </w:rPr>
        <w:t xml:space="preserve">Pilar 3: Desconto de Fee</w:t>
      </w:r>
    </w:p>
    <w:p>
      <w:pPr>
        <w:spacing w:after="160" w:line="276" w:lineRule="auto"/>
        <w:jc w:val="both"/>
      </w:pPr>
      <w:r>
        <w:rPr>
          <w:rFonts w:ascii="Arial" w:cs="Arial" w:eastAsia="Arial" w:hAnsi="Arial"/>
          <w:color w:val="1A1A2E"/>
          <w:sz w:val="20"/>
          <w:szCs w:val="20"/>
        </w:rPr>
        <w:t xml:space="preserve">Usuarios que mantêm VTX em sua carteira ou em stake recebem desconto progressivo na fee de 0.05% cobrada pelo protocolo:</w:t>
      </w:r>
    </w:p>
    <w:p>
      <w:pPr>
        <w:pStyle w:val="ListParagraph"/>
        <w:numPr>
          <w:ilvl w:val="0"/>
          <w:numId w:val="2"/>
        </w:numPr>
        <w:spacing w:after="80" w:line="260" w:lineRule="auto"/>
      </w:pPr>
      <w:r>
        <w:rPr>
          <w:rFonts w:ascii="Arial" w:cs="Arial" w:eastAsia="Arial" w:hAnsi="Arial"/>
          <w:color w:val="1A1A2E"/>
          <w:sz w:val="20"/>
          <w:szCs w:val="20"/>
        </w:rPr>
        <w:t xml:space="preserve">0 — 999 VTX: fee padrao de 0.05% (sem desconto)</w:t>
      </w:r>
    </w:p>
    <w:p>
      <w:pPr>
        <w:pStyle w:val="ListParagraph"/>
        <w:numPr>
          <w:ilvl w:val="0"/>
          <w:numId w:val="2"/>
        </w:numPr>
        <w:spacing w:after="80" w:line="260" w:lineRule="auto"/>
      </w:pPr>
      <w:r>
        <w:rPr>
          <w:rFonts w:ascii="Arial" w:cs="Arial" w:eastAsia="Arial" w:hAnsi="Arial"/>
          <w:color w:val="1A1A2E"/>
          <w:sz w:val="20"/>
          <w:szCs w:val="20"/>
        </w:rPr>
        <w:t xml:space="preserve">1,000 — 9,999 VTX: desconto de 10% (fee efetiva 0.045%)</w:t>
      </w:r>
    </w:p>
    <w:p>
      <w:pPr>
        <w:pStyle w:val="ListParagraph"/>
        <w:numPr>
          <w:ilvl w:val="0"/>
          <w:numId w:val="2"/>
        </w:numPr>
        <w:spacing w:after="80" w:line="260" w:lineRule="auto"/>
      </w:pPr>
      <w:r>
        <w:rPr>
          <w:rFonts w:ascii="Arial" w:cs="Arial" w:eastAsia="Arial" w:hAnsi="Arial"/>
          <w:color w:val="1A1A2E"/>
          <w:sz w:val="20"/>
          <w:szCs w:val="20"/>
        </w:rPr>
        <w:t xml:space="preserve">10,000 — 49,999 VTX: desconto de 25% (fee efetiva 0.0375%)</w:t>
      </w:r>
    </w:p>
    <w:p>
      <w:pPr>
        <w:pStyle w:val="ListParagraph"/>
        <w:numPr>
          <w:ilvl w:val="0"/>
          <w:numId w:val="2"/>
        </w:numPr>
        <w:spacing w:after="80" w:line="260" w:lineRule="auto"/>
      </w:pPr>
      <w:r>
        <w:rPr>
          <w:rFonts w:ascii="Arial" w:cs="Arial" w:eastAsia="Arial" w:hAnsi="Arial"/>
          <w:color w:val="1A1A2E"/>
          <w:sz w:val="20"/>
          <w:szCs w:val="20"/>
        </w:rPr>
        <w:t xml:space="preserve">50,000 — 249,999 VTX: desconto de 40% (fee efetiva 0.03%)</w:t>
      </w:r>
    </w:p>
    <w:p>
      <w:pPr>
        <w:pStyle w:val="ListParagraph"/>
        <w:numPr>
          <w:ilvl w:val="0"/>
          <w:numId w:val="2"/>
        </w:numPr>
        <w:spacing w:after="80" w:line="260" w:lineRule="auto"/>
      </w:pPr>
      <w:r>
        <w:rPr>
          <w:rFonts w:ascii="Arial" w:cs="Arial" w:eastAsia="Arial" w:hAnsi="Arial"/>
          <w:color w:val="1A1A2E"/>
          <w:sz w:val="20"/>
          <w:szCs w:val="20"/>
        </w:rPr>
        <w:t xml:space="preserve">250,000+ VTX: desconto maximo de 50% (fee efetiva 0.025%)</w:t>
      </w:r>
    </w:p>
    <w:p>
      <w:pPr>
        <w:spacing w:after="100"/>
      </w:pPr>
    </w:p>
    <w:p>
      <w:pPr>
        <w:spacing w:after="160" w:line="276" w:lineRule="auto"/>
        <w:jc w:val="both"/>
      </w:pPr>
      <w:r>
        <w:rPr>
          <w:rFonts w:ascii="Arial" w:cs="Arial" w:eastAsia="Arial" w:hAnsi="Arial"/>
          <w:color w:val="1A1A2E"/>
          <w:sz w:val="20"/>
          <w:szCs w:val="20"/>
        </w:rPr>
        <w:t xml:space="preserve">Este mecanismo cria incentivos de longo prazo para holders, reduz churn e aumenta a demanda organica por VTX de usuarios frequentes do protocolo.</w:t>
      </w:r>
    </w:p>
    <w:p>
      <w:pPr>
        <w:pStyle w:val="Heading3"/>
        <w:spacing w:after="100" w:before="200"/>
      </w:pPr>
      <w:r>
        <w:rPr>
          <w:rFonts w:ascii="Arial" w:cs="Arial" w:eastAsia="Arial" w:hAnsi="Arial"/>
          <w:b/>
          <w:bCs/>
          <w:color w:val="1A3C6E"/>
          <w:sz w:val="22"/>
          <w:szCs w:val="22"/>
        </w:rPr>
        <w:t xml:space="preserve">Pilar 4: Revenue Share (Compartilhamento de Receita)</w:t>
      </w:r>
    </w:p>
    <w:p>
      <w:pPr>
        <w:spacing w:after="160" w:line="276" w:lineRule="auto"/>
        <w:jc w:val="both"/>
      </w:pPr>
      <w:r>
        <w:rPr>
          <w:rFonts w:ascii="Arial" w:cs="Arial" w:eastAsia="Arial" w:hAnsi="Arial"/>
          <w:color w:val="1A1A2E"/>
          <w:sz w:val="20"/>
          <w:szCs w:val="20"/>
        </w:rPr>
        <w:t xml:space="preserve">70% de todas as fees coletadas pelo VortexRouter sao distribuidas pro-rata aos holders de VTX em stake (nao apenas solvers, mas qualquer holder que faça staking no contrato VortexStaking). As fees sao acumuladas em USDC ou no token de maior volume e distribuidas semanalmente via uma funcao distribute() chamavel por qualquer usuario (sem permissao especial).</w:t>
      </w:r>
    </w:p>
    <w:p>
      <w:pPr>
        <w:spacing w:after="160" w:line="276" w:lineRule="auto"/>
        <w:jc w:val="both"/>
      </w:pPr>
      <w:r>
        <w:rPr>
          <w:rFonts w:ascii="Arial" w:cs="Arial" w:eastAsia="Arial" w:hAnsi="Arial"/>
          <w:color w:val="1A1A2E"/>
          <w:sz w:val="20"/>
          <w:szCs w:val="20"/>
        </w:rPr>
        <w:t xml:space="preserve">Este mecanismo cria uma proposta de valor clara e mensuravel para holders de longo prazo: a posse de VTX representa uma fracao da receita futura do protocolo, similar a um instrumento de participacao nos resultados, sem configurar juridicamente um security (a distribuicao e por atividade de stake, nao por detencao passiva).</w:t>
      </w:r>
    </w:p>
    <w:p>
      <w:pPr>
        <w:pStyle w:val="Heading2"/>
        <w:spacing w:after="140" w:before="300"/>
      </w:pPr>
      <w:r>
        <w:rPr>
          <w:rFonts w:ascii="Arial" w:cs="Arial" w:eastAsia="Arial" w:hAnsi="Arial"/>
          <w:b/>
          <w:bCs/>
          <w:color w:val="2D7DD2"/>
          <w:sz w:val="28"/>
          <w:szCs w:val="28"/>
        </w:rPr>
        <w:t xml:space="preserve">5.3 Por que VTX e Necessario</w:t>
      </w:r>
    </w:p>
    <w:p>
      <w:pPr>
        <w:spacing w:after="160" w:line="276" w:lineRule="auto"/>
        <w:jc w:val="both"/>
      </w:pPr>
      <w:r>
        <w:rPr>
          <w:rFonts w:ascii="Arial" w:cs="Arial" w:eastAsia="Arial" w:hAnsi="Arial"/>
          <w:color w:val="1A1A2E"/>
          <w:sz w:val="20"/>
          <w:szCs w:val="20"/>
        </w:rPr>
        <w:t xml:space="preserve">Uma critica frequente a tokens de protocolos DeFi e que poderiam ser substituidos por ETH ou stablecoins. O VTX resiste a esse teste por multiplas razoes:</w:t>
      </w:r>
    </w:p>
    <w:p>
      <w:pPr>
        <w:pStyle w:val="ListParagraph"/>
        <w:numPr>
          <w:ilvl w:val="0"/>
          <w:numId w:val="2"/>
        </w:numPr>
        <w:spacing w:after="80" w:line="260" w:lineRule="auto"/>
      </w:pPr>
      <w:r>
        <w:rPr>
          <w:rFonts w:ascii="Arial" w:cs="Arial" w:eastAsia="Arial" w:hAnsi="Arial"/>
          <w:color w:val="1A1A2E"/>
          <w:sz w:val="20"/>
          <w:szCs w:val="20"/>
        </w:rPr>
        <w:t xml:space="preserve">Staking de solver: requer especificamente VTX, criando demanda estrutural e nao substituivel</w:t>
      </w:r>
    </w:p>
    <w:p>
      <w:pPr>
        <w:pStyle w:val="ListParagraph"/>
        <w:numPr>
          <w:ilvl w:val="0"/>
          <w:numId w:val="2"/>
        </w:numPr>
        <w:spacing w:after="80" w:line="260" w:lineRule="auto"/>
      </w:pPr>
      <w:r>
        <w:rPr>
          <w:rFonts w:ascii="Arial" w:cs="Arial" w:eastAsia="Arial" w:hAnsi="Arial"/>
          <w:color w:val="1A1A2E"/>
          <w:sz w:val="20"/>
          <w:szCs w:val="20"/>
        </w:rPr>
        <w:t xml:space="preserve">Governanca: o direito de votar em mudancas do protocolo e nao-fungivel com outros tokens</w:t>
      </w:r>
    </w:p>
    <w:p>
      <w:pPr>
        <w:pStyle w:val="ListParagraph"/>
        <w:numPr>
          <w:ilvl w:val="0"/>
          <w:numId w:val="2"/>
        </w:numPr>
        <w:spacing w:after="80" w:line="260" w:lineRule="auto"/>
      </w:pPr>
      <w:r>
        <w:rPr>
          <w:rFonts w:ascii="Arial" w:cs="Arial" w:eastAsia="Arial" w:hAnsi="Arial"/>
          <w:color w:val="1A1A2E"/>
          <w:sz w:val="20"/>
          <w:szCs w:val="20"/>
        </w:rPr>
        <w:t xml:space="preserve">Desconto de fee: o beneficio e exclusivo a holders de VTX, incentivando retencao</w:t>
      </w:r>
    </w:p>
    <w:p>
      <w:pPr>
        <w:pStyle w:val="ListParagraph"/>
        <w:numPr>
          <w:ilvl w:val="0"/>
          <w:numId w:val="2"/>
        </w:numPr>
        <w:spacing w:after="80" w:line="260" w:lineRule="auto"/>
      </w:pPr>
      <w:r>
        <w:rPr>
          <w:rFonts w:ascii="Arial" w:cs="Arial" w:eastAsia="Arial" w:hAnsi="Arial"/>
          <w:color w:val="1A1A2E"/>
          <w:sz w:val="20"/>
          <w:szCs w:val="20"/>
        </w:rPr>
        <w:t xml:space="preserve">Alinhamento de incentivos: denominar os bonds dos solvers em VTX alinha o interesse dos solvers ao sucesso do protocolo</w:t>
      </w: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Teste de Utilidade: </w:t>
      </w:r>
      <w:r>
        <w:rPr>
          <w:rFonts w:ascii="Arial" w:cs="Arial" w:eastAsia="Arial" w:hAnsi="Arial"/>
          <w:color w:val="1A1A2E"/>
          <w:sz w:val="20"/>
          <w:szCs w:val="20"/>
        </w:rPr>
        <w:t xml:space="preserve">O VTX nao e um token de especulacao — e o mecanismo de coordenacao que faz o protocolo funcionar. Solvers sem VTX nao podem participar; usuarios com VTX pagam menos; e o poder de decidir o futuro do protocolo pertence a quem tem VTX em stake.</w:t>
      </w:r>
    </w:p>
    <w:p>
      <w:r>
        <w:br w:type="page"/>
      </w:r>
    </w:p>
    <w:p>
      <w:pPr>
        <w:pStyle w:val="Heading1"/>
        <w:spacing w:after="200" w:before="400"/>
      </w:pPr>
      <w:r>
        <w:rPr>
          <w:rFonts w:ascii="Arial" w:cs="Arial" w:eastAsia="Arial" w:hAnsi="Arial"/>
          <w:b/>
          <w:bCs/>
          <w:color w:val="1A3C6E"/>
          <w:sz w:val="36"/>
          <w:szCs w:val="36"/>
        </w:rPr>
        <w:t xml:space="preserve">Tokenomics</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6.1 Alocacao do Supply</w:t>
      </w:r>
    </w:p>
    <w:p>
      <w:pPr>
        <w:spacing w:after="160" w:line="276" w:lineRule="auto"/>
        <w:jc w:val="both"/>
      </w:pPr>
      <w:r>
        <w:rPr>
          <w:rFonts w:ascii="Arial" w:cs="Arial" w:eastAsia="Arial" w:hAnsi="Arial"/>
          <w:color w:val="1A1A2E"/>
          <w:sz w:val="20"/>
          <w:szCs w:val="20"/>
        </w:rPr>
        <w:t xml:space="preserve">O supply total de 1,000,000,000 VTX e alocado conforme a tabela abaixo, com cronogramas de vesting projetados para maximizar o alinhamento de longo prazo entre todos os stakeholders: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Categoria</w:t>
            </w:r>
          </w:p>
        </w:tc>
        <w:tc>
          <w:tcPr>
            <w:tcW w:type="dxa" w:w="25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Tokens</w:t>
            </w:r>
          </w:p>
        </w:tc>
        <w:tc>
          <w:tcPr>
            <w:tcW w:type="dxa" w:w="18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Supply</w:t>
            </w:r>
          </w:p>
        </w:tc>
        <w:tc>
          <w:tcPr>
            <w:tcW w:type="dxa" w:w="25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Vesting</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Ecosystem &amp; Incentivos</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300,000,000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30%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 no TGE; 36 meses linear</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Equipe &amp; Fundadores</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12 meses cliff; 36 meses linear</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Investidores Seed</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6 meses cliff; 24 meses linear</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Investidores Serie A</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3 meses cliff; 18 meses linear</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Tesouro do Protocolo</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Controlado pela governanca</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Liquidez Inicial (DEX)</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70,000,000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7%</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Desbloqueado no TGE</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Desenvolvimento &amp; Grants</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Liberacao trimestral, 24 meses</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Marketing &amp; Parcerias</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50,000,000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5%</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18 meses linear</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Bug Bounty &amp; Seguranca</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20,000,000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2%</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Conforme demanda</w:t>
            </w:r>
          </w:p>
        </w:tc>
      </w:tr>
      <w:tr>
        <w:tc>
          <w:tcPr>
            <w:tcW w:type="dxa" w:w="25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TOTAL</w:t>
            </w:r>
          </w:p>
        </w:tc>
        <w:tc>
          <w:tcPr>
            <w:tcW w:type="dxa" w:w="25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center"/>
            </w:pPr>
            <w:r>
              <w:rPr>
                <w:rFonts w:ascii="Arial" w:cs="Arial" w:eastAsia="Arial" w:hAnsi="Arial"/>
                <w:b/>
                <w:bCs/>
                <w:color w:val="1A1A2E"/>
                <w:sz w:val="18"/>
                <w:szCs w:val="18"/>
              </w:rPr>
              <w:t xml:space="preserve">1,000,000,000</w:t>
            </w:r>
          </w:p>
        </w:tc>
        <w:tc>
          <w:tcPr>
            <w:tcW w:type="dxa" w:w="18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center"/>
            </w:pPr>
            <w:r>
              <w:rPr>
                <w:rFonts w:ascii="Arial" w:cs="Arial" w:eastAsia="Arial" w:hAnsi="Arial"/>
                <w:b/>
                <w:bCs/>
                <w:color w:val="1A1A2E"/>
                <w:sz w:val="18"/>
                <w:szCs w:val="18"/>
              </w:rPr>
              <w:t xml:space="preserve">100%</w:t>
            </w:r>
          </w:p>
        </w:tc>
        <w:tc>
          <w:tcPr>
            <w:tcW w:type="dxa" w:w="256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center"/>
            </w:pPr>
            <w:r>
              <w:rPr>
                <w:rFonts w:ascii="Arial" w:cs="Arial" w:eastAsia="Arial" w:hAnsi="Arial"/>
                <w:b/>
                <w:bCs/>
                <w:color w:val="1A1A2E"/>
                <w:sz w:val="18"/>
                <w:szCs w:val="18"/>
              </w:rPr>
              <w:t xml:space="preserve">Supply fixo, sem mint adicional</w:t>
            </w:r>
          </w:p>
        </w:tc>
      </w:tr>
    </w:tbl>
    <w:p>
      <w:pPr>
        <w:spacing w:after="200"/>
      </w:pPr>
    </w:p>
    <w:p>
      <w:pPr>
        <w:pStyle w:val="Heading2"/>
        <w:spacing w:after="140" w:before="300"/>
      </w:pPr>
      <w:r>
        <w:rPr>
          <w:rFonts w:ascii="Arial" w:cs="Arial" w:eastAsia="Arial" w:hAnsi="Arial"/>
          <w:b/>
          <w:bCs/>
          <w:color w:val="2D7DD2"/>
          <w:sz w:val="28"/>
          <w:szCs w:val="28"/>
        </w:rPr>
        <w:t xml:space="preserve">6.2 Principios do Vesting</w:t>
      </w:r>
    </w:p>
    <w:p>
      <w:pPr>
        <w:spacing w:after="160" w:line="276" w:lineRule="auto"/>
        <w:jc w:val="both"/>
      </w:pPr>
      <w:r>
        <w:rPr>
          <w:rFonts w:ascii="Arial" w:cs="Arial" w:eastAsia="Arial" w:hAnsi="Arial"/>
          <w:color w:val="1A1A2E"/>
          <w:sz w:val="20"/>
          <w:szCs w:val="20"/>
        </w:rPr>
        <w:t xml:space="preserve">O design do vesting segue tres principios fundamentais:</w:t>
      </w:r>
    </w:p>
    <w:p>
      <w:pPr>
        <w:pStyle w:val="ListParagraph"/>
        <w:numPr>
          <w:ilvl w:val="0"/>
          <w:numId w:val="2"/>
        </w:numPr>
        <w:spacing w:after="80" w:line="260" w:lineRule="auto"/>
      </w:pPr>
      <w:r>
        <w:rPr>
          <w:rFonts w:ascii="Arial" w:cs="Arial" w:eastAsia="Arial" w:hAnsi="Arial"/>
          <w:color w:val="1A1A2E"/>
          <w:sz w:val="20"/>
          <w:szCs w:val="20"/>
        </w:rPr>
        <w:t xml:space="preserve">Protecao do usuario: equipe e investidores tem os vesting mais longos, garantindo que insiders nao possam liquidar posicoes antes de o protocolo atingir maturidade</w:t>
      </w:r>
    </w:p>
    <w:p>
      <w:pPr>
        <w:pStyle w:val="ListParagraph"/>
        <w:numPr>
          <w:ilvl w:val="0"/>
          <w:numId w:val="2"/>
        </w:numPr>
        <w:spacing w:after="80" w:line="260" w:lineRule="auto"/>
      </w:pPr>
      <w:r>
        <w:rPr>
          <w:rFonts w:ascii="Arial" w:cs="Arial" w:eastAsia="Arial" w:hAnsi="Arial"/>
          <w:color w:val="1A1A2E"/>
          <w:sz w:val="20"/>
          <w:szCs w:val="20"/>
        </w:rPr>
        <w:t xml:space="preserve">Incentivo de longo prazo: a maior alocacao (30%) e destinada ao ecossistema e incentivos, liberada de forma gradual para recompensar contribuicoes ao longo de tres anos</w:t>
      </w:r>
    </w:p>
    <w:p>
      <w:pPr>
        <w:pStyle w:val="ListParagraph"/>
        <w:numPr>
          <w:ilvl w:val="0"/>
          <w:numId w:val="2"/>
        </w:numPr>
        <w:spacing w:after="80" w:line="260" w:lineRule="auto"/>
      </w:pPr>
      <w:r>
        <w:rPr>
          <w:rFonts w:ascii="Arial" w:cs="Arial" w:eastAsia="Arial" w:hAnsi="Arial"/>
          <w:color w:val="1A1A2E"/>
          <w:sz w:val="20"/>
          <w:szCs w:val="20"/>
        </w:rPr>
        <w:t xml:space="preserve">Liquidez inicial controlada: apenas 7% do supply e disponibilizado no TGE para liquidez em DEXs, evitando pressao de venda excessiva no lancamento</w:t>
      </w:r>
    </w:p>
    <w:p>
      <w:pPr>
        <w:spacing w:after="100"/>
      </w:pPr>
    </w:p>
    <w:p>
      <w:pPr>
        <w:pStyle w:val="Heading2"/>
        <w:spacing w:after="140" w:before="300"/>
      </w:pPr>
      <w:r>
        <w:rPr>
          <w:rFonts w:ascii="Arial" w:cs="Arial" w:eastAsia="Arial" w:hAnsi="Arial"/>
          <w:b/>
          <w:bCs/>
          <w:color w:val="2D7DD2"/>
          <w:sz w:val="28"/>
          <w:szCs w:val="28"/>
        </w:rPr>
        <w:t xml:space="preserve">6.3 Mecanismo de Fee e Distribuicao</w:t>
      </w:r>
    </w:p>
    <w:p>
      <w:pPr>
        <w:spacing w:after="160" w:line="276" w:lineRule="auto"/>
        <w:jc w:val="both"/>
      </w:pPr>
      <w:r>
        <w:rPr>
          <w:rFonts w:ascii="Arial" w:cs="Arial" w:eastAsia="Arial" w:hAnsi="Arial"/>
          <w:color w:val="1A1A2E"/>
          <w:sz w:val="20"/>
          <w:szCs w:val="20"/>
        </w:rPr>
        <w:t xml:space="preserve">O protocolo cobra uma fee de 0.05% sobre o volume total de cada intent executada. Esta fee e denominada no token de entrada da operacao e convertida automaticamente para USDC pelo VortexRouter no momento do settlement. A distribuicao ocorre conforme a tabela abaixo: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Destinatario</w:t>
            </w:r>
          </w:p>
        </w:tc>
        <w:tc>
          <w:tcPr>
            <w:tcW w:type="dxa" w:w="20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da Fee</w:t>
            </w:r>
          </w:p>
        </w:tc>
        <w:tc>
          <w:tcPr>
            <w:tcW w:type="dxa" w:w="25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 em Volume $1B</w:t>
            </w:r>
          </w:p>
        </w:tc>
        <w:tc>
          <w:tcPr>
            <w:tcW w:type="dxa" w:w="26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Observacoes</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Stakers VTX</w:t>
            </w:r>
          </w:p>
        </w:tc>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70%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0.035% do volume</w:t>
            </w:r>
          </w:p>
        </w:tc>
        <w:tc>
          <w:tcPr>
            <w:tcW w:type="dxa" w:w="2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Proporcional ao stake; pago em USDC/ETH</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Tesouro</w:t>
            </w:r>
          </w:p>
        </w:tc>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20%</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0.01% do volume</w:t>
            </w:r>
          </w:p>
        </w:tc>
        <w:tc>
          <w:tcPr>
            <w:tcW w:type="dxa" w:w="26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Governanca decide alocacao</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Operacoes</w:t>
            </w:r>
          </w:p>
        </w:tc>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0.005% do volume</w:t>
            </w:r>
          </w:p>
        </w:tc>
        <w:tc>
          <w:tcPr>
            <w:tcW w:type="dxa" w:w="2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Infraestrutura, relayers, manutencao</w:t>
            </w:r>
          </w:p>
        </w:tc>
      </w:tr>
    </w:tbl>
    <w:p>
      <w:pPr>
        <w:spacing w:after="200"/>
      </w:pPr>
    </w:p>
    <w:p>
      <w:pPr>
        <w:spacing w:after="160" w:line="276" w:lineRule="auto"/>
        <w:jc w:val="both"/>
      </w:pPr>
      <w:r>
        <w:rPr>
          <w:rFonts w:ascii="Arial" w:cs="Arial" w:eastAsia="Arial" w:hAnsi="Arial"/>
          <w:color w:val="1A1A2E"/>
          <w:sz w:val="20"/>
          <w:szCs w:val="20"/>
        </w:rPr>
        <w:t xml:space="preserve">Para contextualizacao: em um cenario de volume mensal de $1 bilhao (plausivel apos 12 meses de mainnet considerando o crescimento do mercado cross-chain), o protocolo geraria aproximadamente $500,000 em fees mensais, das quais $350,000 seriam distribuidas a stakers. Com supply circulante inicial de ~100M VTX em stake, isso representa um yield anualizado de aproximadamente 4.2% em USDC — competitivo com outros protocolos DeFi de baixo risco.</w:t>
      </w:r>
    </w:p>
    <w:p>
      <w:pPr>
        <w:pStyle w:val="Heading2"/>
        <w:spacing w:after="140" w:before="300"/>
      </w:pPr>
      <w:r>
        <w:rPr>
          <w:rFonts w:ascii="Arial" w:cs="Arial" w:eastAsia="Arial" w:hAnsi="Arial"/>
          <w:b/>
          <w:bCs/>
          <w:color w:val="2D7DD2"/>
          <w:sz w:val="28"/>
          <w:szCs w:val="28"/>
        </w:rPr>
        <w:t xml:space="preserve">6.4 Mecanismo de Burn</w:t>
      </w:r>
    </w:p>
    <w:p>
      <w:pPr>
        <w:spacing w:after="160" w:line="276" w:lineRule="auto"/>
        <w:jc w:val="both"/>
      </w:pPr>
      <w:r>
        <w:rPr>
          <w:rFonts w:ascii="Arial" w:cs="Arial" w:eastAsia="Arial" w:hAnsi="Arial"/>
          <w:color w:val="1A1A2E"/>
          <w:sz w:val="20"/>
          <w:szCs w:val="20"/>
        </w:rPr>
        <w:t xml:space="preserve">O protocolo implementa um mecanismo opcional de burn vinculado a eficiencia de execucao. Quando um solver entrega ao usuario mais do que o minAmountOut especificado na intent (ou seja, o usuario recebe mais do que esperava), 10% do excesso e convertido em VTX no mercado aberto e queimado permanentemente.</w:t>
      </w:r>
    </w:p>
    <w:p>
      <w:pPr>
        <w:spacing w:after="160" w:line="276" w:lineRule="auto"/>
        <w:jc w:val="both"/>
      </w:pPr>
      <w:r>
        <w:rPr>
          <w:rFonts w:ascii="Arial" w:cs="Arial" w:eastAsia="Arial" w:hAnsi="Arial"/>
          <w:color w:val="1A1A2E"/>
          <w:sz w:val="20"/>
          <w:szCs w:val="20"/>
        </w:rPr>
        <w:t xml:space="preserve">Este mecanismo cria deflacao vinculada diretamente a qualidade de execucao: quanto mais competitivos os solvers, mais VTX e queimado. E um incentivo elegante que alinha a saude do token com a qualidade do servico prestado pelo protocolo.</w:t>
      </w:r>
    </w:p>
    <w:p>
      <w:pPr>
        <w:spacing w:after="160" w:line="276" w:lineRule="auto"/>
        <w:jc w:val="both"/>
      </w:pPr>
      <w:r>
        <w:rPr>
          <w:rFonts w:ascii="Arial" w:cs="Arial" w:eastAsia="Arial" w:hAnsi="Arial"/>
          <w:color w:val="1A1A2E"/>
          <w:sz w:val="20"/>
          <w:szCs w:val="20"/>
        </w:rPr>
        <w:t xml:space="preserve">O burn e desativado por default nos primeiros 6 meses de mainnet, sendo habilitado via governanca apos analise de impacto. O tesouro pode ajustar o percentual de burn entre 0% e 20% via proposta de governanca.</w:t>
      </w:r>
    </w:p>
    <w:p>
      <w:r>
        <w:br w:type="page"/>
      </w:r>
    </w:p>
    <w:p>
      <w:pPr>
        <w:pStyle w:val="Heading1"/>
        <w:spacing w:after="200" w:before="400"/>
      </w:pPr>
      <w:r>
        <w:rPr>
          <w:rFonts w:ascii="Arial" w:cs="Arial" w:eastAsia="Arial" w:hAnsi="Arial"/>
          <w:b/>
          <w:bCs/>
          <w:color w:val="1A3C6E"/>
          <w:sz w:val="36"/>
          <w:szCs w:val="36"/>
        </w:rPr>
        <w:t xml:space="preserve">Governanca</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7.1 Modelo de Governanca On-Chain</w:t>
      </w:r>
    </w:p>
    <w:p>
      <w:pPr>
        <w:spacing w:after="160" w:line="276" w:lineRule="auto"/>
        <w:jc w:val="both"/>
      </w:pPr>
      <w:r>
        <w:rPr>
          <w:rFonts w:ascii="Arial" w:cs="Arial" w:eastAsia="Arial" w:hAnsi="Arial"/>
          <w:color w:val="1A1A2E"/>
          <w:sz w:val="20"/>
          <w:szCs w:val="20"/>
        </w:rPr>
        <w:t xml:space="preserve">A governanca do Vortex Protocol e implementada completamente on-chain atraves do contrato VortexGovernor, uma extensao do padrao OpenZeppelin Governor com modulo de timelock. Este modelo garante que nenhuma entidade centralizada — incluindo a equipe fundadora — possa alterar parametros criticos do protocolo sem aprovacao da comunidade de holders.</w:t>
      </w:r>
    </w:p>
    <w:p>
      <w:pPr>
        <w:spacing w:after="160" w:line="276" w:lineRule="auto"/>
        <w:jc w:val="both"/>
      </w:pPr>
      <w:r>
        <w:rPr>
          <w:rFonts w:ascii="Arial" w:cs="Arial" w:eastAsia="Arial" w:hAnsi="Arial"/>
          <w:color w:val="1A1A2E"/>
          <w:sz w:val="20"/>
          <w:szCs w:val="20"/>
        </w:rPr>
        <w:t xml:space="preserve">O sistema de governanca opera com os seguintes parametros base, ajustaveis via proposta de governanca (exceto o proprio quorum minimo, que exige supermaioria):</w:t>
      </w:r>
    </w:p>
    <w:p>
      <w:pPr>
        <w:pStyle w:val="ListParagraph"/>
        <w:numPr>
          <w:ilvl w:val="0"/>
          <w:numId w:val="2"/>
        </w:numPr>
        <w:spacing w:after="80" w:line="260" w:lineRule="auto"/>
      </w:pPr>
      <w:r>
        <w:rPr>
          <w:rFonts w:ascii="Arial" w:cs="Arial" w:eastAsia="Arial" w:hAnsi="Arial"/>
          <w:color w:val="1A1A2E"/>
          <w:sz w:val="20"/>
          <w:szCs w:val="20"/>
        </w:rPr>
        <w:t xml:space="preserve">Poder de voto: 1 VTX em stake = 1 voto (sem delegacao especial, qualquer holder pode votar diretamente ou delegar)</w:t>
      </w:r>
    </w:p>
    <w:p>
      <w:pPr>
        <w:pStyle w:val="ListParagraph"/>
        <w:numPr>
          <w:ilvl w:val="0"/>
          <w:numId w:val="2"/>
        </w:numPr>
        <w:spacing w:after="80" w:line="260" w:lineRule="auto"/>
      </w:pPr>
      <w:r>
        <w:rPr>
          <w:rFonts w:ascii="Arial" w:cs="Arial" w:eastAsia="Arial" w:hAnsi="Arial"/>
          <w:color w:val="1A1A2E"/>
          <w:sz w:val="20"/>
          <w:szCs w:val="20"/>
        </w:rPr>
        <w:t xml:space="preserve">Threshold de proposta: 1,000,000 VTX em stake para submeter uma proposta formal</w:t>
      </w:r>
    </w:p>
    <w:p>
      <w:pPr>
        <w:pStyle w:val="ListParagraph"/>
        <w:numPr>
          <w:ilvl w:val="0"/>
          <w:numId w:val="2"/>
        </w:numPr>
        <w:spacing w:after="80" w:line="260" w:lineRule="auto"/>
      </w:pPr>
      <w:r>
        <w:rPr>
          <w:rFonts w:ascii="Arial" w:cs="Arial" w:eastAsia="Arial" w:hAnsi="Arial"/>
          <w:color w:val="1A1A2E"/>
          <w:sz w:val="20"/>
          <w:szCs w:val="20"/>
        </w:rPr>
        <w:t xml:space="preserve">Periodo de votacao: 5 dias uteis (120 horas) apos publicacao da proposta</w:t>
      </w:r>
    </w:p>
    <w:p>
      <w:pPr>
        <w:pStyle w:val="ListParagraph"/>
        <w:numPr>
          <w:ilvl w:val="0"/>
          <w:numId w:val="2"/>
        </w:numPr>
        <w:spacing w:after="80" w:line="260" w:lineRule="auto"/>
      </w:pPr>
      <w:r>
        <w:rPr>
          <w:rFonts w:ascii="Arial" w:cs="Arial" w:eastAsia="Arial" w:hAnsi="Arial"/>
          <w:color w:val="1A1A2E"/>
          <w:sz w:val="20"/>
          <w:szCs w:val="20"/>
        </w:rPr>
        <w:t xml:space="preserve">Quorum minimo: 10% do supply circulante deve votar para a proposta ser valida</w:t>
      </w:r>
    </w:p>
    <w:p>
      <w:pPr>
        <w:pStyle w:val="ListParagraph"/>
        <w:numPr>
          <w:ilvl w:val="0"/>
          <w:numId w:val="2"/>
        </w:numPr>
        <w:spacing w:after="80" w:line="260" w:lineRule="auto"/>
      </w:pPr>
      <w:r>
        <w:rPr>
          <w:rFonts w:ascii="Arial" w:cs="Arial" w:eastAsia="Arial" w:hAnsi="Arial"/>
          <w:color w:val="1A1A2E"/>
          <w:sz w:val="20"/>
          <w:szCs w:val="20"/>
        </w:rPr>
        <w:t xml:space="preserve">Maioria necessaria: 51% dos votos favoraveis para aprovacao (66% para mudancas criticas de seguranca)</w:t>
      </w:r>
    </w:p>
    <w:p>
      <w:pPr>
        <w:pStyle w:val="ListParagraph"/>
        <w:numPr>
          <w:ilvl w:val="0"/>
          <w:numId w:val="2"/>
        </w:numPr>
        <w:spacing w:after="80" w:line="260" w:lineRule="auto"/>
      </w:pPr>
      <w:r>
        <w:rPr>
          <w:rFonts w:ascii="Arial" w:cs="Arial" w:eastAsia="Arial" w:hAnsi="Arial"/>
          <w:color w:val="1A1A2E"/>
          <w:sz w:val="20"/>
          <w:szCs w:val="20"/>
        </w:rPr>
        <w:t xml:space="preserve">Timelock: 48 horas de espera entre aprovacao e execucao, permitindo reacao da comunidade</w:t>
      </w:r>
    </w:p>
    <w:p>
      <w:pPr>
        <w:spacing w:after="100"/>
      </w:pPr>
    </w:p>
    <w:p>
      <w:pPr>
        <w:pStyle w:val="Heading2"/>
        <w:spacing w:after="140" w:before="300"/>
      </w:pPr>
      <w:r>
        <w:rPr>
          <w:rFonts w:ascii="Arial" w:cs="Arial" w:eastAsia="Arial" w:hAnsi="Arial"/>
          <w:b/>
          <w:bCs/>
          <w:color w:val="2D7DD2"/>
          <w:sz w:val="28"/>
          <w:szCs w:val="28"/>
        </w:rPr>
        <w:t xml:space="preserve">7.2 Processo de Proposta e Votacao</w:t>
      </w:r>
    </w:p>
    <w:p>
      <w:pPr>
        <w:spacing w:after="160" w:line="276" w:lineRule="auto"/>
        <w:jc w:val="both"/>
      </w:pPr>
      <w:r>
        <w:rPr>
          <w:rFonts w:ascii="Arial" w:cs="Arial" w:eastAsia="Arial" w:hAnsi="Arial"/>
          <w:color w:val="1A1A2E"/>
          <w:sz w:val="20"/>
          <w:szCs w:val="20"/>
        </w:rPr>
        <w:t xml:space="preserve">O ciclo de vida de uma Vortex Improvement Proposal (VIP) compreende as seguintes etapas:</w:t>
      </w:r>
    </w:p>
    <w:p>
      <w:pPr>
        <w:pStyle w:val="ListParagraph"/>
        <w:numPr>
          <w:ilvl w:val="0"/>
          <w:numId w:val="2"/>
        </w:numPr>
        <w:spacing w:after="80" w:line="260" w:lineRule="auto"/>
      </w:pPr>
      <w:r>
        <w:rPr>
          <w:rFonts w:ascii="Arial" w:cs="Arial" w:eastAsia="Arial" w:hAnsi="Arial"/>
          <w:color w:val="1A1A2E"/>
          <w:sz w:val="20"/>
          <w:szCs w:val="20"/>
        </w:rPr>
        <w:t xml:space="preserve">Fase 1 — Discussao (nao obrigatoria): o proponente apresenta a ideia no forum de governanca (snapshot.vortexprotocol.io) para colher feedback da comunidade antes de formalizar</w:t>
      </w:r>
    </w:p>
    <w:p>
      <w:pPr>
        <w:pStyle w:val="ListParagraph"/>
        <w:numPr>
          <w:ilvl w:val="0"/>
          <w:numId w:val="2"/>
        </w:numPr>
        <w:spacing w:after="80" w:line="260" w:lineRule="auto"/>
      </w:pPr>
      <w:r>
        <w:rPr>
          <w:rFonts w:ascii="Arial" w:cs="Arial" w:eastAsia="Arial" w:hAnsi="Arial"/>
          <w:color w:val="1A1A2E"/>
          <w:sz w:val="20"/>
          <w:szCs w:val="20"/>
        </w:rPr>
        <w:t xml:space="preserve">Fase 2 — Proposta Formal: o proponente com stake &gt;= 1M VTX submete a proposta on-chain via VortexGovernor.propose(), incluindo calldata exato da acao a ser executada</w:t>
      </w:r>
    </w:p>
    <w:p>
      <w:pPr>
        <w:pStyle w:val="ListParagraph"/>
        <w:numPr>
          <w:ilvl w:val="0"/>
          <w:numId w:val="2"/>
        </w:numPr>
        <w:spacing w:after="80" w:line="260" w:lineRule="auto"/>
      </w:pPr>
      <w:r>
        <w:rPr>
          <w:rFonts w:ascii="Arial" w:cs="Arial" w:eastAsia="Arial" w:hAnsi="Arial"/>
          <w:color w:val="1A1A2E"/>
          <w:sz w:val="20"/>
          <w:szCs w:val="20"/>
        </w:rPr>
        <w:t xml:space="preserve">Fase 3 — Votacao (5 dias): holders com VTX em stake votam FOR, AGAINST ou ABSTAIN; a contagem e snapshotada no bloco de inicio da votacao</w:t>
      </w:r>
    </w:p>
    <w:p>
      <w:pPr>
        <w:pStyle w:val="ListParagraph"/>
        <w:numPr>
          <w:ilvl w:val="0"/>
          <w:numId w:val="2"/>
        </w:numPr>
        <w:spacing w:after="80" w:line="260" w:lineRule="auto"/>
      </w:pPr>
      <w:r>
        <w:rPr>
          <w:rFonts w:ascii="Arial" w:cs="Arial" w:eastAsia="Arial" w:hAnsi="Arial"/>
          <w:color w:val="1A1A2E"/>
          <w:sz w:val="20"/>
          <w:szCs w:val="20"/>
        </w:rPr>
        <w:t xml:space="preserve">Fase 4 — Enfileiramento (se aprovada): a proposta e enfileirada no timelock; qualquer usuario pode chamar queue() apos confirmacao de quorum e maioria</w:t>
      </w:r>
    </w:p>
    <w:p>
      <w:pPr>
        <w:pStyle w:val="ListParagraph"/>
        <w:numPr>
          <w:ilvl w:val="0"/>
          <w:numId w:val="2"/>
        </w:numPr>
        <w:spacing w:after="80" w:line="260" w:lineRule="auto"/>
      </w:pPr>
      <w:r>
        <w:rPr>
          <w:rFonts w:ascii="Arial" w:cs="Arial" w:eastAsia="Arial" w:hAnsi="Arial"/>
          <w:color w:val="1A1A2E"/>
          <w:sz w:val="20"/>
          <w:szCs w:val="20"/>
        </w:rPr>
        <w:t xml:space="preserve">Fase 5 — Execucao (apos 48h): qualquer usuario pode chamar execute() apos o periodo de timelock; o contrato executa automaticamente a acao aprovada</w:t>
      </w:r>
    </w:p>
    <w:p>
      <w:pPr>
        <w:spacing w:after="100"/>
      </w:pPr>
    </w:p>
    <w:p>
      <w:pPr>
        <w:pStyle w:val="Heading2"/>
        <w:spacing w:after="140" w:before="300"/>
      </w:pPr>
      <w:r>
        <w:rPr>
          <w:rFonts w:ascii="Arial" w:cs="Arial" w:eastAsia="Arial" w:hAnsi="Arial"/>
          <w:b/>
          <w:bCs/>
          <w:color w:val="2D7DD2"/>
          <w:sz w:val="28"/>
          <w:szCs w:val="28"/>
        </w:rPr>
        <w:t xml:space="preserve">7.3 Parametros Controlados pela Governanca</w:t>
      </w:r>
    </w:p>
    <w:p>
      <w:pPr>
        <w:spacing w:after="160" w:line="276" w:lineRule="auto"/>
        <w:jc w:val="both"/>
      </w:pPr>
      <w:r>
        <w:rPr>
          <w:rFonts w:ascii="Arial" w:cs="Arial" w:eastAsia="Arial" w:hAnsi="Arial"/>
          <w:color w:val="1A1A2E"/>
          <w:sz w:val="20"/>
          <w:szCs w:val="20"/>
        </w:rPr>
        <w:t xml:space="preserve">A governanca tem poder de controle sobre os seguintes aspectos do protocolo:</w:t>
      </w:r>
    </w:p>
    <w:p>
      <w:pPr>
        <w:pStyle w:val="ListParagraph"/>
        <w:numPr>
          <w:ilvl w:val="0"/>
          <w:numId w:val="2"/>
        </w:numPr>
        <w:spacing w:after="80" w:line="260" w:lineRule="auto"/>
      </w:pPr>
      <w:r>
        <w:rPr>
          <w:rFonts w:ascii="Arial" w:cs="Arial" w:eastAsia="Arial" w:hAnsi="Arial"/>
          <w:color w:val="1A1A2E"/>
          <w:sz w:val="20"/>
          <w:szCs w:val="20"/>
        </w:rPr>
        <w:t xml:space="preserve">Fee do protocolo (atualmente 0.05%): pode ser ajustada entre 0.01% e 0.20%</w:t>
      </w:r>
    </w:p>
    <w:p>
      <w:pPr>
        <w:pStyle w:val="ListParagraph"/>
        <w:numPr>
          <w:ilvl w:val="0"/>
          <w:numId w:val="2"/>
        </w:numPr>
        <w:spacing w:after="80" w:line="260" w:lineRule="auto"/>
      </w:pPr>
      <w:r>
        <w:rPr>
          <w:rFonts w:ascii="Arial" w:cs="Arial" w:eastAsia="Arial" w:hAnsi="Arial"/>
          <w:color w:val="1A1A2E"/>
          <w:sz w:val="20"/>
          <w:szCs w:val="20"/>
        </w:rPr>
        <w:t xml:space="preserve">Distribuicao de fee entre stakers, tesouro e operacoes</w:t>
      </w:r>
    </w:p>
    <w:p>
      <w:pPr>
        <w:pStyle w:val="ListParagraph"/>
        <w:numPr>
          <w:ilvl w:val="0"/>
          <w:numId w:val="2"/>
        </w:numPr>
        <w:spacing w:after="80" w:line="260" w:lineRule="auto"/>
      </w:pPr>
      <w:r>
        <w:rPr>
          <w:rFonts w:ascii="Arial" w:cs="Arial" w:eastAsia="Arial" w:hAnsi="Arial"/>
          <w:color w:val="1A1A2E"/>
          <w:sz w:val="20"/>
          <w:szCs w:val="20"/>
        </w:rPr>
        <w:t xml:space="preserve">Adicao de novas chains e pontes suportadas</w:t>
      </w:r>
    </w:p>
    <w:p>
      <w:pPr>
        <w:pStyle w:val="ListParagraph"/>
        <w:numPr>
          <w:ilvl w:val="0"/>
          <w:numId w:val="2"/>
        </w:numPr>
        <w:spacing w:after="80" w:line="260" w:lineRule="auto"/>
      </w:pPr>
      <w:r>
        <w:rPr>
          <w:rFonts w:ascii="Arial" w:cs="Arial" w:eastAsia="Arial" w:hAnsi="Arial"/>
          <w:color w:val="1A1A2E"/>
          <w:sz w:val="20"/>
          <w:szCs w:val="20"/>
        </w:rPr>
        <w:t xml:space="preserve">Parametros de auction: duracao do leilao, curva de preco, tempo de graca</w:t>
      </w:r>
    </w:p>
    <w:p>
      <w:pPr>
        <w:pStyle w:val="ListParagraph"/>
        <w:numPr>
          <w:ilvl w:val="0"/>
          <w:numId w:val="2"/>
        </w:numPr>
        <w:spacing w:after="80" w:line="260" w:lineRule="auto"/>
      </w:pPr>
      <w:r>
        <w:rPr>
          <w:rFonts w:ascii="Arial" w:cs="Arial" w:eastAsia="Arial" w:hAnsi="Arial"/>
          <w:color w:val="1A1A2E"/>
          <w:sz w:val="20"/>
          <w:szCs w:val="20"/>
        </w:rPr>
        <w:t xml:space="preserve">Stake minimo de solver (atualmente 10,000 VTX)</w:t>
      </w:r>
    </w:p>
    <w:p>
      <w:pPr>
        <w:pStyle w:val="ListParagraph"/>
        <w:numPr>
          <w:ilvl w:val="0"/>
          <w:numId w:val="2"/>
        </w:numPr>
        <w:spacing w:after="80" w:line="260" w:lineRule="auto"/>
      </w:pPr>
      <w:r>
        <w:rPr>
          <w:rFonts w:ascii="Arial" w:cs="Arial" w:eastAsia="Arial" w:hAnsi="Arial"/>
          <w:color w:val="1A1A2E"/>
          <w:sz w:val="20"/>
          <w:szCs w:val="20"/>
        </w:rPr>
        <w:t xml:space="preserve">Parametros de slashing: percentual minimo e maximo</w:t>
      </w:r>
    </w:p>
    <w:p>
      <w:pPr>
        <w:pStyle w:val="ListParagraph"/>
        <w:numPr>
          <w:ilvl w:val="0"/>
          <w:numId w:val="2"/>
        </w:numPr>
        <w:spacing w:after="80" w:line="260" w:lineRule="auto"/>
      </w:pPr>
      <w:r>
        <w:rPr>
          <w:rFonts w:ascii="Arial" w:cs="Arial" w:eastAsia="Arial" w:hAnsi="Arial"/>
          <w:color w:val="1A1A2E"/>
          <w:sz w:val="20"/>
          <w:szCs w:val="20"/>
        </w:rPr>
        <w:t xml:space="preserve">Aprovacao de upgrades do VortexRouter e VortexStaking</w:t>
      </w:r>
    </w:p>
    <w:p>
      <w:pPr>
        <w:pStyle w:val="ListParagraph"/>
        <w:numPr>
          <w:ilvl w:val="0"/>
          <w:numId w:val="2"/>
        </w:numPr>
        <w:spacing w:after="80" w:line="260" w:lineRule="auto"/>
      </w:pPr>
      <w:r>
        <w:rPr>
          <w:rFonts w:ascii="Arial" w:cs="Arial" w:eastAsia="Arial" w:hAnsi="Arial"/>
          <w:color w:val="1A1A2E"/>
          <w:sz w:val="20"/>
          <w:szCs w:val="20"/>
        </w:rPr>
        <w:t xml:space="preserve">Alocacao do tesouro (grants, parcerias, buybacks)</w:t>
      </w:r>
    </w:p>
    <w:p>
      <w:pPr>
        <w:pStyle w:val="ListParagraph"/>
        <w:numPr>
          <w:ilvl w:val="0"/>
          <w:numId w:val="2"/>
        </w:numPr>
        <w:spacing w:after="80" w:line="260" w:lineRule="auto"/>
      </w:pPr>
      <w:r>
        <w:rPr>
          <w:rFonts w:ascii="Arial" w:cs="Arial" w:eastAsia="Arial" w:hAnsi="Arial"/>
          <w:color w:val="1A1A2E"/>
          <w:sz w:val="20"/>
          <w:szCs w:val="20"/>
        </w:rPr>
        <w:t xml:space="preserve">Ativacao e parametros do mecanismo de burn</w:t>
      </w:r>
    </w:p>
    <w:p>
      <w:pPr>
        <w:pStyle w:val="ListParagraph"/>
        <w:numPr>
          <w:ilvl w:val="0"/>
          <w:numId w:val="2"/>
        </w:numPr>
        <w:spacing w:after="80" w:line="260" w:lineRule="auto"/>
      </w:pPr>
      <w:r>
        <w:rPr>
          <w:rFonts w:ascii="Arial" w:cs="Arial" w:eastAsia="Arial" w:hAnsi="Arial"/>
          <w:color w:val="1A1A2E"/>
          <w:sz w:val="20"/>
          <w:szCs w:val="20"/>
        </w:rPr>
        <w:t xml:space="preserve">Adicao ou remocao de oraculos e sistemas de mensageria cross-chain</w:t>
      </w:r>
    </w:p>
    <w:p>
      <w:pPr>
        <w:spacing w:after="100"/>
      </w:pP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Nota de Descentralizacao: </w:t>
      </w:r>
      <w:r>
        <w:rPr>
          <w:rFonts w:ascii="Arial" w:cs="Arial" w:eastAsia="Arial" w:hAnsi="Arial"/>
          <w:color w:val="1A1A2E"/>
          <w:sz w:val="20"/>
          <w:szCs w:val="20"/>
        </w:rPr>
        <w:t xml:space="preserve">Durante os primeiros 12 meses, o multisig da equipe (5/9) retém poder de pause() emergencial do protocolo, sem poder de upgrade. Este poder caduca automaticamente apos 12 meses ou quando a governanca votar sua remocao, o que ocorrer primeiro.</w:t>
      </w:r>
    </w:p>
    <w:p>
      <w:r>
        <w:br w:type="page"/>
      </w:r>
    </w:p>
    <w:p>
      <w:pPr>
        <w:pStyle w:val="Heading1"/>
        <w:spacing w:after="200" w:before="400"/>
      </w:pPr>
      <w:r>
        <w:rPr>
          <w:rFonts w:ascii="Arial" w:cs="Arial" w:eastAsia="Arial" w:hAnsi="Arial"/>
          <w:b/>
          <w:bCs/>
          <w:color w:val="1A3C6E"/>
          <w:sz w:val="36"/>
          <w:szCs w:val="36"/>
        </w:rPr>
        <w:t xml:space="preserve">Roadmap</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 xml:space="preserve">O roadmap do Vortex Protocol e organizado em fases semestrais que refletem a progressao natural de um protocolo DeFi: de testnet controlada a protocolo maduro com governanca completamente descentralizada. Cada fase tem criterios de sucesso mensuravelmente definidos.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Periodo</w:t>
            </w:r>
          </w:p>
        </w:tc>
        <w:tc>
          <w:tcPr>
            <w:tcW w:type="dxa" w:w="2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Marco</w:t>
            </w:r>
          </w:p>
        </w:tc>
        <w:tc>
          <w:tcPr>
            <w:tcW w:type="dxa" w:w="47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Entregaveis Principais</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Q3 2026</w:t>
            </w:r>
          </w:p>
        </w:tc>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Testnet Publica</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Deploy em testnets (Goerli, Arbitrum Goerli, Solana Devnet); programa de solvers beta; interface de usuario v0.1; hackathon de integracao</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Q4 2026</w:t>
            </w:r>
          </w:p>
        </w:tc>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Auditorias &amp; Mainnet</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Auditorias Trail of Bits e OpenZeppelin; deploy mainnet Base e Arbitrum; TGE e listagem DEX; bug bounty ativo $500K</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Q1 2027</w:t>
            </w:r>
          </w:p>
        </w:tc>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Expansao Multi-chain</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Integracao Solana, BNB Chain e Polygon; SDK para integradores; primeiros 50 solvers ativos; volume mensal $100M+</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Q2 2027</w:t>
            </w:r>
          </w:p>
        </w:tc>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Listagens CEX &amp; Growth</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Listagens em exchanges centralizadas Tier 2/3; integracao com carteiras (MetaMask, Phantom); parceria com 3 protocolos DeFi</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Q3 2027</w:t>
            </w:r>
          </w:p>
        </w:tc>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Protocolo Maduro</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Governanca totalmente on-chain; 100+ solvers ativos; integracao zkBridge; volume mensal $500M+</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Q4 2027</w:t>
            </w:r>
          </w:p>
        </w:tc>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Vortex V2</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Intents compostas; suporte a NFTs e ativos RWA cross-chain; SDK mobile; modelo de solver permissionless aprimorado</w:t>
            </w:r>
          </w:p>
        </w:tc>
      </w:tr>
    </w:tbl>
    <w:p>
      <w:pPr>
        <w:spacing w:after="200"/>
      </w:pPr>
    </w:p>
    <w:p>
      <w:pPr>
        <w:pStyle w:val="Heading2"/>
        <w:spacing w:after="140" w:before="300"/>
      </w:pPr>
      <w:r>
        <w:rPr>
          <w:rFonts w:ascii="Arial" w:cs="Arial" w:eastAsia="Arial" w:hAnsi="Arial"/>
          <w:b/>
          <w:bCs/>
          <w:color w:val="2D7DD2"/>
          <w:sz w:val="28"/>
          <w:szCs w:val="28"/>
        </w:rPr>
        <w:t xml:space="preserve">8.1 Criterios de Sucesso por Fase</w:t>
      </w:r>
    </w:p>
    <w:p>
      <w:pPr>
        <w:spacing w:after="160" w:line="276" w:lineRule="auto"/>
        <w:jc w:val="both"/>
      </w:pPr>
      <w:r>
        <w:rPr>
          <w:rFonts w:ascii="Arial" w:cs="Arial" w:eastAsia="Arial" w:hAnsi="Arial"/>
          <w:color w:val="1A1A2E"/>
          <w:sz w:val="20"/>
          <w:szCs w:val="20"/>
        </w:rPr>
        <w:t xml:space="preserve">Os seguintes KPIs quantitativos definem o sucesso de cada fase:</w:t>
      </w:r>
    </w:p>
    <w:p>
      <w:pPr>
        <w:pStyle w:val="Heading3"/>
        <w:spacing w:after="100" w:before="200"/>
      </w:pPr>
      <w:r>
        <w:rPr>
          <w:rFonts w:ascii="Arial" w:cs="Arial" w:eastAsia="Arial" w:hAnsi="Arial"/>
          <w:b/>
          <w:bCs/>
          <w:color w:val="1A3C6E"/>
          <w:sz w:val="22"/>
          <w:szCs w:val="22"/>
        </w:rPr>
        <w:t xml:space="preserve">Q3 2026 — Testnet</w:t>
      </w:r>
    </w:p>
    <w:p>
      <w:pPr>
        <w:pStyle w:val="ListParagraph"/>
        <w:numPr>
          <w:ilvl w:val="0"/>
          <w:numId w:val="2"/>
        </w:numPr>
        <w:spacing w:after="80" w:line="260" w:lineRule="auto"/>
      </w:pPr>
      <w:r>
        <w:rPr>
          <w:rFonts w:ascii="Arial" w:cs="Arial" w:eastAsia="Arial" w:hAnsi="Arial"/>
          <w:color w:val="1A1A2E"/>
          <w:sz w:val="20"/>
          <w:szCs w:val="20"/>
        </w:rPr>
        <w:t xml:space="preserve">Minimo de 20 solvers ativos na testnet</w:t>
      </w:r>
    </w:p>
    <w:p>
      <w:pPr>
        <w:pStyle w:val="ListParagraph"/>
        <w:numPr>
          <w:ilvl w:val="0"/>
          <w:numId w:val="2"/>
        </w:numPr>
        <w:spacing w:after="80" w:line="260" w:lineRule="auto"/>
      </w:pPr>
      <w:r>
        <w:rPr>
          <w:rFonts w:ascii="Arial" w:cs="Arial" w:eastAsia="Arial" w:hAnsi="Arial"/>
          <w:color w:val="1A1A2E"/>
          <w:sz w:val="20"/>
          <w:szCs w:val="20"/>
        </w:rPr>
        <w:t xml:space="preserve">1,000+ intents processadas com sucesso na testnet</w:t>
      </w:r>
    </w:p>
    <w:p>
      <w:pPr>
        <w:pStyle w:val="ListParagraph"/>
        <w:numPr>
          <w:ilvl w:val="0"/>
          <w:numId w:val="2"/>
        </w:numPr>
        <w:spacing w:after="80" w:line="260" w:lineRule="auto"/>
      </w:pPr>
      <w:r>
        <w:rPr>
          <w:rFonts w:ascii="Arial" w:cs="Arial" w:eastAsia="Arial" w:hAnsi="Arial"/>
          <w:color w:val="1A1A2E"/>
          <w:sz w:val="20"/>
          <w:szCs w:val="20"/>
        </w:rPr>
        <w:t xml:space="preserve">Taxa de execucao bem-sucedida &gt;= 95% das intents submetidas</w:t>
      </w:r>
    </w:p>
    <w:p>
      <w:pPr>
        <w:pStyle w:val="ListParagraph"/>
        <w:numPr>
          <w:ilvl w:val="0"/>
          <w:numId w:val="2"/>
        </w:numPr>
        <w:spacing w:after="80" w:line="260" w:lineRule="auto"/>
      </w:pPr>
      <w:r>
        <w:rPr>
          <w:rFonts w:ascii="Arial" w:cs="Arial" w:eastAsia="Arial" w:hAnsi="Arial"/>
          <w:color w:val="1A1A2E"/>
          <w:sz w:val="20"/>
          <w:szCs w:val="20"/>
        </w:rPr>
        <w:t xml:space="preserve">Latencia media de settlement &lt; 5 minutos</w:t>
      </w:r>
    </w:p>
    <w:p>
      <w:pPr>
        <w:pStyle w:val="Heading3"/>
        <w:spacing w:after="100" w:before="200"/>
      </w:pPr>
      <w:r>
        <w:rPr>
          <w:rFonts w:ascii="Arial" w:cs="Arial" w:eastAsia="Arial" w:hAnsi="Arial"/>
          <w:b/>
          <w:bCs/>
          <w:color w:val="1A3C6E"/>
          <w:sz w:val="22"/>
          <w:szCs w:val="22"/>
        </w:rPr>
        <w:t xml:space="preserve">Q4 2026 — Mainnet</w:t>
      </w:r>
    </w:p>
    <w:p>
      <w:pPr>
        <w:pStyle w:val="ListParagraph"/>
        <w:numPr>
          <w:ilvl w:val="0"/>
          <w:numId w:val="2"/>
        </w:numPr>
        <w:spacing w:after="80" w:line="260" w:lineRule="auto"/>
      </w:pPr>
      <w:r>
        <w:rPr>
          <w:rFonts w:ascii="Arial" w:cs="Arial" w:eastAsia="Arial" w:hAnsi="Arial"/>
          <w:color w:val="1A1A2E"/>
          <w:sz w:val="20"/>
          <w:szCs w:val="20"/>
        </w:rPr>
        <w:t xml:space="preserve">2 relatorios de auditoria publicados sem findings criticos</w:t>
      </w:r>
    </w:p>
    <w:p>
      <w:pPr>
        <w:pStyle w:val="ListParagraph"/>
        <w:numPr>
          <w:ilvl w:val="0"/>
          <w:numId w:val="2"/>
        </w:numPr>
        <w:spacing w:after="80" w:line="260" w:lineRule="auto"/>
      </w:pPr>
      <w:r>
        <w:rPr>
          <w:rFonts w:ascii="Arial" w:cs="Arial" w:eastAsia="Arial" w:hAnsi="Arial"/>
          <w:color w:val="1A1A2E"/>
          <w:sz w:val="20"/>
          <w:szCs w:val="20"/>
        </w:rPr>
        <w:t xml:space="preserve">$10M em volume nas primeiras 4 semanas</w:t>
      </w:r>
    </w:p>
    <w:p>
      <w:pPr>
        <w:pStyle w:val="ListParagraph"/>
        <w:numPr>
          <w:ilvl w:val="0"/>
          <w:numId w:val="2"/>
        </w:numPr>
        <w:spacing w:after="80" w:line="260" w:lineRule="auto"/>
      </w:pPr>
      <w:r>
        <w:rPr>
          <w:rFonts w:ascii="Arial" w:cs="Arial" w:eastAsia="Arial" w:hAnsi="Arial"/>
          <w:color w:val="1A1A2E"/>
          <w:sz w:val="20"/>
          <w:szCs w:val="20"/>
        </w:rPr>
        <w:t xml:space="preserve">10+ solvers ativos em mainnet</w:t>
      </w:r>
    </w:p>
    <w:p>
      <w:pPr>
        <w:pStyle w:val="ListParagraph"/>
        <w:numPr>
          <w:ilvl w:val="0"/>
          <w:numId w:val="2"/>
        </w:numPr>
        <w:spacing w:after="80" w:line="260" w:lineRule="auto"/>
      </w:pPr>
      <w:r>
        <w:rPr>
          <w:rFonts w:ascii="Arial" w:cs="Arial" w:eastAsia="Arial" w:hAnsi="Arial"/>
          <w:color w:val="1A1A2E"/>
          <w:sz w:val="20"/>
          <w:szCs w:val="20"/>
        </w:rPr>
        <w:t xml:space="preserve">TVL em staking &gt;= $1M USD equivalente em VTX</w:t>
      </w:r>
    </w:p>
    <w:p>
      <w:pPr>
        <w:pStyle w:val="Heading3"/>
        <w:spacing w:after="100" w:before="200"/>
      </w:pPr>
      <w:r>
        <w:rPr>
          <w:rFonts w:ascii="Arial" w:cs="Arial" w:eastAsia="Arial" w:hAnsi="Arial"/>
          <w:b/>
          <w:bCs/>
          <w:color w:val="1A3C6E"/>
          <w:sz w:val="22"/>
          <w:szCs w:val="22"/>
        </w:rPr>
        <w:t xml:space="preserve">Q1 2027 — Expansao</w:t>
      </w:r>
    </w:p>
    <w:p>
      <w:pPr>
        <w:pStyle w:val="ListParagraph"/>
        <w:numPr>
          <w:ilvl w:val="0"/>
          <w:numId w:val="2"/>
        </w:numPr>
        <w:spacing w:after="80" w:line="260" w:lineRule="auto"/>
      </w:pPr>
      <w:r>
        <w:rPr>
          <w:rFonts w:ascii="Arial" w:cs="Arial" w:eastAsia="Arial" w:hAnsi="Arial"/>
          <w:color w:val="1A1A2E"/>
          <w:sz w:val="20"/>
          <w:szCs w:val="20"/>
        </w:rPr>
        <w:t xml:space="preserve">5+ chains suportadas</w:t>
      </w:r>
    </w:p>
    <w:p>
      <w:pPr>
        <w:pStyle w:val="ListParagraph"/>
        <w:numPr>
          <w:ilvl w:val="0"/>
          <w:numId w:val="2"/>
        </w:numPr>
        <w:spacing w:after="80" w:line="260" w:lineRule="auto"/>
      </w:pPr>
      <w:r>
        <w:rPr>
          <w:rFonts w:ascii="Arial" w:cs="Arial" w:eastAsia="Arial" w:hAnsi="Arial"/>
          <w:color w:val="1A1A2E"/>
          <w:sz w:val="20"/>
          <w:szCs w:val="20"/>
        </w:rPr>
        <w:t xml:space="preserve">50+ solvers ativos</w:t>
      </w:r>
    </w:p>
    <w:p>
      <w:pPr>
        <w:pStyle w:val="ListParagraph"/>
        <w:numPr>
          <w:ilvl w:val="0"/>
          <w:numId w:val="2"/>
        </w:numPr>
        <w:spacing w:after="80" w:line="260" w:lineRule="auto"/>
      </w:pPr>
      <w:r>
        <w:rPr>
          <w:rFonts w:ascii="Arial" w:cs="Arial" w:eastAsia="Arial" w:hAnsi="Arial"/>
          <w:color w:val="1A1A2E"/>
          <w:sz w:val="20"/>
          <w:szCs w:val="20"/>
        </w:rPr>
        <w:t xml:space="preserve">Volume mensal &gt;= $100M</w:t>
      </w:r>
    </w:p>
    <w:p>
      <w:pPr>
        <w:pStyle w:val="ListParagraph"/>
        <w:numPr>
          <w:ilvl w:val="0"/>
          <w:numId w:val="2"/>
        </w:numPr>
        <w:spacing w:after="80" w:line="260" w:lineRule="auto"/>
      </w:pPr>
      <w:r>
        <w:rPr>
          <w:rFonts w:ascii="Arial" w:cs="Arial" w:eastAsia="Arial" w:hAnsi="Arial"/>
          <w:color w:val="1A1A2E"/>
          <w:sz w:val="20"/>
          <w:szCs w:val="20"/>
        </w:rPr>
        <w:t xml:space="preserve">NPS de usuarios &gt;= 40 (pesquisa de satisfacao trimensal)</w:t>
      </w:r>
    </w:p>
    <w:p>
      <w:pPr>
        <w:pStyle w:val="Heading3"/>
        <w:spacing w:after="100" w:before="200"/>
      </w:pPr>
      <w:r>
        <w:rPr>
          <w:rFonts w:ascii="Arial" w:cs="Arial" w:eastAsia="Arial" w:hAnsi="Arial"/>
          <w:b/>
          <w:bCs/>
          <w:color w:val="1A3C6E"/>
          <w:sz w:val="22"/>
          <w:szCs w:val="22"/>
        </w:rPr>
        <w:t xml:space="preserve">Q2-Q4 2027 — Maturidade</w:t>
      </w:r>
    </w:p>
    <w:p>
      <w:pPr>
        <w:pStyle w:val="ListParagraph"/>
        <w:numPr>
          <w:ilvl w:val="0"/>
          <w:numId w:val="2"/>
        </w:numPr>
        <w:spacing w:after="80" w:line="260" w:lineRule="auto"/>
      </w:pPr>
      <w:r>
        <w:rPr>
          <w:rFonts w:ascii="Arial" w:cs="Arial" w:eastAsia="Arial" w:hAnsi="Arial"/>
          <w:color w:val="1A1A2E"/>
          <w:sz w:val="20"/>
          <w:szCs w:val="20"/>
        </w:rPr>
        <w:t xml:space="preserve">100+ solvers ativos</w:t>
      </w:r>
    </w:p>
    <w:p>
      <w:pPr>
        <w:pStyle w:val="ListParagraph"/>
        <w:numPr>
          <w:ilvl w:val="0"/>
          <w:numId w:val="2"/>
        </w:numPr>
        <w:spacing w:after="80" w:line="260" w:lineRule="auto"/>
      </w:pPr>
      <w:r>
        <w:rPr>
          <w:rFonts w:ascii="Arial" w:cs="Arial" w:eastAsia="Arial" w:hAnsi="Arial"/>
          <w:color w:val="1A1A2E"/>
          <w:sz w:val="20"/>
          <w:szCs w:val="20"/>
        </w:rPr>
        <w:t xml:space="preserve">Volume mensal &gt;= $500M</w:t>
      </w:r>
    </w:p>
    <w:p>
      <w:pPr>
        <w:pStyle w:val="ListParagraph"/>
        <w:numPr>
          <w:ilvl w:val="0"/>
          <w:numId w:val="2"/>
        </w:numPr>
        <w:spacing w:after="80" w:line="260" w:lineRule="auto"/>
      </w:pPr>
      <w:r>
        <w:rPr>
          <w:rFonts w:ascii="Arial" w:cs="Arial" w:eastAsia="Arial" w:hAnsi="Arial"/>
          <w:color w:val="1A1A2E"/>
          <w:sz w:val="20"/>
          <w:szCs w:val="20"/>
        </w:rPr>
        <w:t xml:space="preserve">Governanca 100% descentralizada (sem multisig de veto)</w:t>
      </w:r>
    </w:p>
    <w:p>
      <w:pPr>
        <w:pStyle w:val="ListParagraph"/>
        <w:numPr>
          <w:ilvl w:val="0"/>
          <w:numId w:val="2"/>
        </w:numPr>
        <w:spacing w:after="80" w:line="260" w:lineRule="auto"/>
      </w:pPr>
      <w:r>
        <w:rPr>
          <w:rFonts w:ascii="Arial" w:cs="Arial" w:eastAsia="Arial" w:hAnsi="Arial"/>
          <w:color w:val="1A1A2E"/>
          <w:sz w:val="20"/>
          <w:szCs w:val="20"/>
        </w:rPr>
        <w:t xml:space="preserve">Integracao com 3+ carteiras DeFi nativas</w:t>
      </w:r>
    </w:p>
    <w:p>
      <w:r>
        <w:br w:type="page"/>
      </w:r>
    </w:p>
    <w:p>
      <w:pPr>
        <w:pStyle w:val="Heading1"/>
        <w:spacing w:after="200" w:before="400"/>
      </w:pPr>
      <w:r>
        <w:rPr>
          <w:rFonts w:ascii="Arial" w:cs="Arial" w:eastAsia="Arial" w:hAnsi="Arial"/>
          <w:b/>
          <w:bCs/>
          <w:color w:val="1A3C6E"/>
          <w:sz w:val="36"/>
          <w:szCs w:val="36"/>
        </w:rPr>
        <w:t xml:space="preserve">Analise Competitiva</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 xml:space="preserve">O mercado de agregacao de liquidez e roteamento cross-chain e amplo e crescente, com varios players estabelecidos. Contudo, nenhum deles combina as capacidades que o Vortex Protocol oferece. A tabela a seguir compara o Vortex com os principais concorrentes: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350"/>
        <w:gridCol w:w="1350"/>
        <w:gridCol w:w="1350"/>
        <w:gridCol w:w="2310"/>
      </w:tblGrid>
      <w:tr>
        <w:trPr>
          <w:tblHeader/>
        </w:trPr>
        <w:tc>
          <w:tcPr>
            <w:tcW w:type="dxa" w:w="16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Protocolo</w:t>
            </w:r>
          </w:p>
        </w:tc>
        <w:tc>
          <w:tcPr>
            <w:tcW w:type="dxa" w:w="1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35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Chains</w:t>
            </w:r>
          </w:p>
        </w:tc>
        <w:tc>
          <w:tcPr>
            <w:tcW w:type="dxa" w:w="135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Intent-Based</w:t>
            </w:r>
          </w:p>
        </w:tc>
        <w:tc>
          <w:tcPr>
            <w:tcW w:type="dxa" w:w="135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Solver Auction</w:t>
            </w:r>
          </w:p>
        </w:tc>
        <w:tc>
          <w:tcPr>
            <w:tcW w:type="dxa" w:w="231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Diferencial</w:t>
            </w:r>
          </w:p>
        </w:tc>
      </w:tr>
      <w:tr>
        <w:tc>
          <w:tcPr>
            <w:tcW w:type="dxa" w:w="1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1inch</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Multi-DEX Agg.</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Single-chain</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Sem solver auction; sem cross-chain nativo</w:t>
            </w:r>
          </w:p>
        </w:tc>
      </w:tr>
      <w:tr>
        <w:tc>
          <w:tcPr>
            <w:tcW w:type="dxa" w:w="16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Jupiter</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DEX Agg.</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Solana only</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Lider Solana; limitado a uma chain</w:t>
            </w:r>
          </w:p>
        </w:tc>
      </w:tr>
      <w:tr>
        <w:tc>
          <w:tcPr>
            <w:tcW w:type="dxa" w:w="1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LiFi</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Bridge Agg.</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Multi-chain</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Parcial</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Foco em bridges; sem competicao de solvers</w:t>
            </w:r>
          </w:p>
        </w:tc>
      </w:tr>
      <w:tr>
        <w:tc>
          <w:tcPr>
            <w:tcW w:type="dxa" w:w="16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CoW Protocol</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Intent / Batch</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Ethereum</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Sim</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Batch auctions; chain unica</w:t>
            </w:r>
          </w:p>
        </w:tc>
      </w:tr>
      <w:tr>
        <w:tc>
          <w:tcPr>
            <w:tcW w:type="dxa" w:w="1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Across Protocol</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Bridge</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Multi-chain</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Relayers; sem otimizacao de execucao</w:t>
            </w:r>
          </w:p>
        </w:tc>
      </w:tr>
      <w:tr>
        <w:tc>
          <w:tcPr>
            <w:tcW w:type="dxa" w:w="16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VORTEX (VTX)</w:t>
            </w:r>
          </w:p>
        </w:tc>
        <w:tc>
          <w:tcPr>
            <w:tcW w:type="dxa" w:w="14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Intent Router</w:t>
            </w:r>
          </w:p>
        </w:tc>
        <w:tc>
          <w:tcPr>
            <w:tcW w:type="dxa" w:w="135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Multi-chain</w:t>
            </w:r>
          </w:p>
        </w:tc>
        <w:tc>
          <w:tcPr>
            <w:tcW w:type="dxa" w:w="135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Sim</w:t>
            </w:r>
          </w:p>
        </w:tc>
        <w:tc>
          <w:tcPr>
            <w:tcW w:type="dxa" w:w="135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Sim</w:t>
            </w:r>
          </w:p>
        </w:tc>
        <w:tc>
          <w:tcPr>
            <w:tcW w:type="dxa" w:w="231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Unico: solver auction cross-chain nativo</w:t>
            </w:r>
          </w:p>
        </w:tc>
      </w:tr>
    </w:tbl>
    <w:p>
      <w:pPr>
        <w:spacing w:after="200"/>
      </w:pPr>
    </w:p>
    <w:p>
      <w:pPr>
        <w:pStyle w:val="Heading2"/>
        <w:spacing w:after="140" w:before="300"/>
      </w:pPr>
      <w:r>
        <w:rPr>
          <w:rFonts w:ascii="Arial" w:cs="Arial" w:eastAsia="Arial" w:hAnsi="Arial"/>
          <w:b/>
          <w:bCs/>
          <w:color w:val="2D7DD2"/>
          <w:sz w:val="28"/>
          <w:szCs w:val="28"/>
        </w:rPr>
        <w:t xml:space="preserve">9.1 Analise Individual dos Concorrentes</w:t>
      </w:r>
    </w:p>
    <w:p>
      <w:pPr>
        <w:pStyle w:val="Heading3"/>
        <w:spacing w:after="100" w:before="200"/>
      </w:pPr>
      <w:r>
        <w:rPr>
          <w:rFonts w:ascii="Arial" w:cs="Arial" w:eastAsia="Arial" w:hAnsi="Arial"/>
          <w:b/>
          <w:bCs/>
          <w:color w:val="1A3C6E"/>
          <w:sz w:val="22"/>
          <w:szCs w:val="22"/>
        </w:rPr>
        <w:t xml:space="preserve">1inch Network</w:t>
      </w:r>
    </w:p>
    <w:p>
      <w:pPr>
        <w:spacing w:after="160" w:line="276" w:lineRule="auto"/>
        <w:jc w:val="both"/>
      </w:pPr>
      <w:r>
        <w:rPr>
          <w:rFonts w:ascii="Arial" w:cs="Arial" w:eastAsia="Arial" w:hAnsi="Arial"/>
          <w:color w:val="1A1A2E"/>
          <w:sz w:val="20"/>
          <w:szCs w:val="20"/>
        </w:rPr>
        <w:t xml:space="preserve">O 1inch e o agregador de DEX mais utilizado no ecosistema Ethereum, roteando transacoes atraves de multiplos protocolos para minimizar slippage. Sua forca reside na profundidade de integracao com DEXs single-chain. Limitacoes criticas: nao suporta operacoes genuinamente cross-chain; seu token 1INCH tem utilidade limitada alem de staking de governanca; nao possui mecanismo de solver auction. O Vortex supera o 1inch em escopo (cross-chain) e mecanismo de execucao (competicao de solvers vs roteamento determinista).</w:t>
      </w:r>
    </w:p>
    <w:p>
      <w:pPr>
        <w:pStyle w:val="Heading3"/>
        <w:spacing w:after="100" w:before="200"/>
      </w:pPr>
      <w:r>
        <w:rPr>
          <w:rFonts w:ascii="Arial" w:cs="Arial" w:eastAsia="Arial" w:hAnsi="Arial"/>
          <w:b/>
          <w:bCs/>
          <w:color w:val="1A3C6E"/>
          <w:sz w:val="22"/>
          <w:szCs w:val="22"/>
        </w:rPr>
        <w:t xml:space="preserve">Jupiter</w:t>
      </w:r>
    </w:p>
    <w:p>
      <w:pPr>
        <w:spacing w:after="160" w:line="276" w:lineRule="auto"/>
        <w:jc w:val="both"/>
      </w:pPr>
      <w:r>
        <w:rPr>
          <w:rFonts w:ascii="Arial" w:cs="Arial" w:eastAsia="Arial" w:hAnsi="Arial"/>
          <w:color w:val="1A1A2E"/>
          <w:sz w:val="20"/>
          <w:szCs w:val="20"/>
        </w:rPr>
        <w:t xml:space="preserve">Jupiter e o agregador dominante no ecossistema Solana, com excelente UX e profundidade de integracao com pools nativas. E extremamente eficiente dentro da Solana, mas fundamentalmente limitado a uma unica blockchain. Usuarios que precisam mover assets de ou para Solana devem recorrer a ferramentas externas. O Vortex integra Solana como uma das chains suportadas, tornando Jupiter um partner potencial (acesso a liquidez Solana via solvers) em vez de concorrente direto.</w:t>
      </w:r>
    </w:p>
    <w:p>
      <w:pPr>
        <w:pStyle w:val="Heading3"/>
        <w:spacing w:after="100" w:before="200"/>
      </w:pPr>
      <w:r>
        <w:rPr>
          <w:rFonts w:ascii="Arial" w:cs="Arial" w:eastAsia="Arial" w:hAnsi="Arial"/>
          <w:b/>
          <w:bCs/>
          <w:color w:val="1A3C6E"/>
          <w:sz w:val="22"/>
          <w:szCs w:val="22"/>
        </w:rPr>
        <w:t xml:space="preserve">LiFi Protocol</w:t>
      </w:r>
    </w:p>
    <w:p>
      <w:pPr>
        <w:spacing w:after="160" w:line="276" w:lineRule="auto"/>
        <w:jc w:val="both"/>
      </w:pPr>
      <w:r>
        <w:rPr>
          <w:rFonts w:ascii="Arial" w:cs="Arial" w:eastAsia="Arial" w:hAnsi="Arial"/>
          <w:color w:val="1A1A2E"/>
          <w:sz w:val="20"/>
          <w:szCs w:val="20"/>
        </w:rPr>
        <w:t xml:space="preserve">O LiFi oferece agregacao de bridges e DEX routing cross-chain, com boas integrações de API. Seu foco principal e em bridges — ele conecta usuarios a pontes existentes e executa swaps nos destinos. Falta ao LiFi o mecanismo de competicao de solvers: as rotas sao determinadas algoritmicamente, sem mercado competitivo de execucao. O modelo de fee do LiFi tambem distribui menos valor a holders de seu token.</w:t>
      </w:r>
    </w:p>
    <w:p>
      <w:pPr>
        <w:pStyle w:val="Heading3"/>
        <w:spacing w:after="100" w:before="200"/>
      </w:pPr>
      <w:r>
        <w:rPr>
          <w:rFonts w:ascii="Arial" w:cs="Arial" w:eastAsia="Arial" w:hAnsi="Arial"/>
          <w:b/>
          <w:bCs/>
          <w:color w:val="1A3C6E"/>
          <w:sz w:val="22"/>
          <w:szCs w:val="22"/>
        </w:rPr>
        <w:t xml:space="preserve">CoW Protocol</w:t>
      </w:r>
    </w:p>
    <w:p>
      <w:pPr>
        <w:spacing w:after="160" w:line="276" w:lineRule="auto"/>
        <w:jc w:val="both"/>
      </w:pPr>
      <w:r>
        <w:rPr>
          <w:rFonts w:ascii="Arial" w:cs="Arial" w:eastAsia="Arial" w:hAnsi="Arial"/>
          <w:color w:val="1A1A2E"/>
          <w:sz w:val="20"/>
          <w:szCs w:val="20"/>
        </w:rPr>
        <w:t xml:space="preserve">O CoW Protocol e o mais sofisticado entre os concorrentes em termos de mecanismo de auction — seus batch auctions e o conceito de 'Coincidence of Wants' (CoW) sao inovacoes genuinas. Contudo, o CoW Protocol opera exclusivamente na Ethereum (e Gnosis Chain), sem suporte a outras blockchains. Seu modelo de batch auction tambem tem latencia maior que o Dutch Auction do Vortex, tornando-o menos adequado para operacoes time-sensitive cross-chain.</w:t>
      </w:r>
    </w:p>
    <w:p>
      <w:pPr>
        <w:pStyle w:val="Heading2"/>
        <w:spacing w:after="140" w:before="300"/>
      </w:pPr>
      <w:r>
        <w:rPr>
          <w:rFonts w:ascii="Arial" w:cs="Arial" w:eastAsia="Arial" w:hAnsi="Arial"/>
          <w:b/>
          <w:bCs/>
          <w:color w:val="2D7DD2"/>
          <w:sz w:val="28"/>
          <w:szCs w:val="28"/>
        </w:rPr>
        <w:t xml:space="preserve">9.2 Posicionamento Estrategico do Vortex</w:t>
      </w:r>
    </w:p>
    <w:p>
      <w:pPr>
        <w:spacing w:after="160" w:line="276" w:lineRule="auto"/>
        <w:jc w:val="both"/>
      </w:pPr>
      <w:r>
        <w:rPr>
          <w:rFonts w:ascii="Arial" w:cs="Arial" w:eastAsia="Arial" w:hAnsi="Arial"/>
          <w:color w:val="1A1A2E"/>
          <w:sz w:val="20"/>
          <w:szCs w:val="20"/>
        </w:rPr>
        <w:t xml:space="preserve">O Vortex Protocol nao compete com DEXs nativas de cada chain — compete com a necessidade do usuario de interagir com essas DEXs diretamente. Ao abstrair toda a complexidade em uma interface de intents, o Vortex posiciona-se como a camada de execucao universal acima dos protocolos existentes, complementar e integrador em vez de substituto.</w:t>
      </w:r>
    </w:p>
    <w:p>
      <w:pPr>
        <w:spacing w:after="160" w:line="276" w:lineRule="auto"/>
        <w:jc w:val="both"/>
      </w:pPr>
      <w:r>
        <w:rPr>
          <w:rFonts w:ascii="Arial" w:cs="Arial" w:eastAsia="Arial" w:hAnsi="Arial"/>
          <w:color w:val="1A1A2E"/>
          <w:sz w:val="20"/>
          <w:szCs w:val="20"/>
        </w:rPr>
        <w:t xml:space="preserve">A vantagem competitiva do Vortex e sustentavel porque e estrutural: o modelo de solver auction cria rede de efeitos positivos — mais solvers aumentam a competicao, o que melhora a execucao para usuarios, o que aumenta o volume, o que aumenta as recompensas para solvers, o que atrai mais solvers. Este flywheel e dificil de replicar por concorrentes sem capital e base de usuarios ja estabelecidos.</w:t>
      </w:r>
    </w:p>
    <w:p>
      <w:r>
        <w:br w:type="page"/>
      </w:r>
    </w:p>
    <w:p>
      <w:pPr>
        <w:pStyle w:val="Heading1"/>
        <w:spacing w:after="200" w:before="400"/>
      </w:pPr>
      <w:r>
        <w:rPr>
          <w:rFonts w:ascii="Arial" w:cs="Arial" w:eastAsia="Arial" w:hAnsi="Arial"/>
          <w:b/>
          <w:bCs/>
          <w:color w:val="1A3C6E"/>
          <w:sz w:val="36"/>
          <w:szCs w:val="36"/>
        </w:rPr>
        <w:t xml:space="preserve">Riscos e Mitigacoes</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 xml:space="preserve">O Vortex Protocol opera em um ambiente de alto risco tecnologico, regulatorio e de mercado, carateristico do setor DeFi. A equipe adota uma postura proativa de identificacao e mitigacao de riscos. A tabela a seguir lista os principais riscos identificados: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Risco</w:t>
            </w:r>
          </w:p>
        </w:tc>
        <w:tc>
          <w:tcPr>
            <w:tcW w:type="dxa" w:w="1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Severidade</w:t>
            </w:r>
          </w:p>
        </w:tc>
        <w:tc>
          <w:tcPr>
            <w:tcW w:type="dxa" w:w="59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Mitigacao</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Vulnerabilidade de Smart Contract</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Alto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Auditorias multiplas (Trail of Bits, OpenZeppelin); bug bounty $500K; upgrades via timelock 48h</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Falha de Solver</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Medio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Slashing automatico; bond obrigatorio; penalidade proporcional ao dano</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Risco Regulatorio</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Medio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Compliance proativo; KYC/AML opcional para frontends; estrutura legal multi-jurisdicional</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Fragmentacao de Liquidez</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Medio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Integracao com pools existentes (Uniswap, Curve, Orca); solvers acessam liquidez nativa</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Risco de Oracle / Preco</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Baixo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Intents definidas pelo usuario; sem dependencia de oracle para execucao core</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Ataque de Governanca</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Baixo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Timelock 48h; quorum alto (10%); proposta exige 1M VTX; multisig 5/9 como guardiao</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Centralizacao de Solvers</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Baixo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Minimo stake acessivel (10k VTX); sem whitelist; qualquer entidade pode participar</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Risco de Mercado (VTX)</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Alto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Utilidade real; mecanismo de burn; vesting longo para equipe e investidores</w:t>
            </w:r>
          </w:p>
        </w:tc>
      </w:tr>
    </w:tbl>
    <w:p>
      <w:pPr>
        <w:spacing w:after="200"/>
      </w:pPr>
    </w:p>
    <w:p>
      <w:pPr>
        <w:pStyle w:val="Heading2"/>
        <w:spacing w:after="140" w:before="300"/>
      </w:pPr>
      <w:r>
        <w:rPr>
          <w:rFonts w:ascii="Arial" w:cs="Arial" w:eastAsia="Arial" w:hAnsi="Arial"/>
          <w:b/>
          <w:bCs/>
          <w:color w:val="2D7DD2"/>
          <w:sz w:val="28"/>
          <w:szCs w:val="28"/>
        </w:rPr>
        <w:t xml:space="preserve">10.1 Riscos Tecnologicos em Detalhe</w:t>
      </w:r>
    </w:p>
    <w:p>
      <w:pPr>
        <w:spacing w:after="160" w:line="276" w:lineRule="auto"/>
        <w:jc w:val="both"/>
      </w:pPr>
      <w:r>
        <w:rPr>
          <w:rFonts w:ascii="Arial" w:cs="Arial" w:eastAsia="Arial" w:hAnsi="Arial"/>
          <w:color w:val="1A1A2E"/>
          <w:sz w:val="20"/>
          <w:szCs w:val="20"/>
        </w:rPr>
        <w:t xml:space="preserve">O risco tecnologico mais significativo e a existencia de vulnerabilidades em smart contracts. O VortexRouter gerencia fluxos de alto valor e e um alvo atrativo para ataques. Alem das auditorias formais, o protocolo implementa uma estrategia de defense-in-depth: limites de valor por transacao que crescem progressivamente conforme o protocolo matura, pausability de emergencia sob controle do multisig, monitoramento em tempo real via Forta Network, e fundo de seguro de $5M USD equivalente gerenciado pelo tesouro para compensacao de usuarios em caso de exploit.</w:t>
      </w:r>
    </w:p>
    <w:p>
      <w:pPr>
        <w:pStyle w:val="Heading2"/>
        <w:spacing w:after="140" w:before="300"/>
      </w:pPr>
      <w:r>
        <w:rPr>
          <w:rFonts w:ascii="Arial" w:cs="Arial" w:eastAsia="Arial" w:hAnsi="Arial"/>
          <w:b/>
          <w:bCs/>
          <w:color w:val="2D7DD2"/>
          <w:sz w:val="28"/>
          <w:szCs w:val="28"/>
        </w:rPr>
        <w:t xml:space="preserve">10.2 Riscos Regulatorios</w:t>
      </w:r>
    </w:p>
    <w:p>
      <w:pPr>
        <w:spacing w:after="160" w:line="276" w:lineRule="auto"/>
        <w:jc w:val="both"/>
      </w:pPr>
      <w:r>
        <w:rPr>
          <w:rFonts w:ascii="Arial" w:cs="Arial" w:eastAsia="Arial" w:hAnsi="Arial"/>
          <w:color w:val="1A1A2E"/>
          <w:sz w:val="20"/>
          <w:szCs w:val="20"/>
        </w:rPr>
        <w:t xml:space="preserve">O ambiente regulatorio para tokens DeFi permanece em evolucao em todas as jurisdicoes relevantes. O VTX foi desenhado especificamente para funcionar como token de utilidade genuina — seu valor deriva do uso do protocolo, nao de expectativa de valorizacao passiva. A equipe trabalha com assessoria juridica especializada em cada jurisdicao de operacao e adota uma postura de compliance proativa, incluindo restricoes geograficas em frontends para jurisdicoes com regulacao restritiva.</w:t>
      </w:r>
    </w:p>
    <w:p>
      <w:r>
        <w:br w:type="page"/>
      </w:r>
    </w:p>
    <w:p>
      <w:pPr>
        <w:pStyle w:val="Heading1"/>
        <w:spacing w:after="200" w:before="400"/>
      </w:pPr>
      <w:r>
        <w:rPr>
          <w:rFonts w:ascii="Arial" w:cs="Arial" w:eastAsia="Arial" w:hAnsi="Arial"/>
          <w:b/>
          <w:bCs/>
          <w:color w:val="1A3C6E"/>
          <w:sz w:val="36"/>
          <w:szCs w:val="36"/>
        </w:rPr>
        <w:t xml:space="preserve">Equipe</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 xml:space="preserve">O Vortex Protocol e construido por uma equipe com experiencia combinada de mais de 20 anos em desenvolvimento de protocolos DeFi, pesquisa em sistemas distribuidos e desenvolvimento de negocio em mercados cripto.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Nome</w:t>
            </w:r>
          </w:p>
        </w:tc>
        <w:tc>
          <w:tcPr>
            <w:tcW w:type="dxa" w:w="22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Cargo</w:t>
            </w:r>
          </w:p>
        </w:tc>
        <w:tc>
          <w:tcPr>
            <w:tcW w:type="dxa" w:w="47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Background</w:t>
            </w:r>
          </w:p>
        </w:tc>
      </w:tr>
      <w:tr>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Alex Chen</w:t>
            </w:r>
          </w:p>
        </w:tc>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CEO &amp; Co-Fundador</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Ex-engenheiro senior Uniswap Labs; 8 anos em DeFi; contribuicoes para EIP-712 e EIP-4337; formado em Ciencia da Computacao pelo MIT</w:t>
            </w:r>
          </w:p>
        </w:tc>
      </w:tr>
      <w:tr>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Sofia Nakamura</w:t>
            </w:r>
          </w:p>
        </w:tc>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CTO &amp; Co-Fundadora</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Ex-Solidity lead Aave; especialista em cross-chain messaging; co-autora do modelo de solver auction do Vortex; PhD Sistemas Distribuidos</w:t>
            </w:r>
          </w:p>
        </w:tc>
      </w:tr>
      <w:tr>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Marcus Okafor</w:t>
            </w:r>
          </w:p>
        </w:tc>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CPO</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Ex-Product Manager Coinbase; liderou lancamento de 4 produtos DeFi; especialista em UX de abstraction de intents</w:t>
            </w:r>
          </w:p>
        </w:tc>
      </w:tr>
      <w:tr>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Elena Vasquez</w:t>
            </w:r>
          </w:p>
        </w:tc>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Head of Research</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Ex-pesquisadora Paradigm; autora de 6 papers sobre MEV e auction theory; PhD Economia Computacional</w:t>
            </w:r>
          </w:p>
        </w:tc>
      </w:tr>
      <w:tr>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James Park</w:t>
            </w:r>
          </w:p>
        </w:tc>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Head of Business Dev.</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Ex-BD Polygon; construiu parcerias com 30+ protocolos; expertise em market making e liquidez institucional</w:t>
            </w:r>
          </w:p>
        </w:tc>
      </w:tr>
      <w:tr>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Consultores</w:t>
            </w:r>
          </w:p>
        </w:tc>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Advisors</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Parceiros estrategicos de fundos de venture capital especializados em DeFi e infraestrutura blockchain; identidades a divulgar pre-TGE</w:t>
            </w:r>
          </w:p>
        </w:tc>
      </w:tr>
    </w:tbl>
    <w:p>
      <w:pPr>
        <w:spacing w:after="200"/>
      </w:pPr>
    </w:p>
    <w:p>
      <w:pPr>
        <w:pStyle w:val="Heading2"/>
        <w:spacing w:after="140" w:before="300"/>
      </w:pPr>
      <w:r>
        <w:rPr>
          <w:rFonts w:ascii="Arial" w:cs="Arial" w:eastAsia="Arial" w:hAnsi="Arial"/>
          <w:b/>
          <w:bCs/>
          <w:color w:val="2D7DD2"/>
          <w:sz w:val="28"/>
          <w:szCs w:val="28"/>
        </w:rPr>
        <w:t xml:space="preserve">11.1 Cultura e Valores</w:t>
      </w:r>
    </w:p>
    <w:p>
      <w:pPr>
        <w:spacing w:after="160" w:line="276" w:lineRule="auto"/>
        <w:jc w:val="both"/>
      </w:pPr>
      <w:r>
        <w:rPr>
          <w:rFonts w:ascii="Arial" w:cs="Arial" w:eastAsia="Arial" w:hAnsi="Arial"/>
          <w:color w:val="1A1A2E"/>
          <w:sz w:val="20"/>
          <w:szCs w:val="20"/>
        </w:rPr>
        <w:t xml:space="preserve">A equipe Vortex opera com os seguintes principios fundamentais: transparencia total com a comunidade (relatorios mensais publicos de metricas e treasury); codigo aberto (todos os contratos publicados no GitHub antes do deploy); sem pre-mine oculto ou vesting privilegiado para fundadores; e compromisso publico de nao vendas de tokens por membros da equipe por pelo menos 12 meses apos o TGE.</w:t>
      </w:r>
    </w:p>
    <w:p>
      <w:pPr>
        <w:spacing w:after="160" w:line="276" w:lineRule="auto"/>
        <w:jc w:val="both"/>
      </w:pPr>
      <w:r>
        <w:rPr>
          <w:rFonts w:ascii="Arial" w:cs="Arial" w:eastAsia="Arial" w:hAnsi="Arial"/>
          <w:color w:val="1A1A2E"/>
          <w:sz w:val="20"/>
          <w:szCs w:val="20"/>
        </w:rPr>
        <w:t xml:space="preserve">Identidades completas e verificadas de todos os membros da equipe e advisors serao divulgadas publicamente ate 30 dias antes do TGE, incluindo historico verificavel de contribuicoes a projetos anteriores.</w:t>
      </w:r>
    </w:p>
    <w:p>
      <w:r>
        <w:br w:type="page"/>
      </w:r>
    </w:p>
    <w:p>
      <w:pPr>
        <w:pStyle w:val="Heading1"/>
        <w:spacing w:after="200" w:before="400"/>
      </w:pPr>
      <w:r>
        <w:rPr>
          <w:rFonts w:ascii="Arial" w:cs="Arial" w:eastAsia="Arial" w:hAnsi="Arial"/>
          <w:b/>
          <w:bCs/>
          <w:color w:val="1A3C6E"/>
          <w:sz w:val="36"/>
          <w:szCs w:val="36"/>
        </w:rPr>
        <w:t xml:space="preserve">Aviso Legal — Disclaimer</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 xml:space="preserve">ESTE DOCUMENTO NAO CONSTITUI OFERTA DE VALORES MOBILIARIOS. Este whitepaper e fornecido exclusivamente para fins informativos e descritivos do Vortex Protocol e do token VTX. Nada neste documento deve ser interpretado como oferta, solicitacao, recomendacao ou convite para comprar, vender, investir ou de qualquer outra forma transacionar tokens VTX ou quaisquer outros ativos digitais ou valores mobiliarios.</w:t>
      </w:r>
    </w:p>
    <w:p>
      <w:pPr>
        <w:spacing w:after="160" w:line="276" w:lineRule="auto"/>
        <w:jc w:val="both"/>
      </w:pPr>
      <w:r>
        <w:rPr>
          <w:rFonts w:ascii="Arial" w:cs="Arial" w:eastAsia="Arial" w:hAnsi="Arial"/>
          <w:color w:val="1A1A2E"/>
          <w:sz w:val="20"/>
          <w:szCs w:val="20"/>
        </w:rPr>
        <w:t xml:space="preserve">NAO HA GARANTIAS DE RETORNO. O token VTX e um token de utilidade cujo valor de mercado, se houver, sera determinado exclusivamente por forcas de oferta e demanda em mercados secundarios. A equipe Vortex e o protocolo nao fazem qualquer promessa, representacao ou garantia sobre o valor futuro do VTX, liquidez, disponibilidade em exchanges ou qualquer forma de retorno financeiro.</w:t>
      </w:r>
    </w:p>
    <w:p>
      <w:pPr>
        <w:spacing w:after="160" w:line="276" w:lineRule="auto"/>
        <w:jc w:val="both"/>
      </w:pPr>
      <w:r>
        <w:rPr>
          <w:rFonts w:ascii="Arial" w:cs="Arial" w:eastAsia="Arial" w:hAnsi="Arial"/>
          <w:color w:val="1A1A2E"/>
          <w:sz w:val="20"/>
          <w:szCs w:val="20"/>
        </w:rPr>
        <w:t xml:space="preserve">RISCOS SIGNIFICATIVOS. Investimentos em criptomoedas e tokens DeFi envolvem riscos substanciais, incluindo mas nao limitado a: perda total do capital investido, volatilidade extrema de preco, riscos de smart contract e hack, incerteza regulatoria, risco de liquidez, e outros riscos inerentes a tecnologias emergentes. Participantes devem realizar sua propria diligencia e consultar assessores financeiros e juridicos independentes antes de qualquer decisao.</w:t>
      </w:r>
    </w:p>
    <w:p>
      <w:pPr>
        <w:spacing w:after="160" w:line="276" w:lineRule="auto"/>
        <w:jc w:val="both"/>
      </w:pPr>
      <w:r>
        <w:rPr>
          <w:rFonts w:ascii="Arial" w:cs="Arial" w:eastAsia="Arial" w:hAnsi="Arial"/>
          <w:color w:val="1A1A2E"/>
          <w:sz w:val="20"/>
          <w:szCs w:val="20"/>
        </w:rPr>
        <w:t xml:space="preserve">RESTRICOES GEOGRAFICAS. A participacao no Token Generation Event (TGE) e em qualquer oferta de VTX pode ser restrita em certas jurisdicoes, incluindo mas nao limitado aos Estados Unidos da America e outras jurisdicoes onde tais atividades sejam reguladas ou proibidas. E responsabilidade de cada participante verificar e cumprir as leis e regulacoes aplicaveis em sua jurisdicao.</w:t>
      </w:r>
    </w:p>
    <w:p>
      <w:pPr>
        <w:spacing w:after="160" w:line="276" w:lineRule="auto"/>
        <w:jc w:val="both"/>
      </w:pPr>
      <w:r>
        <w:rPr>
          <w:rFonts w:ascii="Arial" w:cs="Arial" w:eastAsia="Arial" w:hAnsi="Arial"/>
          <w:color w:val="1A1A2E"/>
          <w:sz w:val="20"/>
          <w:szCs w:val="20"/>
        </w:rPr>
        <w:t xml:space="preserve">INFORMACOES PROSPECTIVAS. Este whitepaper contem declaracoes prospectivas sobre planos, objetivos, metas, estrategias, eventos futuros e performance do Vortex Protocol. Tais declaracoes sao baseadas em suposicoes e expectativas atuais e estao sujeitas a riscos conhecidos e desconhecidos, incertezas e outros fatores que podem fazer com que os resultados reais difiram materialmente dos projetados.</w:t>
      </w:r>
    </w:p>
    <w:p>
      <w:pPr>
        <w:spacing w:after="160" w:line="276" w:lineRule="auto"/>
        <w:jc w:val="both"/>
      </w:pPr>
      <w:r>
        <w:rPr>
          <w:rFonts w:ascii="Arial" w:cs="Arial" w:eastAsia="Arial" w:hAnsi="Arial"/>
          <w:color w:val="1A1A2E"/>
          <w:sz w:val="20"/>
          <w:szCs w:val="20"/>
        </w:rPr>
        <w:t xml:space="preserve">PROPRIEDADE INTELECTUAL. Todo o conteudo deste whitepaper e de propriedade da Vortex Protocol Foundation. A reproducao parcial ou total e permitida para fins nao-comerciais desde que a fonte seja citada e o conteudo nao seja alterado ou descontextualizado.</w:t>
      </w:r>
    </w:p>
    <w:p>
      <w:pPr>
        <w:spacing w:after="200"/>
      </w:pPr>
    </w:p>
    <w:p>
      <w:pPr>
        <w:spacing w:after="80" w:before="200"/>
        <w:jc w:val="center"/>
      </w:pPr>
      <w:r>
        <w:rPr>
          <w:rFonts w:ascii="Arial" w:cs="Arial" w:eastAsia="Arial" w:hAnsi="Arial"/>
          <w:b/>
          <w:bCs/>
          <w:color w:val="1A3C6E"/>
          <w:sz w:val="24"/>
          <w:szCs w:val="24"/>
        </w:rPr>
        <w:t xml:space="preserve">Vortex Protocol Foundation</w:t>
      </w:r>
    </w:p>
    <w:p>
      <w:pPr>
        <w:spacing w:after="60"/>
        <w:jc w:val="center"/>
      </w:pPr>
      <w:r>
        <w:rPr>
          <w:rFonts w:ascii="Arial" w:cs="Arial" w:eastAsia="Arial" w:hAnsi="Arial"/>
          <w:i/>
          <w:iCs/>
          <w:color w:val="4A5568"/>
          <w:sz w:val="20"/>
          <w:szCs w:val="20"/>
        </w:rPr>
        <w:t xml:space="preserve">Junho 2026 — Whitepaper v1.0</w:t>
      </w:r>
    </w:p>
    <w:p>
      <w:pPr>
        <w:spacing w:after="60"/>
        <w:jc w:val="center"/>
      </w:pPr>
      <w:r>
        <w:rPr>
          <w:rFonts w:ascii="Arial" w:cs="Arial" w:eastAsia="Arial" w:hAnsi="Arial"/>
          <w:color w:val="2D7DD2"/>
          <w:sz w:val="20"/>
          <w:szCs w:val="20"/>
        </w:rPr>
        <w:t xml:space="preserve">vortexprotocol.io | contact@vortexprotocol.io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4" w:space="1"/>
      </w:pBdr>
      <w:spacing w:before="100"/>
      <w:jc w:val="center"/>
    </w:pPr>
    <w:r>
      <w:rPr>
        <w:rFonts w:ascii="Arial" w:cs="Arial" w:eastAsia="Arial" w:hAnsi="Arial"/>
        <w:color w:val="4A5568"/>
        <w:sz w:val="16"/>
        <w:szCs w:val="16"/>
      </w:rPr>
      <w:t xml:space="preserve">vortexprotocol.io  —  Pagina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i/>
        <w:iCs/>
        <w:color w:val="4A5568"/>
        <w:sz w:val="14"/>
        <w:szCs w:val="14"/>
      </w:rPr>
      <w:t xml:space="preserve">  |  Este documento nao constitui oferta de valores mobiliarios.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4" w:space="1"/>
      </w:pBdr>
      <w:tabs>
        <w:tab w:val="right" w:pos="9026"/>
      </w:tabs>
      <w:spacing w:after="100"/>
    </w:pPr>
    <w:r>
      <w:rPr>
        <w:rFonts w:ascii="Arial" w:cs="Arial" w:eastAsia="Arial" w:hAnsi="Arial"/>
        <w:color w:val="4A5568"/>
        <w:sz w:val="16"/>
        <w:szCs w:val="16"/>
      </w:rPr>
      <w:t xml:space="preserve">VORTEX PROTOCOL  |  VTX Whitepaper v1.0  |  Junho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D7DD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Vortex Protocol — Whitepaper v1.0</dc:title>
  <dc:creator>Vortex Protocol</dc:creator>
  <dc:description>Technical Whitepaper for Vortex Protocol (VTX) — Cross-chain Intent-Based Liquidity Router</dc:description>
  <cp:lastModifiedBy>Un-named</cp:lastModifiedBy>
  <cp:revision>1</cp:revision>
  <dcterms:created xsi:type="dcterms:W3CDTF">2026-06-22T14:53:47.949Z</dcterms:created>
  <dcterms:modified xsi:type="dcterms:W3CDTF">2026-06-22T14:53:47.950Z</dcterms:modified>
</cp:coreProperties>
</file>

<file path=docProps/custom.xml><?xml version="1.0" encoding="utf-8"?>
<Properties xmlns="http://schemas.openxmlformats.org/officeDocument/2006/custom-properties" xmlns:vt="http://schemas.openxmlformats.org/officeDocument/2006/docPropsVTypes"/>
</file>