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Modifier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Total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998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908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90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</w:p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Variation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998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908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90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Décembre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Décembre 2007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Dim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Lun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Jeu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Ven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Sam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</w:p>
        </w:tc>
      </w:tr>
      <w:tr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Mai 2007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 xml:space="preserve">9      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30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31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ÉLÉMENT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NÉCESSAIRE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Livres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Magazines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Blocs-notes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Ramettes de papier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Stylos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Crayons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Marqueur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 couleurs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Ciseaux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 paire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Ville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Alphabet grec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Alpha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Nu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Bêta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Xi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Gamma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Omicron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Delta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Epsilon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Rho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Zêta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Sigma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Tau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Thêta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Iota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Kappa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Khi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Lambda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Psi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Oméga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