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}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6"/>
                      <w:szCs w:val="16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ԿՐԵԴԻՏ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${item_description}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5"/>
                      <w:szCs w:val="15"/>
                    </w:rPr>
                    <w:t>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2024-10-05T18:29:50Z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76E4D456853241EBBAAA0AF12BF2C871_13</vt:lpwstr>
  </property>
</Properties>
</file>