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${order}     ${date}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${amount}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${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receiver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>}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${purpose}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${contract_id}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${amount_text}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${contract_id}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${amount_text}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${date}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${cl_dob} թ., ${cl_pas},տրվ.${cl_giv}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1A8C6A52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2025-07-08T07:57:37Z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0560DACD6B77420F97FE25D6821A0ABF_11</vt:lpwstr>
  </property>
</Properties>
</file>