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     2017-03-10 00:00:00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250.000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Անահիտ Չարչյան Հարությունի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վարկային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2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Երկու հարյուր հիսուն հազար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</w:t>
            </w:r>
            <w:bookmarkStart w:id="1" w:name="_GoBack"/>
            <w:bookmarkEnd w:id="1"/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2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Երկու հարյուր հիսուն հազար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2017-03-10 00:00:00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1970-01-01 00:00:00 թ., AN0759283,տրվ.019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2024-11-14T19:13:24Z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0560DACD6B77420F97FE25D6821A0ABF_11</vt:lpwstr>
  </property>
</Properties>
</file>