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Ա663       2024.12.24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ԱնդրանիկՊետրոսյան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16660      Հերթական վճարում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Ա663           2024.12.24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ԱնդրանիկՊետրոսյան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վճարում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/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