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16661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2025-01-18 20:44:00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Ազատ Աղինյան Սամվելի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011613312,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012 Հայաստան, ք. Երևան, Վերին Շենգավիթ 2 փ.5շ. բն.10,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033 00 44 64, 093 95 94 92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132.000..00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146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0.40%),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16661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125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Ազատ Աղինյան Սամվելի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033 00 44 64, 093 95 94 92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ք. Երևան, Վերին Շենգավիթ 2 փ.5շ. բն.10,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16661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Ազատ Աղինյան Սամվելի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011613312,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012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ք. Երևան, Վերին Շենգավիթ 2 փ.5շ. բն.10,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16661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132000.00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132.000..00   (Հարյուր երեսուներկու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2025-01-18 20:44:00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16661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Ազատ Աղինյան Սամվելի ծնվ. 1970-01-01 00:00:00 թ., 011613312,տրվ 012 Հայաստան, ք. Երևան, Վերին Շենգավիթ 2 փ.5շ. բն.10,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2025-01-18 20:44:00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16661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2025-01-18 20:44:00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2025-01-18 20:44:00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