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Checkpoint 1 — Entender, Planejar e Fundamentar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Desafio 19 — Burnout Médico · Equipe Zelo · Prazo: 08/07/2026, 23h59 · 1ª Jornada Incubintech</w:t>
      </w:r>
    </w:p>
    <w:p>
      <w:pPr>
        <w:pStyle w:val="Heading1"/>
      </w:pPr>
      <w:r>
        <w:t xml:space="preserve">1. Reformulação do problema</w:t>
      </w:r>
    </w:p>
    <w:p>
      <w:pPr>
        <w:spacing w:after="140"/>
      </w:pPr>
      <w:r>
        <w:t xml:space="preserve">Hoje, um médico que começa a sentir sinais de esgotamento — insônia, irritabilidade, vontade de desistir — não tem para onde ir. Os canais de saúde ocupacional que existem passam pelo RH ou pela própria hierarquia hospitalar, e isso já é suficiente para que ele prefira se automedicar ou continuar trabalhando exausto. Entrevistamos um gestor médico de pronto-socorro e UTI, e ele resumiu a saúde mental da própria equipe como “frágil e subestimada”: frágil pela pressão constante do plantão, subestimada porque quem está na alta gestão não enxerga essa pressão de perto. Ele também confirmou algo que o briefing já apontava, agora com um rosto real: procurar ajuda psicológica é visto, no meio médico, como abrir mão de carga de trabalho — o que pesa contra a cultura de que “ser médico é dar conta de tudo”.</w:t>
      </w:r>
    </w:p>
    <w:p>
      <w:pPr>
        <w:spacing w:after="140"/>
      </w:pPr>
      <w:r>
        <w:t xml:space="preserve">Esse problema afeta principalmente plantonistas de urgência, residentes, médicas mulheres e profissionais que tomam decisões de vida ou morte várias vezes por semana. Em números: mais da metade dos médicos brasileiros relata sintomas de burnout, mas menos de 1 em cada 8 busca ajuda profissional — e a taxa de suicídio da categoria é mais que o dobro da população geral.</w:t>
      </w:r>
    </w:p>
    <w:p>
      <w:pPr>
        <w:spacing w:after="140"/>
      </w:pPr>
      <w:r>
        <w:t xml:space="preserve">Isso importa porque cada médico que segue trabalhando exausto, sem qualquer canal seguro, é um risco não só para si, mas para os pacientes que atende sob fadiga extrema — e um custo real para hospitais e cooperativas, que arcam com afastamentos, rotatividade e processos evitáveis quando esse sofrimento não é endereçado a tempo.</w:t>
      </w:r>
    </w:p>
    <w:p>
      <w:pPr>
        <w:pStyle w:val="Heading1"/>
      </w:pPr>
      <w:r>
        <w:t xml:space="preserve">2. Visão geral da solução</w:t>
      </w:r>
    </w:p>
    <w:p>
      <w:pPr>
        <w:spacing w:after="140"/>
      </w:pPr>
      <w:r>
        <w:t xml:space="preserve">Estamos construindo o Zelo, uma plataforma confidencial de triagem e apoio à saúde mental do médico, pensada para caber nos poucos minutos livres que ele tem entre um plantão e outro.</w:t>
      </w:r>
    </w:p>
    <w:p>
      <w:pPr>
        <w:spacing w:after="140"/>
      </w:pPr>
      <w:r>
        <w:t xml:space="preserve">O médico abre o app e faz uma autoavaliação curta (cerca de 3 minutos), usando escalas clínicas reconhecidas (PHQ-9, GAD-7 e MBI-HSS) — as mesmas que ele já conhece da própria formação. A diferença central é que o cálculo do resultado acontece no aparelho dele, não em um servidor: nenhuma resposta sensível sai do celular em texto legível antes de ser cifrada.</w:t>
      </w:r>
    </w:p>
    <w:p>
      <w:pPr>
        <w:spacing w:after="140"/>
      </w:pPr>
      <w:r>
        <w:t xml:space="preserve">A partir desse resultado, ele é recebido por um chat de acolhimento com inteligência artificial. Esse chat escuta, valida o que ele está sentindo e reconhece o contexto da profissão (plantão, óbito de paciente, erro clínico, pressão hierárquica) — mas nunca diagnostica, nunca prescreve e nunca se apresenta como substituto de um profissional de saúde mental. Se o padrão de respostas indicar risco moderado ou alto, o app oferece — nunca impõe — uma conexão anônima com um par médico treinado ou com um psicólogo parceiro. O médico acompanha sua evolução ao longo do tempo em um gráfico simples e privado, e tem acesso a uma biblioteca de conteúdo sobre temas que ninguém mais fala abertamente na medicina: luto pelo paciente, erro clínico, sobrecarga do plantão. O hospital ou cooperativa que paga pela ferramenta enxerga apenas números agregados da equipe — nunca o dado de um médico específico.</w:t>
      </w:r>
    </w:p>
    <w:p>
      <w:pPr>
        <w:spacing w:after="140"/>
      </w:pPr>
      <w:r>
        <w:t xml:space="preserve">O diferencial da nossa abordagem é que privacidade aqui não é uma promessa de marketing, é uma decisão de arquitetura: o dado sensível nunca sai do dispositivo do médico em texto legível, e isso pode ser demonstrado tecnicamente, não apenas declarado. É esse tipo de prova que constrói a confiança que falta hoje entre o médico e qualquer canal institucional de cuidado.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486025"/>
            <wp:effectExtent t="0" r="0" b="0" l="0"/>
            <wp:docPr id="1" name="Fluxo" descr="Diagrama do fluxo principal do Zelo" title="Fluxo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6"/>
          <w:szCs w:val="16"/>
        </w:rPr>
        <w:t xml:space="preserve">Fluxo principal: médico abre o app → autoavaliação (score no aparelho) → IA acolhe e orienta → conforme o risco, conecta com par/psicólogo ou oferece autocuidado → monitoramento periódico.</w:t>
      </w:r>
    </w:p>
    <w:p>
      <w:pPr>
        <w:pStyle w:val="Heading1"/>
      </w:pPr>
      <w:r>
        <w:t xml:space="preserve">3. Prova de conceito (PoC) realista</w:t>
      </w:r>
    </w:p>
    <w:p>
      <w:pPr>
        <w:spacing w:after="140"/>
      </w:pPr>
      <w:r>
        <w:t xml:space="preserve">Na apresentação final do dia 25/07, vamos mostrar um protótipo funcional (TRL3) rodando como PWA no celular, com o seguinte fluxo ao vivo: autoavaliação com score calculado no próprio aparelho, chat de acolhimento por IA respondendo sem diagnosticar, e o caminho de escalonamento em crise — tanto o de aceite (conexão com um psicólogo, com token de sessão que não guarda a identidade em texto claro) quanto o de recusa (linha de crise exibida na hora). Vamos demonstrar também o matching anônimo de pares e um painel institucional com métricas agregadas e fictícias, mostrando como o hospital veria os dados sem nunca identificar um médico específico.</w:t>
      </w:r>
    </w:p>
    <w:p>
      <w:pPr>
        <w:spacing w:after="140"/>
      </w:pPr>
      <w:r>
        <w:t xml:space="preserve">A demonstração será ao vivo, com dados fictícios preenchidos na hora, para provar que o app funciona de ponta a ponta e não é uma simulação gravada.</w:t>
      </w:r>
    </w:p>
    <w:p>
      <w:pPr>
        <w:spacing w:after="140"/>
      </w:pPr>
      <w:r>
        <w:t xml:space="preserve">Sendo honestos sobre os limites: não teremos psicólogos parceiros reais confirmados até a final, então esse trecho do fluxo será simulado e diremos isso claramente durante a apresentação. O matching de pares também vai rodar com perfis simulados, não com uma base real de médicos cadastrados. Validação clínica formal (comitê de ética) e integração com sistemas hospitalares existentes ficam fora do escopo destes 28 dias — são passos de pré-incubação, não deste protótipo. Também não teremos app nativo nas lojas, apenas a versão PWA instalável. O foco dos próximos 18 dias é provar que a arquitetura de privacidade funciona de verdade — cálculo local, cifragem antes do envio, nenhum dado identificável no servidor — porque é esse o ponto que sustenta toda a proposta de confiança do produto.</w:t>
      </w:r>
    </w:p>
    <w:p>
      <w:pPr>
        <w:pStyle w:val="Heading1"/>
      </w:pPr>
      <w:r>
        <w:t xml:space="preserve">4. Composição da equipe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1670"/>
        <w:gridCol w:w="1880"/>
        <w:gridCol w:w="2520"/>
        <w:gridCol w:w="1080"/>
        <w:gridCol w:w="1100"/>
      </w:tblGrid>
      <w:tr>
        <w:trPr>
          <w:tblHeader/>
        </w:trPr>
        <w:tc>
          <w:tcPr>
            <w:tcW w:type="dxa" w:w="183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D9E6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Nome completo</w:t>
            </w:r>
          </w:p>
        </w:tc>
        <w:tc>
          <w:tcPr>
            <w:tcW w:type="dxa" w:w="167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D9E6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Papel na equipe</w:t>
            </w:r>
          </w:p>
        </w:tc>
        <w:tc>
          <w:tcPr>
            <w:tcW w:type="dxa" w:w="18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D9E6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Principais habilidades</w:t>
            </w:r>
          </w:p>
        </w:tc>
        <w:tc>
          <w:tcPr>
            <w:tcW w:type="dxa" w:w="252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D9E6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Por que é o(a) mais capacitado(a)</w:t>
            </w:r>
          </w:p>
        </w:tc>
        <w:tc>
          <w:tcPr>
            <w:tcW w:type="dxa" w:w="10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D9E6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LinkedIn</w:t>
            </w:r>
          </w:p>
        </w:tc>
        <w:tc>
          <w:tcPr>
            <w:tcW w:type="dxa" w:w="11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D9E6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Instagram</w:t>
            </w:r>
          </w:p>
        </w:tc>
      </w:tr>
      <w:tr>
        <w:tc>
          <w:tcPr>
            <w:tcW w:type="dxa" w:w="183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Maurício Alexandre Barroso</w:t>
            </w:r>
          </w:p>
        </w:tc>
        <w:tc>
          <w:tcPr>
            <w:tcW w:type="dxa" w:w="167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Tech Lead / Desenvolvedor Full Stack</w:t>
            </w:r>
          </w:p>
        </w:tc>
        <w:tc>
          <w:tcPr>
            <w:tcW w:type="dxa" w:w="18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Arquitetura de software, React, Node, Docker, liderança técnica</w:t>
            </w:r>
          </w:p>
        </w:tc>
        <w:tc>
          <w:tcPr>
            <w:tcW w:type="dxa" w:w="252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Lidera a arquitetura de privacidade do produto (score client-side, cifragem) e integra todos os componentes técnicos, unindo visão de sistema com capacidade de liderar o time.</w:t>
            </w:r>
          </w:p>
        </w:tc>
        <w:tc>
          <w:tcPr>
            <w:tcW w:type="dxa" w:w="10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  <w:tc>
          <w:tcPr>
            <w:tcW w:type="dxa" w:w="11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</w:tr>
      <w:tr>
        <w:tc>
          <w:tcPr>
            <w:tcW w:type="dxa" w:w="183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Katieli Bianca Dieter</w:t>
            </w:r>
          </w:p>
        </w:tc>
        <w:tc>
          <w:tcPr>
            <w:tcW w:type="dxa" w:w="167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Analytics — Sênior</w:t>
            </w:r>
          </w:p>
        </w:tc>
        <w:tc>
          <w:tcPr>
            <w:tcW w:type="dxa" w:w="18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Modelagem de dados, domain expert em análise, liderança</w:t>
            </w:r>
          </w:p>
        </w:tc>
        <w:tc>
          <w:tcPr>
            <w:tcW w:type="dxa" w:w="252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Referência técnica sênior em dados; responsável pela estimativa de impacto e pelo modelo de sustentabilidade, dois dos critérios de maior peso na avaliação do edital.</w:t>
            </w:r>
          </w:p>
        </w:tc>
        <w:tc>
          <w:tcPr>
            <w:tcW w:type="dxa" w:w="10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  <w:tc>
          <w:tcPr>
            <w:tcW w:type="dxa" w:w="11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</w:tr>
      <w:tr>
        <w:tc>
          <w:tcPr>
            <w:tcW w:type="dxa" w:w="183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Yasmine Lisboa Bernardo</w:t>
            </w:r>
          </w:p>
        </w:tc>
        <w:tc>
          <w:tcPr>
            <w:tcW w:type="dxa" w:w="167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Analytics — Júnior</w:t>
            </w:r>
          </w:p>
        </w:tc>
        <w:tc>
          <w:tcPr>
            <w:tcW w:type="dxa" w:w="18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Análise de dados, proatividade, engajamento</w:t>
            </w:r>
          </w:p>
        </w:tc>
        <w:tc>
          <w:tcPr>
            <w:tcW w:type="dxa" w:w="252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Apoia a construção dos datasets simulados e das visualizações que sustentam o painel institucional e a demonstração de impacto.</w:t>
            </w:r>
          </w:p>
        </w:tc>
        <w:tc>
          <w:tcPr>
            <w:tcW w:type="dxa" w:w="10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  <w:tc>
          <w:tcPr>
            <w:tcW w:type="dxa" w:w="11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</w:tr>
      <w:tr>
        <w:tc>
          <w:tcPr>
            <w:tcW w:type="dxa" w:w="183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Raquel Ritter Ribeiro</w:t>
            </w:r>
          </w:p>
        </w:tc>
        <w:tc>
          <w:tcPr>
            <w:tcW w:type="dxa" w:w="167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Marketing / Social Media</w:t>
            </w:r>
          </w:p>
        </w:tc>
        <w:tc>
          <w:tcPr>
            <w:tcW w:type="dxa" w:w="18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Comunicação, visão de negócio, copywriting</w:t>
            </w:r>
          </w:p>
        </w:tc>
        <w:tc>
          <w:tcPr>
            <w:tcW w:type="dxa" w:w="252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Conduziu a primeira entrevista de validação com usuário do projeto e traduz pesquisa e dados em uma narrativa clara para a banca avaliadora.</w:t>
            </w:r>
          </w:p>
        </w:tc>
        <w:tc>
          <w:tcPr>
            <w:tcW w:type="dxa" w:w="10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  <w:tc>
          <w:tcPr>
            <w:tcW w:type="dxa" w:w="11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</w:tr>
      <w:tr>
        <w:tc>
          <w:tcPr>
            <w:tcW w:type="dxa" w:w="183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Guilherme Barreto Gomes</w:t>
            </w:r>
          </w:p>
        </w:tc>
        <w:tc>
          <w:tcPr>
            <w:tcW w:type="dxa" w:w="167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18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Infraestrutura, domain expert, dedicação</w:t>
            </w:r>
          </w:p>
        </w:tc>
        <w:tc>
          <w:tcPr>
            <w:tcW w:type="dxa" w:w="252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Garante que a arquitetura de privacidade declarada no papel se sustente em produção — infraestrutura segura, gestão de segredos e disponibilidade da demo.</w:t>
            </w:r>
          </w:p>
        </w:tc>
        <w:tc>
          <w:tcPr>
            <w:tcW w:type="dxa" w:w="108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  <w:tc>
          <w:tcPr>
            <w:tcW w:type="dxa" w:w="11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[preencher]</w:t>
            </w:r>
          </w:p>
        </w:tc>
      </w:tr>
    </w:tbl>
    <w:p>
      <w:pPr>
        <w:spacing w:after="100" w:before="100"/>
      </w:pPr>
      <w:r>
        <w:rPr>
          <w:i/>
          <w:iCs/>
          <w:color w:val="B5732A"/>
          <w:sz w:val="16"/>
          <w:szCs w:val="16"/>
        </w:rPr>
        <w:t xml:space="preserve">Campos de LinkedIn e Instagram marcados como [preencher] precisam ser completados antes do envio — são obrigatórios pelo checkpoint.</w:t>
      </w:r>
    </w:p>
    <w:p>
      <w:pPr>
        <w:pStyle w:val="Heading1"/>
      </w:pPr>
      <w:r>
        <w:t xml:space="preserve">5. Termo de compromisso</w:t>
      </w:r>
    </w:p>
    <w:p>
      <w:pPr>
        <w:spacing w:after="140"/>
      </w:pPr>
      <w:r>
        <w:rPr>
          <w:b/>
          <w:bCs/>
        </w:rPr>
        <w:t xml:space="preserve">Responsável pela assinatura: </w:t>
      </w:r>
      <w:r>
        <w:t xml:space="preserve">Maurício Alexandre Barroso (líder de equipe).</w:t>
      </w:r>
    </w:p>
    <w:p>
      <w:pPr>
        <w:spacing w:after="140"/>
      </w:pPr>
      <w:r>
        <w:t xml:space="preserve">Ação pendente: acessar https://tech.floripa.br/termo-de-compromisso/, ler o documento, assinar digitalmente via Gov.br (nível prata ou ouro) e anexar o PDF assinado junto com este documento no momento do envio. Sem o termo assinado, a equipe não prossegue para o próximo checkpoint.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00"/>
      <w:outlineLvl w:val="1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3a0f5f4acd8936ee35f4967049ab9d4c4a76e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2026-07-07T12:59:31.967Z</dcterms:created>
  <dcterms:modified xsi:type="dcterms:W3CDTF">2026-07-07T12:59:31.967Z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