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jc w:val="center"/>
      </w:pPr>
      <w:r>
        <w:rPr>
          <w:rFonts w:ascii="Calibri" w:hAnsi="Calibri"/>
          <w:b/>
          <w:color w:val="B58A26"/>
          <w:sz w:val="20"/>
        </w:rPr>
        <w:t>STANDARD OPERATING PROCEDURE</w:t>
      </w:r>
    </w:p>
    <w:p>
      <w:pPr>
        <w:pStyle w:val="Title"/>
        <w:jc w:val="center"/>
      </w:pPr>
      <w:r>
        <w:t>Processing MRI Data with</w:t>
        <w:br/>
        <w:t>qmri-neuropipe</w:t>
      </w:r>
    </w:p>
    <w:p>
      <w:pPr>
        <w:pStyle w:val="Subtitle"/>
        <w:jc w:val="center"/>
      </w:pPr>
      <w:r>
        <w:t>Local installation and Apptainer/Singularity container workflow</w:t>
      </w:r>
    </w:p>
    <w:tbl>
      <w:tblPr>
        <w:tblW w:type="dxa" w:w="9360"/>
        <w:jc w:val="left"/>
        <w:tblLayout w:type="fixed"/>
        <w:tblLook w:firstColumn="1" w:firstRow="1" w:lastColumn="0" w:lastRow="0" w:noHBand="0" w:noVBand="1" w:val="04A0"/>
        <w:tblInd w:w="120" w:type="dxa"/>
        <w:tblBorders>
          <w:top w:val="single" w:sz="6" w:space="0" w:color="A9B8C2"/>
          <w:left w:val="single" w:sz="6" w:space="0" w:color="A9B8C2"/>
          <w:bottom w:val="single" w:sz="6" w:space="0" w:color="A9B8C2"/>
          <w:right w:val="single" w:sz="6" w:space="0" w:color="A9B8C2"/>
          <w:insideH w:val="single" w:sz="6" w:space="0" w:color="A9B8C2"/>
          <w:insideV w:val="single" w:sz="6" w:space="0" w:color="A9B8C2"/>
        </w:tblBorders>
      </w:tblPr>
      <w:tblGrid>
        <w:gridCol w:w="2200"/>
        <w:gridCol w:w="7160"/>
      </w:tblGrid>
      <w:tr>
        <w:trPr>
          <w:tblHeader w:val="true"/>
        </w:trPr>
        <w:tc>
          <w:tcPr>
            <w:tcW w:type="dxa" w:w="2200"/>
            <w:shd w:fill="E8EEF5"/>
            <w:tcMar>
              <w:top w:w="100" w:type="dxa"/>
              <w:start w:w="120" w:type="dxa"/>
              <w:bottom w:w="100" w:type="dxa"/>
              <w:end w:w="120" w:type="dxa"/>
            </w:tcMar>
            <w:vAlign w:val="center"/>
          </w:tcPr>
          <w:p>
            <w:pPr>
              <w:spacing w:after="0"/>
            </w:pPr>
            <w:r>
              <w:rPr>
                <w:b/>
              </w:rPr>
            </w:r>
            <w:r>
              <w:rPr>
                <w:rFonts w:ascii="Calibri" w:hAnsi="Calibri"/>
                <w:color w:val="18364A"/>
                <w:sz w:val="20"/>
              </w:rPr>
              <w:t>SOP ID</w:t>
            </w:r>
          </w:p>
        </w:tc>
        <w:tc>
          <w:tcPr>
            <w:tcW w:type="dxa" w:w="7160"/>
            <w:tcMar>
              <w:top w:w="100" w:type="dxa"/>
              <w:start w:w="120" w:type="dxa"/>
              <w:bottom w:w="100" w:type="dxa"/>
              <w:end w:w="120" w:type="dxa"/>
            </w:tcMar>
            <w:vAlign w:val="center"/>
          </w:tcPr>
          <w:p>
            <w:pPr>
              <w:spacing w:after="0"/>
            </w:pPr>
            <w:r/>
            <w:r>
              <w:rPr>
                <w:rFonts w:ascii="Calibri" w:hAnsi="Calibri"/>
                <w:color w:val="111111"/>
                <w:sz w:val="20"/>
              </w:rPr>
              <w:t>QNP-SOP-001</w:t>
            </w:r>
          </w:p>
        </w:tc>
      </w:tr>
      <w:tr>
        <w:tc>
          <w:tcPr>
            <w:tcW w:type="dxa" w:w="2200"/>
            <w:shd w:fill="E8EEF5"/>
            <w:tcMar>
              <w:top w:w="100" w:type="dxa"/>
              <w:start w:w="120" w:type="dxa"/>
              <w:bottom w:w="100" w:type="dxa"/>
              <w:end w:w="120" w:type="dxa"/>
            </w:tcMar>
            <w:vAlign w:val="center"/>
          </w:tcPr>
          <w:p>
            <w:pPr>
              <w:spacing w:after="0"/>
            </w:pPr>
            <w:r>
              <w:rPr>
                <w:b/>
              </w:rPr>
            </w:r>
            <w:r>
              <w:rPr>
                <w:rFonts w:ascii="Calibri" w:hAnsi="Calibri"/>
                <w:color w:val="18364A"/>
                <w:sz w:val="20"/>
              </w:rPr>
              <w:t>Version</w:t>
            </w:r>
          </w:p>
        </w:tc>
        <w:tc>
          <w:tcPr>
            <w:tcW w:type="dxa" w:w="7160"/>
            <w:tcMar>
              <w:top w:w="100" w:type="dxa"/>
              <w:start w:w="120" w:type="dxa"/>
              <w:bottom w:w="100" w:type="dxa"/>
              <w:end w:w="120" w:type="dxa"/>
            </w:tcMar>
            <w:vAlign w:val="center"/>
          </w:tcPr>
          <w:p>
            <w:pPr>
              <w:spacing w:after="0"/>
            </w:pPr>
            <w:r/>
            <w:r>
              <w:rPr>
                <w:rFonts w:ascii="Calibri" w:hAnsi="Calibri"/>
                <w:color w:val="111111"/>
                <w:sz w:val="20"/>
              </w:rPr>
              <w:t>1.3</w:t>
            </w:r>
          </w:p>
        </w:tc>
      </w:tr>
      <w:tr>
        <w:tc>
          <w:tcPr>
            <w:tcW w:type="dxa" w:w="2200"/>
            <w:shd w:fill="E8EEF5"/>
            <w:tcMar>
              <w:top w:w="100" w:type="dxa"/>
              <w:start w:w="120" w:type="dxa"/>
              <w:bottom w:w="100" w:type="dxa"/>
              <w:end w:w="120" w:type="dxa"/>
            </w:tcMar>
            <w:vAlign w:val="center"/>
          </w:tcPr>
          <w:p>
            <w:pPr>
              <w:spacing w:after="0"/>
            </w:pPr>
            <w:r>
              <w:rPr>
                <w:b/>
              </w:rPr>
            </w:r>
            <w:r>
              <w:rPr>
                <w:rFonts w:ascii="Calibri" w:hAnsi="Calibri"/>
                <w:color w:val="18364A"/>
                <w:sz w:val="20"/>
              </w:rPr>
              <w:t>Effective date</w:t>
            </w:r>
          </w:p>
        </w:tc>
        <w:tc>
          <w:tcPr>
            <w:tcW w:type="dxa" w:w="7160"/>
            <w:tcMar>
              <w:top w:w="100" w:type="dxa"/>
              <w:start w:w="120" w:type="dxa"/>
              <w:bottom w:w="100" w:type="dxa"/>
              <w:end w:w="120" w:type="dxa"/>
            </w:tcMar>
            <w:vAlign w:val="center"/>
          </w:tcPr>
          <w:p>
            <w:pPr>
              <w:spacing w:after="0"/>
            </w:pPr>
            <w:r/>
            <w:r>
              <w:rPr>
                <w:rFonts w:ascii="Calibri" w:hAnsi="Calibri"/>
                <w:color w:val="111111"/>
                <w:sz w:val="20"/>
              </w:rPr>
              <w:t>August 6, 2026</w:t>
            </w:r>
          </w:p>
        </w:tc>
      </w:tr>
      <w:tr>
        <w:tc>
          <w:tcPr>
            <w:tcW w:type="dxa" w:w="2200"/>
            <w:shd w:fill="E8EEF5"/>
            <w:tcMar>
              <w:top w:w="100" w:type="dxa"/>
              <w:start w:w="120" w:type="dxa"/>
              <w:bottom w:w="100" w:type="dxa"/>
              <w:end w:w="120" w:type="dxa"/>
            </w:tcMar>
            <w:vAlign w:val="center"/>
          </w:tcPr>
          <w:p>
            <w:pPr>
              <w:spacing w:after="0"/>
            </w:pPr>
            <w:r>
              <w:rPr>
                <w:b/>
              </w:rPr>
            </w:r>
            <w:r>
              <w:rPr>
                <w:rFonts w:ascii="Calibri" w:hAnsi="Calibri"/>
                <w:color w:val="18364A"/>
                <w:sz w:val="20"/>
              </w:rPr>
              <w:t>Owner</w:t>
            </w:r>
          </w:p>
        </w:tc>
        <w:tc>
          <w:tcPr>
            <w:tcW w:type="dxa" w:w="7160"/>
            <w:tcMar>
              <w:top w:w="100" w:type="dxa"/>
              <w:start w:w="120" w:type="dxa"/>
              <w:bottom w:w="100" w:type="dxa"/>
              <w:end w:w="120" w:type="dxa"/>
            </w:tcMar>
            <w:vAlign w:val="center"/>
          </w:tcPr>
          <w:p>
            <w:pPr>
              <w:spacing w:after="0"/>
            </w:pPr>
            <w:r/>
            <w:r>
              <w:rPr>
                <w:rFonts w:ascii="Calibri" w:hAnsi="Calibri"/>
                <w:color w:val="111111"/>
                <w:sz w:val="20"/>
              </w:rPr>
              <w:t>Study PI or designated pipeline lead</w:t>
            </w:r>
          </w:p>
        </w:tc>
      </w:tr>
      <w:tr>
        <w:tc>
          <w:tcPr>
            <w:tcW w:type="dxa" w:w="2200"/>
            <w:shd w:fill="E8EEF5"/>
            <w:tcMar>
              <w:top w:w="100" w:type="dxa"/>
              <w:start w:w="120" w:type="dxa"/>
              <w:bottom w:w="100" w:type="dxa"/>
              <w:end w:w="120" w:type="dxa"/>
            </w:tcMar>
            <w:vAlign w:val="center"/>
          </w:tcPr>
          <w:p>
            <w:pPr>
              <w:spacing w:after="0"/>
            </w:pPr>
            <w:r>
              <w:rPr>
                <w:b/>
              </w:rPr>
            </w:r>
            <w:r>
              <w:rPr>
                <w:rFonts w:ascii="Calibri" w:hAnsi="Calibri"/>
                <w:color w:val="18364A"/>
                <w:sz w:val="20"/>
              </w:rPr>
              <w:t>Audience</w:t>
            </w:r>
          </w:p>
        </w:tc>
        <w:tc>
          <w:tcPr>
            <w:tcW w:type="dxa" w:w="7160"/>
            <w:tcMar>
              <w:top w:w="100" w:type="dxa"/>
              <w:start w:w="120" w:type="dxa"/>
              <w:bottom w:w="100" w:type="dxa"/>
              <w:end w:w="120" w:type="dxa"/>
            </w:tcMar>
            <w:vAlign w:val="center"/>
          </w:tcPr>
          <w:p>
            <w:pPr>
              <w:spacing w:after="0"/>
            </w:pPr>
            <w:r/>
            <w:r>
              <w:rPr>
                <w:rFonts w:ascii="Calibri" w:hAnsi="Calibri"/>
                <w:color w:val="111111"/>
                <w:sz w:val="20"/>
              </w:rPr>
              <w:t>Students and staff processing BIDS MRI data</w:t>
            </w:r>
          </w:p>
        </w:tc>
      </w:tr>
    </w:tbl>
    <w:p>
      <w:pPr>
        <w:spacing w:before="440" w:after="0"/>
        <w:jc w:val="center"/>
      </w:pPr>
      <w:r>
        <w:rPr>
          <w:rFonts w:ascii="Calibri" w:hAnsi="Calibri"/>
          <w:b/>
          <w:color w:val="2E5D7B"/>
          <w:sz w:val="24"/>
        </w:rPr>
        <w:t>Training principle: validate → pilot → QC → scale</w:t>
      </w:r>
    </w:p>
    <w:p>
      <w:r>
        <w:br w:type="page"/>
      </w:r>
    </w:p>
    <w:p>
      <w:pPr>
        <w:pStyle w:val="Heading1"/>
      </w:pPr>
      <w:bookmarkStart w:id="1" w:name="Table_of_Contents"/>
      <w:r>
        <w:rPr>
          <w:rFonts w:ascii="Calibri" w:hAnsi="Calibri"/>
          <w:b/>
          <w:color w:val="2E5D7B"/>
          <w:sz w:val="32"/>
        </w:rPr>
        <w:t>Table of Contents</w:t>
      </w:r>
      <w:bookmarkEnd w:id="1"/>
    </w:p>
    <w:p>
      <w:r>
        <w:rPr>
          <w:rFonts w:ascii="Calibri" w:hAnsi="Calibri"/>
          <w:color w:val="55717F"/>
          <w:sz w:val="21"/>
        </w:rPr>
        <w:t>Select a chapter title to jump directly to that section. The Getting Started chapter provides the recommended first-run sequence; Chapters 7–13 are detailed modality and analysis manuals.</w:t>
      </w:r>
    </w:p>
    <w:p>
      <w:pPr>
        <w:spacing w:after="60"/>
        <w:ind w:left="173"/>
      </w:pPr>
      <w:hyperlink w:anchor="Section_1_Purpose_and_how_to_use_this_" w:history="1">
        <w:r>
          <w:rPr>
            <w:rStyle w:val="Hyperlink"/>
            <w:color w:val="2E5D7B"/>
            <w:sz w:val="21"/>
          </w:rPr>
          <w:t>1. Purpose and how to use this manual</w:t>
        </w:r>
      </w:hyperlink>
    </w:p>
    <w:p>
      <w:pPr>
        <w:spacing w:after="60"/>
        <w:ind w:left="173"/>
      </w:pPr>
      <w:hyperlink w:anchor="Section_2_Scope" w:history="1">
        <w:r>
          <w:rPr>
            <w:rStyle w:val="Hyperlink"/>
            <w:color w:val="2E5D7B"/>
            <w:sz w:val="21"/>
          </w:rPr>
          <w:t>2. Scope</w:t>
        </w:r>
      </w:hyperlink>
    </w:p>
    <w:p>
      <w:pPr>
        <w:spacing w:after="60"/>
        <w:ind w:left="173"/>
      </w:pPr>
      <w:hyperlink w:anchor="Section_3_Roles_and_responsibilities" w:history="1">
        <w:r>
          <w:rPr>
            <w:rStyle w:val="Hyperlink"/>
            <w:color w:val="2E5D7B"/>
            <w:sz w:val="21"/>
          </w:rPr>
          <w:t>3. Roles and responsibilities</w:t>
        </w:r>
      </w:hyperlink>
    </w:p>
    <w:p>
      <w:pPr>
        <w:spacing w:after="60"/>
        <w:ind w:left="173"/>
      </w:pPr>
      <w:hyperlink w:anchor="Section_4_Required_inputs_and_access" w:history="1">
        <w:r>
          <w:rPr>
            <w:rStyle w:val="Hyperlink"/>
            <w:color w:val="2E5D7B"/>
            <w:sz w:val="21"/>
          </w:rPr>
          <w:t>4. Required inputs and access</w:t>
        </w:r>
      </w:hyperlink>
    </w:p>
    <w:p>
      <w:pPr>
        <w:spacing w:after="60"/>
        <w:ind w:left="173"/>
      </w:pPr>
      <w:hyperlink w:anchor="Section_5_Safety_and_data_integrity_co" w:history="1">
        <w:r>
          <w:rPr>
            <w:rStyle w:val="Hyperlink"/>
            <w:color w:val="2E5D7B"/>
            <w:sz w:val="21"/>
          </w:rPr>
          <w:t>5. Safety and data-integrity controls</w:t>
        </w:r>
      </w:hyperlink>
    </w:p>
    <w:p>
      <w:pPr>
        <w:spacing w:after="60"/>
        <w:ind w:left="173"/>
      </w:pPr>
      <w:hyperlink w:anchor="Section_6_Getting_started_general_work" w:history="1">
        <w:r>
          <w:rPr>
            <w:rStyle w:val="Hyperlink"/>
            <w:color w:val="2E5D7B"/>
            <w:sz w:val="21"/>
          </w:rPr>
          <w:t>6. Getting started: general workflow</w:t>
        </w:r>
      </w:hyperlink>
    </w:p>
    <w:p>
      <w:pPr>
        <w:spacing w:after="60"/>
        <w:ind w:left="173"/>
      </w:pPr>
      <w:hyperlink w:anchor="Section_7_Anatomical_processing_manual" w:history="1">
        <w:r>
          <w:rPr>
            <w:rStyle w:val="Hyperlink"/>
            <w:color w:val="2E5D7B"/>
            <w:sz w:val="21"/>
          </w:rPr>
          <w:t>7. Anatomical processing manual</w:t>
        </w:r>
      </w:hyperlink>
    </w:p>
    <w:p>
      <w:pPr>
        <w:spacing w:after="60"/>
        <w:ind w:left="173"/>
      </w:pPr>
      <w:hyperlink w:anchor="Section_8_Diffusion_processing_manual" w:history="1">
        <w:r>
          <w:rPr>
            <w:rStyle w:val="Hyperlink"/>
            <w:color w:val="2E5D7B"/>
            <w:sz w:val="21"/>
          </w:rPr>
          <w:t>8. Diffusion processing manual</w:t>
        </w:r>
      </w:hyperlink>
    </w:p>
    <w:p>
      <w:pPr>
        <w:spacing w:after="60"/>
        <w:ind w:left="173"/>
      </w:pPr>
      <w:hyperlink w:anchor="Section_9_Relaxometry_and_mcDESPOT_pro" w:history="1">
        <w:r>
          <w:rPr>
            <w:rStyle w:val="Hyperlink"/>
            <w:color w:val="2E5D7B"/>
            <w:sz w:val="21"/>
          </w:rPr>
          <w:t>9. Relaxometry and mcDESPOT processing manual</w:t>
        </w:r>
      </w:hyperlink>
    </w:p>
    <w:p>
      <w:pPr>
        <w:spacing w:after="60"/>
        <w:ind w:left="173"/>
      </w:pPr>
      <w:hyperlink w:anchor="Section_10_Standard_space_normalizatio" w:history="1">
        <w:r>
          <w:rPr>
            <w:rStyle w:val="Hyperlink"/>
            <w:color w:val="2E5D7B"/>
            <w:sz w:val="21"/>
          </w:rPr>
          <w:t>10. Standard-space normalization manual</w:t>
        </w:r>
      </w:hyperlink>
    </w:p>
    <w:p>
      <w:pPr>
        <w:spacing w:after="60"/>
        <w:ind w:left="173"/>
      </w:pPr>
      <w:hyperlink w:anchor="Section_11_Tractography_tractometry_an" w:history="1">
        <w:r>
          <w:rPr>
            <w:rStyle w:val="Hyperlink"/>
            <w:color w:val="2E5D7B"/>
            <w:sz w:val="21"/>
          </w:rPr>
          <w:t>11. Tractography, tractometry, and connectome manual</w:t>
        </w:r>
      </w:hyperlink>
    </w:p>
    <w:p>
      <w:pPr>
        <w:spacing w:after="60"/>
        <w:ind w:left="173"/>
      </w:pPr>
      <w:hyperlink w:anchor="Section_12_Atlas_registration_and_ROI_" w:history="1">
        <w:r>
          <w:rPr>
            <w:rStyle w:val="Hyperlink"/>
            <w:color w:val="2E5D7B"/>
            <w:sz w:val="21"/>
          </w:rPr>
          <w:t>12. Atlas registration and ROI extraction manual</w:t>
        </w:r>
      </w:hyperlink>
    </w:p>
    <w:p>
      <w:pPr>
        <w:spacing w:after="60"/>
        <w:ind w:left="173"/>
      </w:pPr>
      <w:hyperlink w:anchor="Section_13_Study_tracker_manual" w:history="1">
        <w:r>
          <w:rPr>
            <w:rStyle w:val="Hyperlink"/>
            <w:color w:val="2E5D7B"/>
            <w:sz w:val="21"/>
          </w:rPr>
          <w:t>13. Study tracker manual</w:t>
        </w:r>
      </w:hyperlink>
    </w:p>
    <w:p>
      <w:pPr>
        <w:spacing w:after="60"/>
        <w:ind w:left="173"/>
      </w:pPr>
      <w:hyperlink w:anchor="Section_14_Validation_and_execution" w:history="1">
        <w:r>
          <w:rPr>
            <w:rStyle w:val="Hyperlink"/>
            <w:color w:val="2E5D7B"/>
            <w:sz w:val="21"/>
          </w:rPr>
          <w:t>14. Validation and execution</w:t>
        </w:r>
      </w:hyperlink>
    </w:p>
    <w:p>
      <w:pPr>
        <w:spacing w:after="60"/>
        <w:ind w:left="173"/>
      </w:pPr>
      <w:hyperlink w:anchor="Section_15_Quality_control" w:history="1">
        <w:r>
          <w:rPr>
            <w:rStyle w:val="Hyperlink"/>
            <w:color w:val="2E5D7B"/>
            <w:sz w:val="21"/>
          </w:rPr>
          <w:t>15. Quality control</w:t>
        </w:r>
      </w:hyperlink>
    </w:p>
    <w:p>
      <w:pPr>
        <w:spacing w:after="60"/>
        <w:ind w:left="173"/>
      </w:pPr>
      <w:hyperlink w:anchor="Section_16_Cohort_expansion_and_closeo" w:history="1">
        <w:r>
          <w:rPr>
            <w:rStyle w:val="Hyperlink"/>
            <w:color w:val="2E5D7B"/>
            <w:sz w:val="21"/>
          </w:rPr>
          <w:t>16. Cohort expansion and closeout</w:t>
        </w:r>
      </w:hyperlink>
    </w:p>
    <w:p>
      <w:pPr>
        <w:spacing w:after="60"/>
        <w:ind w:left="173"/>
      </w:pPr>
      <w:hyperlink w:anchor="Section_17_Acceptance_criteria" w:history="1">
        <w:r>
          <w:rPr>
            <w:rStyle w:val="Hyperlink"/>
            <w:color w:val="2E5D7B"/>
            <w:sz w:val="21"/>
          </w:rPr>
          <w:t>17. Acceptance criteria</w:t>
        </w:r>
      </w:hyperlink>
    </w:p>
    <w:p>
      <w:pPr>
        <w:spacing w:after="60"/>
        <w:ind w:left="173"/>
      </w:pPr>
      <w:hyperlink w:anchor="Section_18_Deviations_failures_and_rer" w:history="1">
        <w:r>
          <w:rPr>
            <w:rStyle w:val="Hyperlink"/>
            <w:color w:val="2E5D7B"/>
            <w:sz w:val="21"/>
          </w:rPr>
          <w:t>18. Deviations, failures, and reruns</w:t>
        </w:r>
      </w:hyperlink>
    </w:p>
    <w:p>
      <w:pPr>
        <w:spacing w:after="60"/>
        <w:ind w:left="173"/>
      </w:pPr>
      <w:hyperlink w:anchor="Section_19_Required_records_and_traini" w:history="1">
        <w:r>
          <w:rPr>
            <w:rStyle w:val="Hyperlink"/>
            <w:color w:val="2E5D7B"/>
            <w:sz w:val="21"/>
          </w:rPr>
          <w:t>19. Required records and training sign-off</w:t>
        </w:r>
      </w:hyperlink>
    </w:p>
    <w:p>
      <w:pPr>
        <w:spacing w:after="60"/>
        <w:ind w:left="173"/>
      </w:pPr>
      <w:hyperlink w:anchor="Section_20_References" w:history="1">
        <w:r>
          <w:rPr>
            <w:rStyle w:val="Hyperlink"/>
            <w:color w:val="2E5D7B"/>
            <w:sz w:val="21"/>
          </w:rPr>
          <w:t>20. References</w:t>
        </w:r>
      </w:hyperlink>
    </w:p>
    <w:p>
      <w:pPr>
        <w:spacing w:after="60"/>
        <w:ind w:left="173"/>
      </w:pPr>
      <w:hyperlink w:anchor="Section_21_Revision_history" w:history="1">
        <w:r>
          <w:rPr>
            <w:rStyle w:val="Hyperlink"/>
            <w:color w:val="2E5D7B"/>
            <w:sz w:val="21"/>
          </w:rPr>
          <w:t>21. Revision history</w:t>
        </w:r>
      </w:hyperlink>
    </w:p>
    <w:p>
      <w:r>
        <w:br w:type="page"/>
      </w:r>
    </w:p>
    <w:p>
      <w:pPr>
        <w:pStyle w:val="Heading1"/>
      </w:pPr>
      <w:bookmarkStart w:id="132" w:name="Section_1_Purpose_and_how_to_use_this_"/>
      <w:r>
        <w:rPr>
          <w:rFonts w:ascii="Calibri" w:hAnsi="Calibri"/>
          <w:b/>
          <w:color w:val="2E5D7B"/>
          <w:sz w:val="32"/>
        </w:rPr>
        <w:t>1. Purpose and how to use this manual</w:t>
      </w:r>
      <w:bookmarkEnd w:id="132"/>
    </w:p>
    <w:p>
      <w:r>
        <w:rPr>
          <w:rFonts w:ascii="Calibri" w:hAnsi="Calibri"/>
          <w:color w:val="111111"/>
          <w:sz w:val="22"/>
        </w:rPr>
        <w:t>Define a reproducible, auditable procedure for configuring, validating, running, quality-checking, and documenting qmri-neuropipe processing of BIDS-formatted anatomical MRI, diffusion MRI, and relaxometry data, including normalization, tractography, atlas/ROI analysis, mcDESPOT workflows, and cohort study tracking.</w:t>
      </w:r>
    </w:p>
    <w:p>
      <w:r>
        <w:rPr>
          <w:rFonts w:ascii="Calibri" w:hAnsi="Calibri"/>
          <w:color w:val="111111"/>
          <w:sz w:val="22"/>
        </w:rPr>
        <w:t>New operators should begin with Section 6, complete one supervised pilot using Sections 14–15, and then read the manual chapter for every enabled processing branch. Experienced operators may use the table of contents to jump directly to a modality or downstream-analysis chapter. Configuration examples are teaching templates; the approved study protocol and field-level configuration reference remain authoritative.</w:t>
      </w:r>
    </w:p>
    <w:p>
      <w:pPr>
        <w:pStyle w:val="Heading1"/>
      </w:pPr>
      <w:bookmarkStart w:id="138" w:name="Section_2_Scope"/>
      <w:r>
        <w:rPr>
          <w:rFonts w:ascii="Calibri" w:hAnsi="Calibri"/>
          <w:b/>
          <w:color w:val="2E5D7B"/>
          <w:sz w:val="32"/>
        </w:rPr>
        <w:t>2. Scope</w:t>
      </w:r>
      <w:bookmarkEnd w:id="138"/>
    </w:p>
    <w:p>
      <w:r>
        <w:rPr>
          <w:rFonts w:ascii="Calibri" w:hAnsi="Calibri"/>
          <w:color w:val="111111"/>
          <w:sz w:val="22"/>
        </w:rPr>
        <w:t>This SOP covers participant-level anatomical (</w:t>
      </w:r>
      <w:r>
        <w:rPr>
          <w:rFonts w:ascii="Consolas" w:hAnsi="Consolas"/>
          <w:color w:val="18364A"/>
          <w:sz w:val="20"/>
        </w:rPr>
        <w:t>anat</w:t>
      </w:r>
      <w:r>
        <w:rPr>
          <w:rFonts w:ascii="Calibri" w:hAnsi="Calibri"/>
          <w:color w:val="111111"/>
          <w:sz w:val="22"/>
        </w:rPr>
        <w:t>), diffusion (</w:t>
      </w:r>
      <w:r>
        <w:rPr>
          <w:rFonts w:ascii="Consolas" w:hAnsi="Consolas"/>
          <w:color w:val="18364A"/>
          <w:sz w:val="20"/>
        </w:rPr>
        <w:t>dmri</w:t>
      </w:r>
      <w:r>
        <w:rPr>
          <w:rFonts w:ascii="Calibri" w:hAnsi="Calibri"/>
          <w:color w:val="111111"/>
          <w:sz w:val="22"/>
        </w:rPr>
        <w:t>), and relaxometry (</w:t>
      </w:r>
      <w:r>
        <w:rPr>
          <w:rFonts w:ascii="Consolas" w:hAnsi="Consolas"/>
          <w:color w:val="18364A"/>
          <w:sz w:val="20"/>
        </w:rPr>
        <w:t>relaxometry</w:t>
      </w:r>
      <w:r>
        <w:rPr>
          <w:rFonts w:ascii="Calibri" w:hAnsi="Calibri"/>
          <w:color w:val="111111"/>
          <w:sz w:val="22"/>
        </w:rPr>
        <w:t>) processing with a local qmri-neuropipe installation or the supported container wrapper. It includes standard-space normalization, diffusion tractography/tractometry, atlas registration and ROI statistics, DESPOT1/mcDESPOT fitting, and the study tracker. The SOP covers YAML preparation and routine execution, but it does not prescribe acquisition-specific scientific parameters. The study PI or pipeline lead must approve protocol choices such as distortion correction, registration, masking, normalization targets, tractography, atlas selection, gradient correction, B1 correction, and quantitative models.</w:t>
      </w:r>
    </w:p>
    <w:p>
      <w:pPr>
        <w:pStyle w:val="Heading1"/>
      </w:pPr>
      <w:bookmarkStart w:id="142" w:name="Section_3_Roles_and_responsibilities"/>
      <w:r>
        <w:rPr>
          <w:rFonts w:ascii="Calibri" w:hAnsi="Calibri"/>
          <w:b/>
          <w:color w:val="2E5D7B"/>
          <w:sz w:val="32"/>
        </w:rPr>
        <w:t>3. Roles and responsibilities</w:t>
      </w:r>
      <w:bookmarkEnd w:id="142"/>
    </w:p>
    <w:p>
      <w:pPr>
        <w:numPr>
          <w:ilvl w:val="0"/>
          <w:numId w:val="10"/>
        </w:numPr>
      </w:pPr>
      <w:r>
        <w:rPr>
          <w:rFonts w:ascii="Calibri" w:hAnsi="Calibri"/>
          <w:b/>
          <w:color w:val="111111"/>
          <w:sz w:val="22"/>
        </w:rPr>
        <w:t>Operator:</w:t>
      </w:r>
      <w:r>
        <w:rPr>
          <w:rFonts w:ascii="Calibri" w:hAnsi="Calibri"/>
          <w:color w:val="111111"/>
          <w:sz w:val="22"/>
        </w:rPr>
        <w:t xml:space="preserve"> confirms authorization, protects source data, prepares the YAML, performs validation and pilot processing, reviews QC, and records the run.</w:t>
      </w:r>
    </w:p>
    <w:p>
      <w:pPr>
        <w:numPr>
          <w:ilvl w:val="0"/>
          <w:numId w:val="10"/>
        </w:numPr>
      </w:pPr>
      <w:r>
        <w:rPr>
          <w:rFonts w:ascii="Calibri" w:hAnsi="Calibri"/>
          <w:b/>
          <w:color w:val="111111"/>
          <w:sz w:val="22"/>
        </w:rPr>
        <w:t>Pipeline lead:</w:t>
      </w:r>
      <w:r>
        <w:rPr>
          <w:rFonts w:ascii="Calibri" w:hAnsi="Calibri"/>
          <w:color w:val="111111"/>
          <w:sz w:val="22"/>
        </w:rPr>
        <w:t xml:space="preserve"> approves the study YAML and software/container version, resolves technical failures, and approves changes to processing logic.</w:t>
      </w:r>
    </w:p>
    <w:p>
      <w:pPr>
        <w:numPr>
          <w:ilvl w:val="0"/>
          <w:numId w:val="10"/>
        </w:numPr>
      </w:pPr>
      <w:r>
        <w:rPr>
          <w:rFonts w:ascii="Calibri" w:hAnsi="Calibri"/>
          <w:b/>
          <w:color w:val="111111"/>
          <w:sz w:val="22"/>
        </w:rPr>
        <w:t>Scientific lead/PI:</w:t>
      </w:r>
      <w:r>
        <w:rPr>
          <w:rFonts w:ascii="Calibri" w:hAnsi="Calibri"/>
          <w:color w:val="111111"/>
          <w:sz w:val="22"/>
        </w:rPr>
        <w:t xml:space="preserve"> approves acquisition-specific methods and determines whether QC findings require exclusion or reprocessing.</w:t>
      </w:r>
    </w:p>
    <w:p>
      <w:pPr>
        <w:numPr>
          <w:ilvl w:val="0"/>
          <w:numId w:val="10"/>
        </w:numPr>
      </w:pPr>
      <w:r>
        <w:rPr>
          <w:rFonts w:ascii="Calibri" w:hAnsi="Calibri"/>
          <w:b/>
          <w:color w:val="111111"/>
          <w:sz w:val="22"/>
        </w:rPr>
        <w:t>Data steward:</w:t>
      </w:r>
      <w:r>
        <w:rPr>
          <w:rFonts w:ascii="Calibri" w:hAnsi="Calibri"/>
          <w:color w:val="111111"/>
          <w:sz w:val="22"/>
        </w:rPr>
        <w:t xml:space="preserve"> defines storage, access, retention, and backup requirements.</w:t>
      </w:r>
    </w:p>
    <w:p>
      <w:pPr>
        <w:pStyle w:val="Heading1"/>
      </w:pPr>
      <w:bookmarkStart w:id="149" w:name="Section_4_Required_inputs_and_access"/>
      <w:r>
        <w:rPr>
          <w:rFonts w:ascii="Calibri" w:hAnsi="Calibri"/>
          <w:b/>
          <w:color w:val="2E5D7B"/>
          <w:sz w:val="32"/>
        </w:rPr>
        <w:t>4. Required inputs and access</w:t>
      </w:r>
      <w:bookmarkEnd w:id="149"/>
    </w:p>
    <w:p>
      <w:pPr>
        <w:numPr>
          <w:ilvl w:val="0"/>
          <w:numId w:val="10"/>
        </w:numPr>
      </w:pPr>
      <w:r>
        <w:rPr>
          <w:rFonts w:ascii="Calibri" w:hAnsi="Calibri"/>
          <w:color w:val="111111"/>
          <w:sz w:val="22"/>
        </w:rPr>
        <w:t>Read access to the BIDS dataset.</w:t>
      </w:r>
    </w:p>
    <w:p>
      <w:pPr>
        <w:numPr>
          <w:ilvl w:val="0"/>
          <w:numId w:val="10"/>
        </w:numPr>
      </w:pPr>
      <w:r>
        <w:rPr>
          <w:rFonts w:ascii="Calibri" w:hAnsi="Calibri"/>
          <w:color w:val="111111"/>
          <w:sz w:val="22"/>
        </w:rPr>
        <w:t>Write access to dedicated output and work directories.</w:t>
      </w:r>
    </w:p>
    <w:p>
      <w:pPr>
        <w:numPr>
          <w:ilvl w:val="0"/>
          <w:numId w:val="10"/>
        </w:numPr>
      </w:pPr>
      <w:r>
        <w:rPr>
          <w:rFonts w:ascii="Calibri" w:hAnsi="Calibri"/>
          <w:color w:val="111111"/>
          <w:sz w:val="22"/>
        </w:rPr>
        <w:t>A study-approved pipeline YAML.</w:t>
      </w:r>
    </w:p>
    <w:p>
      <w:pPr>
        <w:numPr>
          <w:ilvl w:val="0"/>
          <w:numId w:val="10"/>
        </w:numPr>
      </w:pPr>
      <w:r>
        <w:rPr>
          <w:rFonts w:ascii="Calibri" w:hAnsi="Calibri"/>
          <w:color w:val="111111"/>
          <w:sz w:val="22"/>
        </w:rPr>
        <w:t xml:space="preserve">BIDS inputs required by the selected track: T1w/T2w for anatomical processing; DWI with </w:t>
      </w:r>
      <w:r>
        <w:rPr>
          <w:rFonts w:ascii="Consolas" w:hAnsi="Consolas"/>
          <w:color w:val="18364A"/>
          <w:sz w:val="20"/>
        </w:rPr>
        <w:t>.bval</w:t>
      </w:r>
      <w:r>
        <w:rPr>
          <w:rFonts w:ascii="Calibri" w:hAnsi="Calibri"/>
          <w:color w:val="111111"/>
          <w:sz w:val="22"/>
        </w:rPr>
        <w:t xml:space="preserve">, </w:t>
      </w:r>
      <w:r>
        <w:rPr>
          <w:rFonts w:ascii="Consolas" w:hAnsi="Consolas"/>
          <w:color w:val="18364A"/>
          <w:sz w:val="20"/>
        </w:rPr>
        <w:t>.bvec</w:t>
      </w:r>
      <w:r>
        <w:rPr>
          <w:rFonts w:ascii="Calibri" w:hAnsi="Calibri"/>
          <w:color w:val="111111"/>
          <w:sz w:val="22"/>
        </w:rPr>
        <w:t>, sidecar metadata, and appropriate distortion-correction inputs for diffusion processing; or SPGR plus the required SSFP, IR-SPGR, and B1/AFI inputs for the selected relaxometry models.</w:t>
      </w:r>
    </w:p>
    <w:p>
      <w:pPr>
        <w:numPr>
          <w:ilvl w:val="0"/>
          <w:numId w:val="10"/>
        </w:numPr>
      </w:pPr>
      <w:r>
        <w:rPr>
          <w:rFonts w:ascii="Calibri" w:hAnsi="Calibri"/>
          <w:color w:val="111111"/>
          <w:sz w:val="22"/>
        </w:rPr>
        <w:t xml:space="preserve">Either a working local installation and required external tools, or a lab-approved </w:t>
      </w:r>
      <w:r>
        <w:rPr>
          <w:rFonts w:ascii="Consolas" w:hAnsi="Consolas"/>
          <w:color w:val="18364A"/>
          <w:sz w:val="20"/>
        </w:rPr>
        <w:t>.sif</w:t>
      </w:r>
      <w:r>
        <w:rPr>
          <w:rFonts w:ascii="Calibri" w:hAnsi="Calibri"/>
          <w:color w:val="111111"/>
          <w:sz w:val="22"/>
        </w:rPr>
        <w:t xml:space="preserve"> image and Apptainer/Singularity.</w:t>
      </w:r>
    </w:p>
    <w:p>
      <w:pPr>
        <w:numPr>
          <w:ilvl w:val="0"/>
          <w:numId w:val="10"/>
        </w:numPr>
      </w:pPr>
      <w:r>
        <w:rPr>
          <w:rFonts w:ascii="Calibri" w:hAnsi="Calibri"/>
          <w:color w:val="111111"/>
          <w:sz w:val="22"/>
        </w:rPr>
        <w:t>FreeSurfer license, atlas, template, GNL coefficient file, model weights, or GPU access when required by enabled steps.</w:t>
      </w:r>
    </w:p>
    <w:p>
      <w:pPr>
        <w:numPr>
          <w:ilvl w:val="0"/>
          <w:numId w:val="10"/>
        </w:numPr>
      </w:pPr>
      <w:r>
        <w:rPr>
          <w:rFonts w:ascii="Calibri" w:hAnsi="Calibri"/>
          <w:color w:val="111111"/>
          <w:sz w:val="22"/>
        </w:rPr>
        <w:t>Sufficient CPU, memory, runtime allocation, and disk space.</w:t>
      </w:r>
    </w:p>
    <w:p>
      <w:pPr>
        <w:numPr>
          <w:ilvl w:val="0"/>
          <w:numId w:val="10"/>
        </w:numPr>
      </w:pPr>
      <w:r>
        <w:rPr>
          <w:rFonts w:ascii="Calibri" w:hAnsi="Calibri"/>
          <w:color w:val="111111"/>
          <w:sz w:val="22"/>
        </w:rPr>
        <w:t>Approved standard-space templates, label atlases, lookup tables, tract definitions, and parcellations when normalization, ROI extraction, tractometry, or connectomes are enabled.</w:t>
      </w:r>
    </w:p>
    <w:p>
      <w:pPr>
        <w:pStyle w:val="Heading1"/>
      </w:pPr>
      <w:bookmarkStart w:id="160" w:name="Section_5_Safety_and_data_integrity_co"/>
      <w:r>
        <w:rPr>
          <w:rFonts w:ascii="Calibri" w:hAnsi="Calibri"/>
          <w:b/>
          <w:color w:val="2E5D7B"/>
          <w:sz w:val="32"/>
        </w:rPr>
        <w:t>5. Safety and data-integrity controls</w:t>
      </w:r>
      <w:bookmarkEnd w:id="160"/>
    </w:p>
    <w:p>
      <w:pPr>
        <w:numPr>
          <w:ilvl w:val="0"/>
          <w:numId w:val="11"/>
        </w:numPr>
      </w:pPr>
      <w:r>
        <w:rPr>
          <w:rFonts w:ascii="Calibri" w:hAnsi="Calibri"/>
          <w:color w:val="111111"/>
          <w:sz w:val="22"/>
        </w:rPr>
        <w:t>Treat the BIDS input as read-only. Never write derived files into raw source folders.</w:t>
      </w:r>
    </w:p>
    <w:p>
      <w:pPr>
        <w:numPr>
          <w:ilvl w:val="0"/>
          <w:numId w:val="11"/>
        </w:numPr>
      </w:pPr>
      <w:r>
        <w:rPr>
          <w:rFonts w:ascii="Calibri" w:hAnsi="Calibri"/>
          <w:color w:val="111111"/>
          <w:sz w:val="22"/>
        </w:rPr>
        <w:t xml:space="preserve">Use distinct output and work directories. Do not set either equal to </w:t>
      </w:r>
      <w:r>
        <w:rPr>
          <w:rFonts w:ascii="Consolas" w:hAnsi="Consolas"/>
          <w:color w:val="18364A"/>
          <w:sz w:val="20"/>
        </w:rPr>
        <w:t>bids_dir</w:t>
      </w:r>
      <w:r>
        <w:rPr>
          <w:rFonts w:ascii="Calibri" w:hAnsi="Calibri"/>
          <w:color w:val="111111"/>
          <w:sz w:val="22"/>
        </w:rPr>
        <w:t>.</w:t>
      </w:r>
    </w:p>
    <w:p>
      <w:pPr>
        <w:numPr>
          <w:ilvl w:val="0"/>
          <w:numId w:val="11"/>
        </w:numPr>
      </w:pPr>
      <w:r>
        <w:rPr>
          <w:rFonts w:ascii="Calibri" w:hAnsi="Calibri"/>
          <w:color w:val="111111"/>
          <w:sz w:val="22"/>
        </w:rPr>
        <w:t>Process only data for which the operator is authorized.</w:t>
      </w:r>
    </w:p>
    <w:p>
      <w:pPr>
        <w:numPr>
          <w:ilvl w:val="0"/>
          <w:numId w:val="11"/>
        </w:numPr>
      </w:pPr>
      <w:r>
        <w:rPr>
          <w:rFonts w:ascii="Calibri" w:hAnsi="Calibri"/>
          <w:color w:val="111111"/>
          <w:sz w:val="22"/>
        </w:rPr>
        <w:t>Do not store PHI, credentials, access tokens, or private keys in YAML or logs.</w:t>
      </w:r>
    </w:p>
    <w:p>
      <w:pPr>
        <w:numPr>
          <w:ilvl w:val="0"/>
          <w:numId w:val="11"/>
        </w:numPr>
      </w:pPr>
      <w:r>
        <w:rPr>
          <w:rFonts w:ascii="Calibri" w:hAnsi="Calibri"/>
          <w:color w:val="111111"/>
          <w:sz w:val="22"/>
        </w:rPr>
        <w:t>Preserve configuration, logs, reports, provenance, and software/container identifiers with the derivatives.</w:t>
      </w:r>
    </w:p>
    <w:p>
      <w:pPr>
        <w:numPr>
          <w:ilvl w:val="0"/>
          <w:numId w:val="11"/>
        </w:numPr>
      </w:pPr>
      <w:r>
        <w:rPr>
          <w:rFonts w:ascii="Calibri" w:hAnsi="Calibri"/>
          <w:color w:val="111111"/>
          <w:sz w:val="22"/>
        </w:rPr>
        <w:t>Do not delete failed outputs until logs and provenance have been reviewed and the pipeline lead authorizes cleanup.</w:t>
      </w:r>
    </w:p>
    <w:p>
      <w:pPr>
        <w:pStyle w:val="Heading1"/>
      </w:pPr>
      <w:bookmarkStart w:id="169" w:name="Section_6_Getting_started_general_work"/>
      <w:r>
        <w:rPr>
          <w:rFonts w:ascii="Calibri" w:hAnsi="Calibri"/>
          <w:b/>
          <w:color w:val="2E5D7B"/>
          <w:sz w:val="32"/>
        </w:rPr>
        <w:t>6. Getting started: general workflow</w:t>
      </w:r>
      <w:bookmarkEnd w:id="169"/>
    </w:p>
    <w:p>
      <w:r>
        <w:rPr>
          <w:rFonts w:ascii="Calibri" w:hAnsi="Calibri"/>
          <w:color w:val="111111"/>
          <w:sz w:val="22"/>
        </w:rPr>
        <w:t>The standard sequence is: inventory the BIDS data, choose local or container execution, create one version-controlled YAML for the selected pipeline, validate it, run one participant/session, complete visual and technical QC, and only then expand to the cohort. Sections 14–16 contain the execution commands and sign-off sequence.</w:t>
      </w:r>
    </w:p>
    <w:p>
      <w:pPr>
        <w:pStyle w:val="Heading2"/>
      </w:pPr>
      <w:r>
        <w:rPr>
          <w:rFonts w:ascii="Calibri" w:hAnsi="Calibri"/>
          <w:b/>
          <w:color w:val="2E5D7B"/>
          <w:sz w:val="26"/>
        </w:rPr>
        <w:t>6.1 Record the run identity</w:t>
      </w:r>
    </w:p>
    <w:p>
      <w:r>
        <w:rPr>
          <w:rFonts w:ascii="Calibri" w:hAnsi="Calibri"/>
          <w:color w:val="111111"/>
          <w:sz w:val="22"/>
        </w:rPr>
        <w:t>Before processing, create a run record containing operator, date/time, study, participant/session scope, YAML filename and revision, qmri-neuropipe version, container image path/digest if applicable, and intended output/work locations.</w:t>
      </w:r>
    </w:p>
    <w:p>
      <w:pPr>
        <w:spacing w:before="60" w:after="160" w:line="240" w:lineRule="auto"/>
        <w:ind w:left="259" w:right="259"/>
        <w:shd w:fill="F4F6F9"/>
      </w:pPr>
      <w:r>
        <w:rPr>
          <w:rFonts w:ascii="Consolas" w:hAnsi="Consolas"/>
          <w:color w:val="18364A"/>
          <w:sz w:val="17"/>
        </w:rPr>
        <w:t>qmri-neuropipe --version</w:t>
      </w:r>
    </w:p>
    <w:p>
      <w:pPr>
        <w:pStyle w:val="Heading2"/>
      </w:pPr>
      <w:r>
        <w:rPr>
          <w:rFonts w:ascii="Calibri" w:hAnsi="Calibri"/>
          <w:b/>
          <w:color w:val="2E5D7B"/>
          <w:sz w:val="26"/>
        </w:rPr>
        <w:t>6.2 Verify the execution environment</w:t>
      </w:r>
    </w:p>
    <w:p>
      <w:r>
        <w:rPr>
          <w:rFonts w:ascii="Calibri" w:hAnsi="Calibri"/>
          <w:color w:val="111111"/>
          <w:sz w:val="22"/>
        </w:rPr>
        <w:t>For a local installation, activate the approved Python environment and verify required commands for every enabled step.</w:t>
      </w:r>
    </w:p>
    <w:p>
      <w:pPr>
        <w:spacing w:before="60" w:after="160" w:line="240" w:lineRule="auto"/>
        <w:ind w:left="259" w:right="259"/>
        <w:shd w:fill="F4F6F9"/>
      </w:pPr>
      <w:r>
        <w:rPr>
          <w:rFonts w:ascii="Consolas" w:hAnsi="Consolas"/>
          <w:color w:val="18364A"/>
          <w:sz w:val="17"/>
        </w:rPr>
        <w:t>conda activate qmri</w:t>
        <w:br/>
      </w:r>
      <w:r>
        <w:rPr>
          <w:rFonts w:ascii="Consolas" w:hAnsi="Consolas"/>
          <w:color w:val="18364A"/>
          <w:sz w:val="17"/>
        </w:rPr>
        <w:t>qmri-neuropipe --version</w:t>
        <w:br/>
      </w:r>
      <w:r>
        <w:rPr>
          <w:rFonts w:ascii="Consolas" w:hAnsi="Consolas"/>
          <w:color w:val="18364A"/>
          <w:sz w:val="17"/>
        </w:rPr>
        <w:t>command -v flirt</w:t>
        <w:br/>
      </w:r>
      <w:r>
        <w:rPr>
          <w:rFonts w:ascii="Consolas" w:hAnsi="Consolas"/>
          <w:color w:val="18364A"/>
          <w:sz w:val="17"/>
        </w:rPr>
        <w:t>command -v dwidenoise</w:t>
        <w:br/>
      </w:r>
      <w:r>
        <w:rPr>
          <w:rFonts w:ascii="Consolas" w:hAnsi="Consolas"/>
          <w:color w:val="18364A"/>
          <w:sz w:val="17"/>
        </w:rPr>
        <w:t>command -v antsRegistration</w:t>
      </w:r>
    </w:p>
    <w:p>
      <w:r>
        <w:rPr>
          <w:rFonts w:ascii="Calibri" w:hAnsi="Calibri"/>
          <w:color w:val="111111"/>
          <w:sz w:val="22"/>
        </w:rPr>
        <w:t>For a container run, verify the runtime and image.</w:t>
      </w:r>
    </w:p>
    <w:p>
      <w:pPr>
        <w:spacing w:before="60" w:after="160" w:line="240" w:lineRule="auto"/>
        <w:ind w:left="259" w:right="259"/>
        <w:shd w:fill="F4F6F9"/>
      </w:pPr>
      <w:r>
        <w:rPr>
          <w:rFonts w:ascii="Consolas" w:hAnsi="Consolas"/>
          <w:color w:val="18364A"/>
          <w:sz w:val="17"/>
        </w:rPr>
        <w:t>apptainer --version</w:t>
        <w:br/>
      </w:r>
      <w:r>
        <w:rPr>
          <w:rFonts w:ascii="Consolas" w:hAnsi="Consolas"/>
          <w:color w:val="18364A"/>
          <w:sz w:val="17"/>
        </w:rPr>
        <w:t>ls -lh /path/to/qmri-neuropipe.sif</w:t>
      </w:r>
    </w:p>
    <w:p>
      <w:pPr>
        <w:pStyle w:val="Heading2"/>
      </w:pPr>
      <w:r>
        <w:rPr>
          <w:rFonts w:ascii="Calibri" w:hAnsi="Calibri"/>
          <w:b/>
          <w:color w:val="2E5D7B"/>
          <w:sz w:val="26"/>
        </w:rPr>
        <w:t>6.3 Verify input data and scope</w:t>
      </w:r>
    </w:p>
    <w:p>
      <w:r>
        <w:rPr>
          <w:rFonts w:ascii="Calibri" w:hAnsi="Calibri"/>
          <w:color w:val="111111"/>
          <w:sz w:val="22"/>
        </w:rPr>
        <w:t xml:space="preserve">Confirm </w:t>
      </w:r>
      <w:r>
        <w:rPr>
          <w:rFonts w:ascii="Consolas" w:hAnsi="Consolas"/>
          <w:color w:val="18364A"/>
          <w:sz w:val="20"/>
        </w:rPr>
        <w:t>dataset_description.json</w:t>
      </w:r>
      <w:r>
        <w:rPr>
          <w:rFonts w:ascii="Calibri" w:hAnsi="Calibri"/>
          <w:color w:val="111111"/>
          <w:sz w:val="22"/>
        </w:rPr>
        <w:t>, participant/session directories, required NIfTI files, JSON sidecars, and DWI gradient files are present. Inspect the dataset:</w:t>
      </w:r>
    </w:p>
    <w:p>
      <w:pPr>
        <w:spacing w:before="60" w:after="160" w:line="240" w:lineRule="auto"/>
        <w:ind w:left="259" w:right="259"/>
        <w:shd w:fill="F4F6F9"/>
      </w:pPr>
      <w:r>
        <w:rPr>
          <w:rFonts w:ascii="Consolas" w:hAnsi="Consolas"/>
          <w:color w:val="18364A"/>
          <w:sz w:val="17"/>
        </w:rPr>
        <w:t>qmri-neuropipe inspect /study/rawdata --by-session</w:t>
      </w:r>
    </w:p>
    <w:p>
      <w:r>
        <w:rPr>
          <w:rFonts w:ascii="Calibri" w:hAnsi="Calibri"/>
          <w:color w:val="111111"/>
          <w:sz w:val="22"/>
        </w:rPr>
        <w:t>Confirm participant and session labels against the inventory. Resolve missing, ambiguous, or non-BIDS inputs before continuing.</w:t>
      </w:r>
    </w:p>
    <w:p>
      <w:pPr>
        <w:pStyle w:val="Heading2"/>
      </w:pPr>
      <w:r>
        <w:rPr>
          <w:rFonts w:ascii="Calibri" w:hAnsi="Calibri"/>
          <w:b/>
          <w:color w:val="2E5D7B"/>
          <w:sz w:val="26"/>
        </w:rPr>
        <w:t>6.4 Prepare and review the pipeline YAML</w:t>
      </w:r>
    </w:p>
    <w:p>
      <w:r>
        <w:rPr>
          <w:rFonts w:ascii="Calibri" w:hAnsi="Calibri"/>
          <w:color w:val="111111"/>
          <w:sz w:val="22"/>
        </w:rPr>
        <w:t xml:space="preserve">Required top-level paths are </w:t>
      </w:r>
      <w:r>
        <w:rPr>
          <w:rFonts w:ascii="Consolas" w:hAnsi="Consolas"/>
          <w:color w:val="18364A"/>
          <w:sz w:val="20"/>
        </w:rPr>
        <w:t>bids_dir</w:t>
      </w:r>
      <w:r>
        <w:rPr>
          <w:rFonts w:ascii="Calibri" w:hAnsi="Calibri"/>
          <w:color w:val="111111"/>
          <w:sz w:val="22"/>
        </w:rPr>
        <w:t xml:space="preserve"> and </w:t>
      </w:r>
      <w:r>
        <w:rPr>
          <w:rFonts w:ascii="Consolas" w:hAnsi="Consolas"/>
          <w:color w:val="18364A"/>
          <w:sz w:val="20"/>
        </w:rPr>
        <w:t>output_dir</w:t>
      </w:r>
      <w:r>
        <w:rPr>
          <w:rFonts w:ascii="Calibri" w:hAnsi="Calibri"/>
          <w:color w:val="111111"/>
          <w:sz w:val="22"/>
        </w:rPr>
        <w:t xml:space="preserve">; </w:t>
      </w:r>
      <w:r>
        <w:rPr>
          <w:rFonts w:ascii="Consolas" w:hAnsi="Consolas"/>
          <w:color w:val="18364A"/>
          <w:sz w:val="20"/>
        </w:rPr>
        <w:t>work_dir</w:t>
      </w:r>
      <w:r>
        <w:rPr>
          <w:rFonts w:ascii="Calibri" w:hAnsi="Calibri"/>
          <w:color w:val="111111"/>
          <w:sz w:val="22"/>
        </w:rPr>
        <w:t xml:space="preserve"> is strongly recommended. Specify resources, run controls, the pipeline, and approved workflow steps. Use absolute paths and consistent space indentation. Duplicate keys are prohibited. CLI overrides take precedence over YAML.</w:t>
      </w:r>
    </w:p>
    <w:p>
      <w:r>
        <w:rPr>
          <w:rFonts w:ascii="Calibri" w:hAnsi="Calibri"/>
          <w:color w:val="111111"/>
          <w:sz w:val="22"/>
        </w:rPr>
        <w:t>Minimum structure:</w:t>
      </w:r>
    </w:p>
    <w:p>
      <w:pPr>
        <w:spacing w:before="60" w:after="160" w:line="240" w:lineRule="auto"/>
        <w:ind w:left="259" w:right="259"/>
        <w:shd w:fill="F4F6F9"/>
      </w:pPr>
      <w:r>
        <w:rPr>
          <w:rFonts w:ascii="Consolas" w:hAnsi="Consolas"/>
          <w:color w:val="18364A"/>
          <w:sz w:val="17"/>
        </w:rPr>
        <w:t>bids_dir: /study/rawdata</w:t>
        <w:br/>
      </w:r>
      <w:r>
        <w:rPr>
          <w:rFonts w:ascii="Consolas" w:hAnsi="Consolas"/>
          <w:color w:val="18364A"/>
          <w:sz w:val="17"/>
        </w:rPr>
        <w:t>output_dir: /study/derivatives/qmri-neuropipe</w:t>
        <w:br/>
      </w:r>
      <w:r>
        <w:rPr>
          <w:rFonts w:ascii="Consolas" w:hAnsi="Consolas"/>
          <w:color w:val="18364A"/>
          <w:sz w:val="17"/>
        </w:rPr>
        <w:t>work_dir: /scratch/my_user/qmri-neuropipe-work</w:t>
        <w:br/>
      </w:r>
      <w:r>
        <w:rPr>
          <w:rFonts w:ascii="Consolas" w:hAnsi="Consolas"/>
          <w:color w:val="18364A"/>
          <w:sz w:val="17"/>
        </w:rPr>
        <w:t>n_cpus: 8</w:t>
        <w:br/>
      </w:r>
      <w:r>
        <w:rPr>
          <w:rFonts w:ascii="Consolas" w:hAnsi="Consolas"/>
          <w:color w:val="18364A"/>
          <w:sz w:val="17"/>
        </w:rPr>
        <w:t>memory_gb: 32</w:t>
        <w:br/>
      </w:r>
      <w:r>
        <w:rPr>
          <w:rFonts w:ascii="Consolas" w:hAnsi="Consolas"/>
          <w:color w:val="18364A"/>
          <w:sz w:val="17"/>
        </w:rPr>
        <w:t>use_gpu: false</w:t>
        <w:br/>
      </w:r>
      <w:r>
        <w:rPr>
          <w:rFonts w:ascii="Consolas" w:hAnsi="Consolas"/>
          <w:color w:val="18364A"/>
          <w:sz w:val="17"/>
        </w:rPr>
        <w:t>skip_existing: true</w:t>
        <w:br/>
      </w:r>
      <w:r>
        <w:rPr>
          <w:rFonts w:ascii="Consolas" w:hAnsi="Consolas"/>
          <w:color w:val="18364A"/>
          <w:sz w:val="17"/>
        </w:rPr>
        <w:t>stop_on_error: true</w:t>
        <w:br/>
      </w:r>
      <w:r>
        <w:rPr>
          <w:rFonts w:ascii="Consolas" w:hAnsi="Consolas"/>
          <w:color w:val="18364A"/>
          <w:sz w:val="17"/>
        </w:rPr>
        <w:t>pipeline: dmri</w:t>
        <w:br/>
      </w:r>
      <w:r>
        <w:rPr>
          <w:rFonts w:ascii="Consolas" w:hAnsi="Consolas"/>
          <w:color w:val="18364A"/>
          <w:sz w:val="17"/>
        </w:rPr>
        <w:br/>
      </w:r>
      <w:r>
        <w:rPr>
          <w:rFonts w:ascii="Consolas" w:hAnsi="Consolas"/>
          <w:color w:val="18364A"/>
          <w:sz w:val="17"/>
        </w:rPr>
        <w:t>dmri:</w:t>
        <w:br/>
      </w:r>
      <w:r>
        <w:rPr>
          <w:rFonts w:ascii="Consolas" w:hAnsi="Consolas"/>
          <w:color w:val="18364A"/>
          <w:sz w:val="17"/>
        </w:rPr>
        <w:t xml:space="preserve">  preprocessing:</w:t>
        <w:br/>
      </w:r>
      <w:r>
        <w:rPr>
          <w:rFonts w:ascii="Consolas" w:hAnsi="Consolas"/>
          <w:color w:val="18364A"/>
          <w:sz w:val="17"/>
        </w:rPr>
        <w:t xml:space="preserve">    denoising:</w:t>
        <w:br/>
      </w:r>
      <w:r>
        <w:rPr>
          <w:rFonts w:ascii="Consolas" w:hAnsi="Consolas"/>
          <w:color w:val="18364A"/>
          <w:sz w:val="17"/>
        </w:rPr>
        <w:t xml:space="preserve">      enabled: true</w:t>
        <w:br/>
      </w:r>
      <w:r>
        <w:rPr>
          <w:rFonts w:ascii="Consolas" w:hAnsi="Consolas"/>
          <w:color w:val="18364A"/>
          <w:sz w:val="17"/>
        </w:rPr>
        <w:t xml:space="preserve">      method: mrtrix</w:t>
        <w:br/>
      </w:r>
      <w:r>
        <w:rPr>
          <w:rFonts w:ascii="Consolas" w:hAnsi="Consolas"/>
          <w:color w:val="18364A"/>
          <w:sz w:val="17"/>
        </w:rPr>
        <w:t xml:space="preserve">  modeling:</w:t>
        <w:br/>
      </w:r>
      <w:r>
        <w:rPr>
          <w:rFonts w:ascii="Consolas" w:hAnsi="Consolas"/>
          <w:color w:val="18364A"/>
          <w:sz w:val="17"/>
        </w:rPr>
        <w:t xml:space="preserve">    dti:</w:t>
        <w:br/>
      </w:r>
      <w:r>
        <w:rPr>
          <w:rFonts w:ascii="Consolas" w:hAnsi="Consolas"/>
          <w:color w:val="18364A"/>
          <w:sz w:val="17"/>
        </w:rPr>
        <w:t xml:space="preserve">      enabled: true</w:t>
        <w:br/>
      </w:r>
      <w:r>
        <w:rPr>
          <w:rFonts w:ascii="Consolas" w:hAnsi="Consolas"/>
          <w:color w:val="18364A"/>
          <w:sz w:val="17"/>
        </w:rPr>
        <w:t xml:space="preserve">      method: dipy</w:t>
        <w:br/>
      </w:r>
      <w:r>
        <w:rPr>
          <w:rFonts w:ascii="Consolas" w:hAnsi="Consolas"/>
          <w:color w:val="18364A"/>
          <w:sz w:val="17"/>
        </w:rPr>
        <w:t xml:space="preserve">      metrics: [fa, md, ad, rd]</w:t>
      </w:r>
    </w:p>
    <w:p>
      <w:r>
        <w:rPr>
          <w:rFonts w:ascii="Calibri" w:hAnsi="Calibri"/>
          <w:color w:val="111111"/>
          <w:sz w:val="22"/>
        </w:rPr>
        <w:t xml:space="preserve">The operator and pipeline lead must confirm that enabled methods match the acquisition and scientific plan. When multiple anatomical images exist, configure strict </w:t>
      </w:r>
      <w:r>
        <w:rPr>
          <w:rFonts w:ascii="Consolas" w:hAnsi="Consolas"/>
          <w:color w:val="18364A"/>
          <w:sz w:val="20"/>
        </w:rPr>
        <w:t>anat.input.t1w_match</w:t>
      </w:r>
      <w:r>
        <w:rPr>
          <w:rFonts w:ascii="Calibri" w:hAnsi="Calibri"/>
          <w:color w:val="111111"/>
          <w:sz w:val="22"/>
        </w:rPr>
        <w:t xml:space="preserve"> or </w:t>
      </w:r>
      <w:r>
        <w:rPr>
          <w:rFonts w:ascii="Consolas" w:hAnsi="Consolas"/>
          <w:color w:val="18364A"/>
          <w:sz w:val="20"/>
        </w:rPr>
        <w:t>anat.input.t2w_match</w:t>
      </w:r>
      <w:r>
        <w:rPr>
          <w:rFonts w:ascii="Calibri" w:hAnsi="Calibri"/>
          <w:color w:val="111111"/>
          <w:sz w:val="22"/>
        </w:rPr>
        <w:t xml:space="preserve"> selectors.</w:t>
      </w:r>
    </w:p>
    <w:p>
      <w:pPr>
        <w:pStyle w:val="Heading3"/>
      </w:pPr>
      <w:r>
        <w:rPr>
          <w:rFonts w:ascii="Calibri" w:hAnsi="Calibri"/>
          <w:b/>
          <w:color w:val="18364A"/>
          <w:sz w:val="24"/>
        </w:rPr>
        <w:t>6.4.1 Select one processing track per run</w:t>
      </w:r>
    </w:p>
    <w:p>
      <w:r>
        <w:rPr>
          <w:rFonts w:ascii="Calibri" w:hAnsi="Calibri"/>
          <w:color w:val="111111"/>
          <w:sz w:val="22"/>
        </w:rPr>
        <w:t xml:space="preserve">Set the top-level </w:t>
      </w:r>
      <w:r>
        <w:rPr>
          <w:rFonts w:ascii="Consolas" w:hAnsi="Consolas"/>
          <w:color w:val="18364A"/>
          <w:sz w:val="20"/>
        </w:rPr>
        <w:t>pipeline</w:t>
      </w:r>
      <w:r>
        <w:rPr>
          <w:rFonts w:ascii="Calibri" w:hAnsi="Calibri"/>
          <w:color w:val="111111"/>
          <w:sz w:val="22"/>
        </w:rPr>
        <w:t xml:space="preserve"> to </w:t>
      </w:r>
      <w:r>
        <w:rPr>
          <w:rFonts w:ascii="Consolas" w:hAnsi="Consolas"/>
          <w:color w:val="18364A"/>
          <w:sz w:val="20"/>
        </w:rPr>
        <w:t>anat</w:t>
      </w:r>
      <w:r>
        <w:rPr>
          <w:rFonts w:ascii="Calibri" w:hAnsi="Calibri"/>
          <w:color w:val="111111"/>
          <w:sz w:val="22"/>
        </w:rPr>
        <w:t xml:space="preserve">, </w:t>
      </w:r>
      <w:r>
        <w:rPr>
          <w:rFonts w:ascii="Consolas" w:hAnsi="Consolas"/>
          <w:color w:val="18364A"/>
          <w:sz w:val="20"/>
        </w:rPr>
        <w:t>dmri</w:t>
      </w:r>
      <w:r>
        <w:rPr>
          <w:rFonts w:ascii="Calibri" w:hAnsi="Calibri"/>
          <w:color w:val="111111"/>
          <w:sz w:val="22"/>
        </w:rPr>
        <w:t xml:space="preserve">, or </w:t>
      </w:r>
      <w:r>
        <w:rPr>
          <w:rFonts w:ascii="Consolas" w:hAnsi="Consolas"/>
          <w:color w:val="18364A"/>
          <w:sz w:val="20"/>
        </w:rPr>
        <w:t>relaxometry</w:t>
      </w:r>
      <w:r>
        <w:rPr>
          <w:rFonts w:ascii="Calibri" w:hAnsi="Calibri"/>
          <w:color w:val="111111"/>
          <w:sz w:val="22"/>
        </w:rPr>
        <w:t>. A study may run more than one track, but each invocation selects one pipeline. Use a separate version-controlled YAML per approved protocol when the settings differ materially.</w:t>
      </w:r>
    </w:p>
    <w:p>
      <w:pPr>
        <w:pStyle w:val="Heading2"/>
      </w:pPr>
      <w:r>
        <w:rPr>
          <w:rFonts w:ascii="Calibri" w:hAnsi="Calibri"/>
          <w:b/>
          <w:color w:val="2E5D7B"/>
          <w:sz w:val="26"/>
        </w:rPr>
        <w:t>6.5 Quick-start decision guide</w:t>
      </w:r>
    </w:p>
    <w:tbl>
      <w:tblPr>
        <w:tblW w:type="dxa" w:w="9360"/>
        <w:jc w:val="left"/>
        <w:tblLayout w:type="fixed"/>
        <w:tblLook w:firstColumn="1" w:firstRow="1" w:lastColumn="0" w:lastRow="0" w:noHBand="0" w:noVBand="1" w:val="04A0"/>
        <w:tblInd w:w="120" w:type="dxa"/>
        <w:tblBorders>
          <w:top w:val="single" w:sz="6" w:space="0" w:color="A9B8C2"/>
          <w:left w:val="single" w:sz="6" w:space="0" w:color="A9B8C2"/>
          <w:bottom w:val="single" w:sz="6" w:space="0" w:color="A9B8C2"/>
          <w:right w:val="single" w:sz="6" w:space="0" w:color="A9B8C2"/>
          <w:insideH w:val="single" w:sz="6" w:space="0" w:color="A9B8C2"/>
          <w:insideV w:val="single" w:sz="6" w:space="0" w:color="A9B8C2"/>
        </w:tblBorders>
      </w:tblPr>
      <w:tblGrid>
        <w:gridCol w:w="1200"/>
        <w:gridCol w:w="1600"/>
        <w:gridCol w:w="6560"/>
      </w:tblGrid>
      <w:tr>
        <w:trPr>
          <w:tblHeader w:val="true"/>
        </w:trPr>
        <w:tc>
          <w:tcPr>
            <w:tcW w:type="dxa" w:w="1200"/>
            <w:shd w:fill="E8EEF5"/>
            <w:tcMar>
              <w:top w:w="100" w:type="dxa"/>
              <w:start w:w="120" w:type="dxa"/>
              <w:bottom w:w="100" w:type="dxa"/>
              <w:end w:w="120" w:type="dxa"/>
            </w:tcMar>
            <w:vAlign w:val="center"/>
          </w:tcPr>
          <w:p>
            <w:pPr>
              <w:spacing w:after="0"/>
            </w:pPr>
            <w:r>
              <w:rPr>
                <w:b/>
              </w:rPr>
            </w:r>
            <w:r>
              <w:rPr>
                <w:rFonts w:ascii="Calibri" w:hAnsi="Calibri"/>
                <w:b/>
                <w:color w:val="18364A"/>
                <w:sz w:val="19"/>
              </w:rPr>
              <w:t>If the study needs…</w:t>
            </w:r>
          </w:p>
        </w:tc>
        <w:tc>
          <w:tcPr>
            <w:tcW w:type="dxa" w:w="1600"/>
            <w:shd w:fill="E8EEF5"/>
            <w:tcMar>
              <w:top w:w="100" w:type="dxa"/>
              <w:start w:w="120" w:type="dxa"/>
              <w:bottom w:w="100" w:type="dxa"/>
              <w:end w:w="120" w:type="dxa"/>
            </w:tcMar>
            <w:vAlign w:val="center"/>
          </w:tcPr>
          <w:p>
            <w:pPr>
              <w:spacing w:after="0"/>
            </w:pPr>
            <w:r>
              <w:rPr>
                <w:b/>
              </w:rPr>
            </w:r>
            <w:r>
              <w:rPr>
                <w:rFonts w:ascii="Calibri" w:hAnsi="Calibri"/>
                <w:b/>
                <w:color w:val="18364A"/>
                <w:sz w:val="19"/>
              </w:rPr>
              <w:t>Start with…</w:t>
            </w:r>
          </w:p>
        </w:tc>
        <w:tc>
          <w:tcPr>
            <w:tcW w:type="dxa" w:w="6560"/>
            <w:shd w:fill="E8EEF5"/>
            <w:tcMar>
              <w:top w:w="100" w:type="dxa"/>
              <w:start w:w="120" w:type="dxa"/>
              <w:bottom w:w="100" w:type="dxa"/>
              <w:end w:w="120" w:type="dxa"/>
            </w:tcMar>
            <w:vAlign w:val="center"/>
          </w:tcPr>
          <w:p>
            <w:pPr>
              <w:spacing w:after="0"/>
            </w:pPr>
            <w:r>
              <w:rPr>
                <w:b/>
              </w:rPr>
            </w:r>
            <w:r>
              <w:rPr>
                <w:rFonts w:ascii="Calibri" w:hAnsi="Calibri"/>
                <w:b/>
                <w:color w:val="18364A"/>
                <w:sz w:val="19"/>
              </w:rPr>
              <w:t>Then review…</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T1w/T2w preprocessing, masks, segmentation, or reconstruction</w:t>
            </w:r>
          </w:p>
        </w:tc>
        <w:tc>
          <w:tcPr>
            <w:tcW w:type="dxa" w:w="1600"/>
            <w:tcMar>
              <w:top w:w="100" w:type="dxa"/>
              <w:start w:w="120" w:type="dxa"/>
              <w:bottom w:w="100" w:type="dxa"/>
              <w:end w:w="120" w:type="dxa"/>
            </w:tcMar>
            <w:vAlign w:val="center"/>
          </w:tcPr>
          <w:p>
            <w:pPr>
              <w:spacing w:after="0"/>
            </w:pPr>
            <w:r/>
            <w:r>
              <w:rPr>
                <w:rFonts w:ascii="Consolas" w:hAnsi="Consolas"/>
                <w:color w:val="18364A"/>
                <w:sz w:val="17"/>
              </w:rPr>
              <w:t>pipeline: anat</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Sections 7 and 10–13 as enabled</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DWI correction, tensor/FOD models, or tractography</w:t>
            </w:r>
          </w:p>
        </w:tc>
        <w:tc>
          <w:tcPr>
            <w:tcW w:type="dxa" w:w="1600"/>
            <w:tcMar>
              <w:top w:w="100" w:type="dxa"/>
              <w:start w:w="120" w:type="dxa"/>
              <w:bottom w:w="100" w:type="dxa"/>
              <w:end w:w="120" w:type="dxa"/>
            </w:tcMar>
            <w:vAlign w:val="center"/>
          </w:tcPr>
          <w:p>
            <w:pPr>
              <w:spacing w:after="0"/>
            </w:pPr>
            <w:r/>
            <w:r>
              <w:rPr>
                <w:rFonts w:ascii="Consolas" w:hAnsi="Consolas"/>
                <w:color w:val="18364A"/>
                <w:sz w:val="17"/>
              </w:rPr>
              <w:t>pipeline: dmri</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Sections 8 and 10–13 as enabled</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SPGR/SSFP quantitative mapping or mcDESPOT</w:t>
            </w:r>
          </w:p>
        </w:tc>
        <w:tc>
          <w:tcPr>
            <w:tcW w:type="dxa" w:w="1600"/>
            <w:tcMar>
              <w:top w:w="100" w:type="dxa"/>
              <w:start w:w="120" w:type="dxa"/>
              <w:bottom w:w="100" w:type="dxa"/>
              <w:end w:w="120" w:type="dxa"/>
            </w:tcMar>
            <w:vAlign w:val="center"/>
          </w:tcPr>
          <w:p>
            <w:pPr>
              <w:spacing w:after="0"/>
            </w:pPr>
            <w:r/>
            <w:r>
              <w:rPr>
                <w:rFonts w:ascii="Consolas" w:hAnsi="Consolas"/>
                <w:color w:val="18364A"/>
                <w:sz w:val="17"/>
              </w:rPr>
              <w:t>pipeline: relaxometry</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Sections 9, 10, 12, and 13 as enabled</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A containerized run</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Section 6.2 container checks</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Section 14 container validation/execution</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A local run</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Section 6.2 local checks</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Section 14 local validation/execution</w:t>
            </w:r>
          </w:p>
        </w:tc>
      </w:tr>
    </w:tbl>
    <w:p>
      <w:pPr>
        <w:spacing w:after="0"/>
      </w:pPr>
    </w:p>
    <w:p>
      <w:r>
        <w:rPr>
          <w:rFonts w:ascii="Calibri" w:hAnsi="Calibri"/>
          <w:color w:val="111111"/>
          <w:sz w:val="22"/>
        </w:rPr>
        <w:t>Before leaving this chapter, the operator should be able to identify the selected pipeline, BIDS scope, output/work locations, execution method, enabled optional branches, and the responsible reviewer.</w:t>
      </w:r>
    </w:p>
    <w:p>
      <w:pPr>
        <w:pStyle w:val="Heading1"/>
      </w:pPr>
      <w:bookmarkStart w:id="257" w:name="Section_7_Anatomical_processing_manual"/>
      <w:r>
        <w:rPr>
          <w:rFonts w:ascii="Calibri" w:hAnsi="Calibri"/>
          <w:b/>
          <w:color w:val="2E5D7B"/>
          <w:sz w:val="32"/>
        </w:rPr>
        <w:t>7. Anatomical processing manual</w:t>
      </w:r>
      <w:bookmarkEnd w:id="257"/>
    </w:p>
    <w:p>
      <w:pPr>
        <w:pStyle w:val="Heading2"/>
      </w:pPr>
      <w:r>
        <w:rPr>
          <w:rFonts w:ascii="Calibri" w:hAnsi="Calibri"/>
          <w:b/>
          <w:color w:val="2E5D7B"/>
          <w:sz w:val="26"/>
        </w:rPr>
        <w:t>7.1 Purpose and required inputs</w:t>
      </w:r>
    </w:p>
    <w:p>
      <w:r>
        <w:rPr>
          <w:rFonts w:ascii="Calibri" w:hAnsi="Calibri"/>
          <w:color w:val="111111"/>
          <w:sz w:val="22"/>
        </w:rPr>
        <w:t>An anatomical run requires the selected T1w and any optional T2w input. Review input selection carefully when multiple acquisitions or runs exist.</w:t>
      </w:r>
    </w:p>
    <w:p>
      <w:r>
        <w:rPr>
          <w:rFonts w:ascii="Calibri" w:hAnsi="Calibri"/>
          <w:color w:val="111111"/>
          <w:sz w:val="22"/>
        </w:rPr>
        <w:t xml:space="preserve">Required inputs are a BIDS T1w image and sidecar; optional inputs include T2w images, a FreeSurfer license, study templates, and label atlases. When more than one candidate image exists, configure strict </w:t>
      </w:r>
      <w:r>
        <w:rPr>
          <w:rFonts w:ascii="Consolas" w:hAnsi="Consolas"/>
          <w:color w:val="18364A"/>
          <w:sz w:val="20"/>
        </w:rPr>
        <w:t>anat.input.t1w_match</w:t>
      </w:r>
      <w:r>
        <w:rPr>
          <w:rFonts w:ascii="Calibri" w:hAnsi="Calibri"/>
          <w:color w:val="111111"/>
          <w:sz w:val="22"/>
        </w:rPr>
        <w:t xml:space="preserve"> or </w:t>
      </w:r>
      <w:r>
        <w:rPr>
          <w:rFonts w:ascii="Consolas" w:hAnsi="Consolas"/>
          <w:color w:val="18364A"/>
          <w:sz w:val="20"/>
        </w:rPr>
        <w:t>anat.input.t2w_match</w:t>
      </w:r>
      <w:r>
        <w:rPr>
          <w:rFonts w:ascii="Calibri" w:hAnsi="Calibri"/>
          <w:color w:val="111111"/>
          <w:sz w:val="22"/>
        </w:rPr>
        <w:t xml:space="preserve"> entities so selection fails safely instead of choosing an unintended acquisition.</w:t>
      </w:r>
    </w:p>
    <w:p>
      <w:pPr>
        <w:pStyle w:val="Heading2"/>
      </w:pPr>
      <w:r>
        <w:rPr>
          <w:rFonts w:ascii="Calibri" w:hAnsi="Calibri"/>
          <w:b/>
          <w:color w:val="2E5D7B"/>
          <w:sz w:val="26"/>
        </w:rPr>
        <w:t>7.2 Recommended processing sequence</w:t>
      </w:r>
    </w:p>
    <w:p>
      <w:pPr>
        <w:numPr>
          <w:ilvl w:val="0"/>
          <w:numId w:val="12"/>
        </w:numPr>
      </w:pPr>
      <w:r>
        <w:rPr>
          <w:rFonts w:ascii="Calibri" w:hAnsi="Calibri"/>
          <w:color w:val="111111"/>
          <w:sz w:val="22"/>
        </w:rPr>
        <w:t>Confirm the selected T1w/T2w acquisition and orientation.</w:t>
      </w:r>
    </w:p>
    <w:p>
      <w:pPr>
        <w:numPr>
          <w:ilvl w:val="0"/>
          <w:numId w:val="12"/>
        </w:numPr>
      </w:pPr>
      <w:r>
        <w:rPr>
          <w:rFonts w:ascii="Calibri" w:hAnsi="Calibri"/>
          <w:color w:val="111111"/>
          <w:sz w:val="22"/>
        </w:rPr>
        <w:t>Reorient, denoise, and correct intensity nonuniformity as approved.</w:t>
      </w:r>
    </w:p>
    <w:p>
      <w:pPr>
        <w:numPr>
          <w:ilvl w:val="0"/>
          <w:numId w:val="12"/>
        </w:numPr>
      </w:pPr>
      <w:r>
        <w:rPr>
          <w:rFonts w:ascii="Calibri" w:hAnsi="Calibri"/>
          <w:color w:val="111111"/>
          <w:sz w:val="22"/>
        </w:rPr>
        <w:t>Create and visually inspect the brain mask.</w:t>
      </w:r>
    </w:p>
    <w:p>
      <w:pPr>
        <w:numPr>
          <w:ilvl w:val="0"/>
          <w:numId w:val="12"/>
        </w:numPr>
      </w:pPr>
      <w:r>
        <w:rPr>
          <w:rFonts w:ascii="Calibri" w:hAnsi="Calibri"/>
          <w:color w:val="111111"/>
          <w:sz w:val="22"/>
        </w:rPr>
        <w:t>Run optional T1w–T2w coregistration, reconstruction, or segmentation.</w:t>
      </w:r>
    </w:p>
    <w:p>
      <w:pPr>
        <w:numPr>
          <w:ilvl w:val="0"/>
          <w:numId w:val="12"/>
        </w:numPr>
      </w:pPr>
      <w:r>
        <w:rPr>
          <w:rFonts w:ascii="Calibri" w:hAnsi="Calibri"/>
          <w:color w:val="111111"/>
          <w:sz w:val="22"/>
        </w:rPr>
        <w:t>Run normalization and atlas/ROI analysis only after native-space anatomy passes QC.</w:t>
      </w:r>
    </w:p>
    <w:p>
      <w:pPr>
        <w:numPr>
          <w:ilvl w:val="0"/>
          <w:numId w:val="12"/>
        </w:numPr>
      </w:pPr>
      <w:r>
        <w:rPr>
          <w:rFonts w:ascii="Calibri" w:hAnsi="Calibri"/>
          <w:color w:val="111111"/>
          <w:sz w:val="22"/>
        </w:rPr>
        <w:t>Preserve derivatives, sidecars, logs, provenance, and QC decisions.</w:t>
      </w:r>
    </w:p>
    <w:p>
      <w:pPr>
        <w:pStyle w:val="Heading2"/>
      </w:pPr>
      <w:r>
        <w:rPr>
          <w:rFonts w:ascii="Calibri" w:hAnsi="Calibri"/>
          <w:b/>
          <w:color w:val="2E5D7B"/>
          <w:sz w:val="26"/>
        </w:rPr>
        <w:t>7.3 Starter YAML</w:t>
      </w:r>
    </w:p>
    <w:p>
      <w:pPr>
        <w:spacing w:before="60" w:after="160" w:line="240" w:lineRule="auto"/>
        <w:ind w:left="259" w:right="259"/>
        <w:shd w:fill="F4F6F9"/>
      </w:pPr>
      <w:r>
        <w:rPr>
          <w:rFonts w:ascii="Consolas" w:hAnsi="Consolas"/>
          <w:color w:val="18364A"/>
          <w:sz w:val="17"/>
        </w:rPr>
        <w:t>pipeline: anat</w:t>
        <w:br/>
      </w:r>
      <w:r>
        <w:rPr>
          <w:rFonts w:ascii="Consolas" w:hAnsi="Consolas"/>
          <w:color w:val="18364A"/>
          <w:sz w:val="17"/>
        </w:rPr>
        <w:br/>
      </w:r>
      <w:r>
        <w:rPr>
          <w:rFonts w:ascii="Consolas" w:hAnsi="Consolas"/>
          <w:color w:val="18364A"/>
          <w:sz w:val="17"/>
        </w:rPr>
        <w:t>anat:</w:t>
        <w:br/>
      </w:r>
      <w:r>
        <w:rPr>
          <w:rFonts w:ascii="Consolas" w:hAnsi="Consolas"/>
          <w:color w:val="18364A"/>
          <w:sz w:val="17"/>
        </w:rPr>
        <w:t xml:space="preserve">  input:</w:t>
        <w:br/>
      </w:r>
      <w:r>
        <w:rPr>
          <w:rFonts w:ascii="Consolas" w:hAnsi="Consolas"/>
          <w:color w:val="18364A"/>
          <w:sz w:val="17"/>
        </w:rPr>
        <w:t xml:space="preserve">    t1w_match:</w:t>
        <w:br/>
      </w:r>
      <w:r>
        <w:rPr>
          <w:rFonts w:ascii="Consolas" w:hAnsi="Consolas"/>
          <w:color w:val="18364A"/>
          <w:sz w:val="17"/>
        </w:rPr>
        <w:t xml:space="preserve">      entities:</w:t>
        <w:br/>
      </w:r>
      <w:r>
        <w:rPr>
          <w:rFonts w:ascii="Consolas" w:hAnsi="Consolas"/>
          <w:color w:val="18364A"/>
          <w:sz w:val="17"/>
        </w:rPr>
        <w:t xml:space="preserve">        acq: MPRAGE</w:t>
        <w:br/>
      </w:r>
      <w:r>
        <w:rPr>
          <w:rFonts w:ascii="Consolas" w:hAnsi="Consolas"/>
          <w:color w:val="18364A"/>
          <w:sz w:val="17"/>
        </w:rPr>
        <w:t xml:space="preserve">  preprocessing:</w:t>
        <w:br/>
      </w:r>
      <w:r>
        <w:rPr>
          <w:rFonts w:ascii="Consolas" w:hAnsi="Consolas"/>
          <w:color w:val="18364A"/>
          <w:sz w:val="17"/>
        </w:rPr>
        <w:t xml:space="preserve">    reorient:</w:t>
        <w:br/>
      </w:r>
      <w:r>
        <w:rPr>
          <w:rFonts w:ascii="Consolas" w:hAnsi="Consolas"/>
          <w:color w:val="18364A"/>
          <w:sz w:val="17"/>
        </w:rPr>
        <w:t xml:space="preserve">      enabled: true</w:t>
        <w:br/>
      </w:r>
      <w:r>
        <w:rPr>
          <w:rFonts w:ascii="Consolas" w:hAnsi="Consolas"/>
          <w:color w:val="18364A"/>
          <w:sz w:val="17"/>
        </w:rPr>
        <w:t xml:space="preserve">    denoising:</w:t>
        <w:br/>
      </w:r>
      <w:r>
        <w:rPr>
          <w:rFonts w:ascii="Consolas" w:hAnsi="Consolas"/>
          <w:color w:val="18364A"/>
          <w:sz w:val="17"/>
        </w:rPr>
        <w:t xml:space="preserve">      enabled: true</w:t>
        <w:br/>
      </w:r>
      <w:r>
        <w:rPr>
          <w:rFonts w:ascii="Consolas" w:hAnsi="Consolas"/>
          <w:color w:val="18364A"/>
          <w:sz w:val="17"/>
        </w:rPr>
        <w:t xml:space="preserve">      method: ants</w:t>
        <w:br/>
      </w:r>
      <w:r>
        <w:rPr>
          <w:rFonts w:ascii="Consolas" w:hAnsi="Consolas"/>
          <w:color w:val="18364A"/>
          <w:sz w:val="17"/>
        </w:rPr>
        <w:t xml:space="preserve">    bias_correction:</w:t>
        <w:br/>
      </w:r>
      <w:r>
        <w:rPr>
          <w:rFonts w:ascii="Consolas" w:hAnsi="Consolas"/>
          <w:color w:val="18364A"/>
          <w:sz w:val="17"/>
        </w:rPr>
        <w:t xml:space="preserve">      enabled: true</w:t>
        <w:br/>
      </w:r>
      <w:r>
        <w:rPr>
          <w:rFonts w:ascii="Consolas" w:hAnsi="Consolas"/>
          <w:color w:val="18364A"/>
          <w:sz w:val="17"/>
        </w:rPr>
        <w:t xml:space="preserve">      method: ants</w:t>
        <w:br/>
      </w:r>
      <w:r>
        <w:rPr>
          <w:rFonts w:ascii="Consolas" w:hAnsi="Consolas"/>
          <w:color w:val="18364A"/>
          <w:sz w:val="17"/>
        </w:rPr>
        <w:t xml:space="preserve">    brain_masking:</w:t>
        <w:br/>
      </w:r>
      <w:r>
        <w:rPr>
          <w:rFonts w:ascii="Consolas" w:hAnsi="Consolas"/>
          <w:color w:val="18364A"/>
          <w:sz w:val="17"/>
        </w:rPr>
        <w:t xml:space="preserve">      enabled: true</w:t>
        <w:br/>
      </w:r>
      <w:r>
        <w:rPr>
          <w:rFonts w:ascii="Consolas" w:hAnsi="Consolas"/>
          <w:color w:val="18364A"/>
          <w:sz w:val="17"/>
        </w:rPr>
        <w:t xml:space="preserve">      method: synthstrip</w:t>
        <w:br/>
      </w:r>
      <w:r>
        <w:rPr>
          <w:rFonts w:ascii="Consolas" w:hAnsi="Consolas"/>
          <w:color w:val="18364A"/>
          <w:sz w:val="17"/>
        </w:rPr>
        <w:t xml:space="preserve">    recon_all:</w:t>
        <w:br/>
      </w:r>
      <w:r>
        <w:rPr>
          <w:rFonts w:ascii="Consolas" w:hAnsi="Consolas"/>
          <w:color w:val="18364A"/>
          <w:sz w:val="17"/>
        </w:rPr>
        <w:t xml:space="preserve">      enabled: false</w:t>
        <w:br/>
      </w:r>
      <w:r>
        <w:rPr>
          <w:rFonts w:ascii="Consolas" w:hAnsi="Consolas"/>
          <w:color w:val="18364A"/>
          <w:sz w:val="17"/>
        </w:rPr>
        <w:t xml:space="preserve">      method: standard</w:t>
        <w:br/>
      </w:r>
      <w:r>
        <w:rPr>
          <w:rFonts w:ascii="Consolas" w:hAnsi="Consolas"/>
          <w:color w:val="18364A"/>
          <w:sz w:val="17"/>
        </w:rPr>
        <w:t xml:space="preserve">    normalization:</w:t>
        <w:br/>
      </w:r>
      <w:r>
        <w:rPr>
          <w:rFonts w:ascii="Consolas" w:hAnsi="Consolas"/>
          <w:color w:val="18364A"/>
          <w:sz w:val="17"/>
        </w:rPr>
        <w:t xml:space="preserve">      enabled: false</w:t>
        <w:br/>
      </w:r>
      <w:r>
        <w:rPr>
          <w:rFonts w:ascii="Consolas" w:hAnsi="Consolas"/>
          <w:color w:val="18364A"/>
          <w:sz w:val="17"/>
        </w:rPr>
        <w:t xml:space="preserve">      method: ants</w:t>
      </w:r>
    </w:p>
    <w:p>
      <w:r>
        <w:rPr>
          <w:rFonts w:ascii="Calibri" w:hAnsi="Calibri"/>
          <w:color w:val="111111"/>
          <w:sz w:val="22"/>
        </w:rPr>
        <w:t>Enable reconstruction, normalization, segmentation, or other optional steps only when they are part of the approved protocol and their required tools, templates, and licenses are available.</w:t>
      </w:r>
    </w:p>
    <w:p>
      <w:pPr>
        <w:pStyle w:val="Heading2"/>
      </w:pPr>
      <w:r>
        <w:rPr>
          <w:rFonts w:ascii="Calibri" w:hAnsi="Calibri"/>
          <w:b/>
          <w:color w:val="2E5D7B"/>
          <w:sz w:val="26"/>
        </w:rPr>
        <w:t>7.4 Expected outputs and QC</w:t>
      </w:r>
    </w:p>
    <w:p>
      <w:r>
        <w:rPr>
          <w:rFonts w:ascii="Calibri" w:hAnsi="Calibri"/>
          <w:color w:val="111111"/>
          <w:sz w:val="22"/>
        </w:rPr>
        <w:t>Expect preprocessed anatomical images, masks, and provenance plus reconstruction, segmentation, transform, or ROI products for enabled branches. Review input selection, orientation, residual bias field, tissue contrast, mask boundaries, T1w–T2w alignment, surface/segmentation plausibility, and regional volumes. Normalization and atlas checks are detailed in Sections 10 and 12.</w:t>
      </w:r>
    </w:p>
    <w:p>
      <w:pPr>
        <w:pStyle w:val="Heading1"/>
      </w:pPr>
      <w:bookmarkStart w:id="310" w:name="Section_8_Diffusion_processing_manual"/>
      <w:r>
        <w:rPr>
          <w:rFonts w:ascii="Calibri" w:hAnsi="Calibri"/>
          <w:b/>
          <w:color w:val="2E5D7B"/>
          <w:sz w:val="32"/>
        </w:rPr>
        <w:t>8. Diffusion processing manual</w:t>
      </w:r>
      <w:bookmarkEnd w:id="310"/>
    </w:p>
    <w:p>
      <w:pPr>
        <w:pStyle w:val="Heading2"/>
      </w:pPr>
      <w:r>
        <w:rPr>
          <w:rFonts w:ascii="Calibri" w:hAnsi="Calibri"/>
          <w:b/>
          <w:color w:val="2E5D7B"/>
          <w:sz w:val="26"/>
        </w:rPr>
        <w:t>8.1 Purpose and required inputs</w:t>
      </w:r>
    </w:p>
    <w:p>
      <w:r>
        <w:rPr>
          <w:rFonts w:ascii="Calibri" w:hAnsi="Calibri"/>
          <w:color w:val="111111"/>
          <w:sz w:val="22"/>
        </w:rPr>
        <w:t xml:space="preserve">A diffusion run requires DWI NIfTI data, JSON sidecars, </w:t>
      </w:r>
      <w:r>
        <w:rPr>
          <w:rFonts w:ascii="Consolas" w:hAnsi="Consolas"/>
          <w:color w:val="18364A"/>
          <w:sz w:val="20"/>
        </w:rPr>
        <w:t>.bval</w:t>
      </w:r>
      <w:r>
        <w:rPr>
          <w:rFonts w:ascii="Calibri" w:hAnsi="Calibri"/>
          <w:color w:val="111111"/>
          <w:sz w:val="22"/>
        </w:rPr>
        <w:t xml:space="preserve">, and </w:t>
      </w:r>
      <w:r>
        <w:rPr>
          <w:rFonts w:ascii="Consolas" w:hAnsi="Consolas"/>
          <w:color w:val="18364A"/>
          <w:sz w:val="20"/>
        </w:rPr>
        <w:t>.bvec</w:t>
      </w:r>
      <w:r>
        <w:rPr>
          <w:rFonts w:ascii="Calibri" w:hAnsi="Calibri"/>
          <w:color w:val="111111"/>
          <w:sz w:val="22"/>
        </w:rPr>
        <w:t xml:space="preserve"> files. Distortion-correction settings must match the acquired phase-encoding and field-map strategy.</w:t>
      </w:r>
    </w:p>
    <w:p>
      <w:r>
        <w:rPr>
          <w:rFonts w:ascii="Calibri" w:hAnsi="Calibri"/>
          <w:color w:val="111111"/>
          <w:sz w:val="22"/>
        </w:rPr>
        <w:t>Before configuring correction, inventory phase-encoding direction, total readout time, shell structure, reverse-PE or field-map inputs, gradient tables, and any gradient-nonlinearity coefficients. The scientific lead must approve how missing distortion-correction inputs are handled.</w:t>
      </w:r>
    </w:p>
    <w:p>
      <w:pPr>
        <w:pStyle w:val="Heading2"/>
      </w:pPr>
      <w:r>
        <w:rPr>
          <w:rFonts w:ascii="Calibri" w:hAnsi="Calibri"/>
          <w:b/>
          <w:color w:val="2E5D7B"/>
          <w:sz w:val="26"/>
        </w:rPr>
        <w:t>8.2 Recommended processing sequence</w:t>
      </w:r>
    </w:p>
    <w:p>
      <w:pPr>
        <w:numPr>
          <w:ilvl w:val="0"/>
          <w:numId w:val="13"/>
        </w:numPr>
      </w:pPr>
      <w:r>
        <w:rPr>
          <w:rFonts w:ascii="Calibri" w:hAnsi="Calibri"/>
          <w:color w:val="111111"/>
          <w:sz w:val="22"/>
        </w:rPr>
        <w:t>Verify gradients, b-values, metadata, and distortion-correction inputs.</w:t>
      </w:r>
    </w:p>
    <w:p>
      <w:pPr>
        <w:numPr>
          <w:ilvl w:val="0"/>
          <w:numId w:val="13"/>
        </w:numPr>
      </w:pPr>
      <w:r>
        <w:rPr>
          <w:rFonts w:ascii="Calibri" w:hAnsi="Calibri"/>
          <w:color w:val="111111"/>
          <w:sz w:val="22"/>
        </w:rPr>
        <w:t>Apply denoising and Gibbs correction before interpolation-heavy steps.</w:t>
      </w:r>
    </w:p>
    <w:p>
      <w:pPr>
        <w:numPr>
          <w:ilvl w:val="0"/>
          <w:numId w:val="13"/>
        </w:numPr>
      </w:pPr>
      <w:r>
        <w:rPr>
          <w:rFonts w:ascii="Calibri" w:hAnsi="Calibri"/>
          <w:color w:val="111111"/>
          <w:sz w:val="22"/>
        </w:rPr>
        <w:t>Perform susceptibility, motion, and eddy-current correction using acquisition-compatible settings.</w:t>
      </w:r>
    </w:p>
    <w:p>
      <w:pPr>
        <w:numPr>
          <w:ilvl w:val="0"/>
          <w:numId w:val="13"/>
        </w:numPr>
      </w:pPr>
      <w:r>
        <w:rPr>
          <w:rFonts w:ascii="Calibri" w:hAnsi="Calibri"/>
          <w:color w:val="111111"/>
          <w:sz w:val="22"/>
        </w:rPr>
        <w:t>Apply bias correction, coregistration, masking, and approved gradient corrections.</w:t>
      </w:r>
    </w:p>
    <w:p>
      <w:pPr>
        <w:numPr>
          <w:ilvl w:val="0"/>
          <w:numId w:val="13"/>
        </w:numPr>
      </w:pPr>
      <w:r>
        <w:rPr>
          <w:rFonts w:ascii="Calibri" w:hAnsi="Calibri"/>
          <w:color w:val="111111"/>
          <w:sz w:val="22"/>
        </w:rPr>
        <w:t>Fit DTI or advanced models and inspect maps before tractography or ROI analysis.</w:t>
      </w:r>
    </w:p>
    <w:p>
      <w:pPr>
        <w:numPr>
          <w:ilvl w:val="0"/>
          <w:numId w:val="13"/>
        </w:numPr>
      </w:pPr>
      <w:r>
        <w:rPr>
          <w:rFonts w:ascii="Calibri" w:hAnsi="Calibri"/>
          <w:color w:val="111111"/>
          <w:sz w:val="22"/>
        </w:rPr>
        <w:t>Preserve corrected gradients, model maps, QC, logs, and provenance.</w:t>
      </w:r>
    </w:p>
    <w:p>
      <w:pPr>
        <w:pStyle w:val="Heading2"/>
      </w:pPr>
      <w:r>
        <w:rPr>
          <w:rFonts w:ascii="Calibri" w:hAnsi="Calibri"/>
          <w:b/>
          <w:color w:val="2E5D7B"/>
          <w:sz w:val="26"/>
        </w:rPr>
        <w:t>8.3 Starter YAML</w:t>
      </w:r>
    </w:p>
    <w:p>
      <w:pPr>
        <w:spacing w:before="60" w:after="160" w:line="240" w:lineRule="auto"/>
        <w:ind w:left="259" w:right="259"/>
        <w:shd w:fill="F4F6F9"/>
      </w:pPr>
      <w:r>
        <w:rPr>
          <w:rFonts w:ascii="Consolas" w:hAnsi="Consolas"/>
          <w:color w:val="18364A"/>
          <w:sz w:val="17"/>
        </w:rPr>
        <w:t>pipeline: dmri</w:t>
        <w:br/>
      </w:r>
      <w:r>
        <w:rPr>
          <w:rFonts w:ascii="Consolas" w:hAnsi="Consolas"/>
          <w:color w:val="18364A"/>
          <w:sz w:val="17"/>
        </w:rPr>
        <w:br/>
      </w:r>
      <w:r>
        <w:rPr>
          <w:rFonts w:ascii="Consolas" w:hAnsi="Consolas"/>
          <w:color w:val="18364A"/>
          <w:sz w:val="17"/>
        </w:rPr>
        <w:t>dmri:</w:t>
        <w:br/>
      </w:r>
      <w:r>
        <w:rPr>
          <w:rFonts w:ascii="Consolas" w:hAnsi="Consolas"/>
          <w:color w:val="18364A"/>
          <w:sz w:val="17"/>
        </w:rPr>
        <w:t xml:space="preserve">  preprocessing:</w:t>
        <w:br/>
      </w:r>
      <w:r>
        <w:rPr>
          <w:rFonts w:ascii="Consolas" w:hAnsi="Consolas"/>
          <w:color w:val="18364A"/>
          <w:sz w:val="17"/>
        </w:rPr>
        <w:t xml:space="preserve">    denoising:</w:t>
        <w:br/>
      </w:r>
      <w:r>
        <w:rPr>
          <w:rFonts w:ascii="Consolas" w:hAnsi="Consolas"/>
          <w:color w:val="18364A"/>
          <w:sz w:val="17"/>
        </w:rPr>
        <w:t xml:space="preserve">      enabled: true</w:t>
        <w:br/>
      </w:r>
      <w:r>
        <w:rPr>
          <w:rFonts w:ascii="Consolas" w:hAnsi="Consolas"/>
          <w:color w:val="18364A"/>
          <w:sz w:val="17"/>
        </w:rPr>
        <w:t xml:space="preserve">      method: mrtrix</w:t>
        <w:br/>
      </w:r>
      <w:r>
        <w:rPr>
          <w:rFonts w:ascii="Consolas" w:hAnsi="Consolas"/>
          <w:color w:val="18364A"/>
          <w:sz w:val="17"/>
        </w:rPr>
        <w:t xml:space="preserve">    degibbs:</w:t>
        <w:br/>
      </w:r>
      <w:r>
        <w:rPr>
          <w:rFonts w:ascii="Consolas" w:hAnsi="Consolas"/>
          <w:color w:val="18364A"/>
          <w:sz w:val="17"/>
        </w:rPr>
        <w:t xml:space="preserve">      enabled: true</w:t>
        <w:br/>
      </w:r>
      <w:r>
        <w:rPr>
          <w:rFonts w:ascii="Consolas" w:hAnsi="Consolas"/>
          <w:color w:val="18364A"/>
          <w:sz w:val="17"/>
        </w:rPr>
        <w:t xml:space="preserve">      method: mrtrix</w:t>
        <w:br/>
      </w:r>
      <w:r>
        <w:rPr>
          <w:rFonts w:ascii="Consolas" w:hAnsi="Consolas"/>
          <w:color w:val="18364A"/>
          <w:sz w:val="17"/>
        </w:rPr>
        <w:t xml:space="preserve">    distcorr:</w:t>
        <w:br/>
      </w:r>
      <w:r>
        <w:rPr>
          <w:rFonts w:ascii="Consolas" w:hAnsi="Consolas"/>
          <w:color w:val="18364A"/>
          <w:sz w:val="17"/>
        </w:rPr>
        <w:t xml:space="preserve">      method: topup</w:t>
        <w:br/>
      </w:r>
      <w:r>
        <w:rPr>
          <w:rFonts w:ascii="Consolas" w:hAnsi="Consolas"/>
          <w:color w:val="18364A"/>
          <w:sz w:val="17"/>
        </w:rPr>
        <w:t xml:space="preserve">      fallback: true</w:t>
        <w:br/>
      </w:r>
      <w:r>
        <w:rPr>
          <w:rFonts w:ascii="Consolas" w:hAnsi="Consolas"/>
          <w:color w:val="18364A"/>
          <w:sz w:val="17"/>
        </w:rPr>
        <w:t xml:space="preserve">    motion_correction:</w:t>
        <w:br/>
      </w:r>
      <w:r>
        <w:rPr>
          <w:rFonts w:ascii="Consolas" w:hAnsi="Consolas"/>
          <w:color w:val="18364A"/>
          <w:sz w:val="17"/>
        </w:rPr>
        <w:t xml:space="preserve">      method: eddy</w:t>
        <w:br/>
      </w:r>
      <w:r>
        <w:rPr>
          <w:rFonts w:ascii="Consolas" w:hAnsi="Consolas"/>
          <w:color w:val="18364A"/>
          <w:sz w:val="17"/>
        </w:rPr>
        <w:t xml:space="preserve">    eddy:</w:t>
        <w:br/>
      </w:r>
      <w:r>
        <w:rPr>
          <w:rFonts w:ascii="Consolas" w:hAnsi="Consolas"/>
          <w:color w:val="18364A"/>
          <w:sz w:val="17"/>
        </w:rPr>
        <w:t xml:space="preserve">      enabled: true</w:t>
        <w:br/>
      </w:r>
      <w:r>
        <w:rPr>
          <w:rFonts w:ascii="Consolas" w:hAnsi="Consolas"/>
          <w:color w:val="18364A"/>
          <w:sz w:val="17"/>
        </w:rPr>
        <w:t xml:space="preserve">      method: eddy</w:t>
        <w:br/>
      </w:r>
      <w:r>
        <w:rPr>
          <w:rFonts w:ascii="Consolas" w:hAnsi="Consolas"/>
          <w:color w:val="18364A"/>
          <w:sz w:val="17"/>
        </w:rPr>
        <w:t xml:space="preserve">    bias_correction:</w:t>
        <w:br/>
      </w:r>
      <w:r>
        <w:rPr>
          <w:rFonts w:ascii="Consolas" w:hAnsi="Consolas"/>
          <w:color w:val="18364A"/>
          <w:sz w:val="17"/>
        </w:rPr>
        <w:t xml:space="preserve">      enabled: true</w:t>
        <w:br/>
      </w:r>
      <w:r>
        <w:rPr>
          <w:rFonts w:ascii="Consolas" w:hAnsi="Consolas"/>
          <w:color w:val="18364A"/>
          <w:sz w:val="17"/>
        </w:rPr>
        <w:t xml:space="preserve">      method: ants</w:t>
        <w:br/>
      </w:r>
      <w:r>
        <w:rPr>
          <w:rFonts w:ascii="Consolas" w:hAnsi="Consolas"/>
          <w:color w:val="18364A"/>
          <w:sz w:val="17"/>
        </w:rPr>
        <w:t xml:space="preserve">    brain_masking:</w:t>
        <w:br/>
      </w:r>
      <w:r>
        <w:rPr>
          <w:rFonts w:ascii="Consolas" w:hAnsi="Consolas"/>
          <w:color w:val="18364A"/>
          <w:sz w:val="17"/>
        </w:rPr>
        <w:t xml:space="preserve">      enabled: true</w:t>
        <w:br/>
      </w:r>
      <w:r>
        <w:rPr>
          <w:rFonts w:ascii="Consolas" w:hAnsi="Consolas"/>
          <w:color w:val="18364A"/>
          <w:sz w:val="17"/>
        </w:rPr>
        <w:t xml:space="preserve">      method: mrtrix</w:t>
        <w:br/>
      </w:r>
      <w:r>
        <w:rPr>
          <w:rFonts w:ascii="Consolas" w:hAnsi="Consolas"/>
          <w:color w:val="18364A"/>
          <w:sz w:val="17"/>
        </w:rPr>
        <w:t xml:space="preserve">  modeling:</w:t>
        <w:br/>
      </w:r>
      <w:r>
        <w:rPr>
          <w:rFonts w:ascii="Consolas" w:hAnsi="Consolas"/>
          <w:color w:val="18364A"/>
          <w:sz w:val="17"/>
        </w:rPr>
        <w:t xml:space="preserve">    dti:</w:t>
        <w:br/>
      </w:r>
      <w:r>
        <w:rPr>
          <w:rFonts w:ascii="Consolas" w:hAnsi="Consolas"/>
          <w:color w:val="18364A"/>
          <w:sz w:val="17"/>
        </w:rPr>
        <w:t xml:space="preserve">      enabled: true</w:t>
        <w:br/>
      </w:r>
      <w:r>
        <w:rPr>
          <w:rFonts w:ascii="Consolas" w:hAnsi="Consolas"/>
          <w:color w:val="18364A"/>
          <w:sz w:val="17"/>
        </w:rPr>
        <w:t xml:space="preserve">      method: dipy</w:t>
        <w:br/>
      </w:r>
      <w:r>
        <w:rPr>
          <w:rFonts w:ascii="Consolas" w:hAnsi="Consolas"/>
          <w:color w:val="18364A"/>
          <w:sz w:val="17"/>
        </w:rPr>
        <w:t xml:space="preserve">      fit_method: WLLS</w:t>
        <w:br/>
      </w:r>
      <w:r>
        <w:rPr>
          <w:rFonts w:ascii="Consolas" w:hAnsi="Consolas"/>
          <w:color w:val="18364A"/>
          <w:sz w:val="17"/>
        </w:rPr>
        <w:t xml:space="preserve">      metrics: [fa, md, ad, rd]</w:t>
      </w:r>
    </w:p>
    <w:p>
      <w:r>
        <w:rPr>
          <w:rFonts w:ascii="Calibri" w:hAnsi="Calibri"/>
          <w:color w:val="111111"/>
          <w:sz w:val="22"/>
        </w:rPr>
        <w:t>Do not copy the example distortion-correction method into a study YAML unless the input data support it. Confirm phase-encoding direction, total readout time, reverse-PE or field-map availability, gradient orientation, and any gradient-nonlinearity coefficient/metadata requirements.</w:t>
      </w:r>
    </w:p>
    <w:p>
      <w:pPr>
        <w:pStyle w:val="Heading2"/>
      </w:pPr>
      <w:r>
        <w:rPr>
          <w:rFonts w:ascii="Calibri" w:hAnsi="Calibri"/>
          <w:b/>
          <w:color w:val="2E5D7B"/>
          <w:sz w:val="26"/>
        </w:rPr>
        <w:t>8.4 Expected outputs and QC</w:t>
      </w:r>
    </w:p>
    <w:p>
      <w:r>
        <w:rPr>
          <w:rFonts w:ascii="Calibri" w:hAnsi="Calibri"/>
          <w:color w:val="111111"/>
          <w:sz w:val="22"/>
        </w:rPr>
        <w:t>Expect corrected DWI data and gradients, masks, registration products, requested model maps, logs, and provenance. Review residual susceptibility distortion, motion/outlier handling, gradient orientation, mask coverage, anatomical alignment, and spatial/quantitative plausibility of FA, MD, AD, RD, FOD, or other enabled outputs. Tractography and ROI checks are detailed in Sections 11 and 12.</w:t>
      </w:r>
    </w:p>
    <w:p>
      <w:pPr>
        <w:pStyle w:val="Heading1"/>
      </w:pPr>
      <w:bookmarkStart w:id="368" w:name="Section_9_Relaxometry_and_mcDESPOT_pro"/>
      <w:r>
        <w:rPr>
          <w:rFonts w:ascii="Calibri" w:hAnsi="Calibri"/>
          <w:b/>
          <w:color w:val="2E5D7B"/>
          <w:sz w:val="32"/>
        </w:rPr>
        <w:t>9. Relaxometry and mcDESPOT processing manual</w:t>
      </w:r>
      <w:bookmarkEnd w:id="368"/>
    </w:p>
    <w:p>
      <w:pPr>
        <w:pStyle w:val="Heading2"/>
      </w:pPr>
      <w:r>
        <w:rPr>
          <w:rFonts w:ascii="Calibri" w:hAnsi="Calibri"/>
          <w:b/>
          <w:color w:val="2E5D7B"/>
          <w:sz w:val="26"/>
        </w:rPr>
        <w:t>9.1 Purpose and input discovery</w:t>
      </w:r>
    </w:p>
    <w:p>
      <w:r>
        <w:rPr>
          <w:rFonts w:ascii="Calibri" w:hAnsi="Calibri"/>
          <w:color w:val="111111"/>
          <w:sz w:val="22"/>
        </w:rPr>
        <w:t xml:space="preserve">Relaxometry inputs are discovered from BIDS anatomical/field-map data using acquisition or description labels. SPGR files must contain </w:t>
      </w:r>
      <w:r>
        <w:rPr>
          <w:rFonts w:ascii="Consolas" w:hAnsi="Consolas"/>
          <w:color w:val="18364A"/>
          <w:sz w:val="20"/>
        </w:rPr>
        <w:t>spgr</w:t>
      </w:r>
      <w:r>
        <w:rPr>
          <w:rFonts w:ascii="Calibri" w:hAnsi="Calibri"/>
          <w:color w:val="111111"/>
          <w:sz w:val="22"/>
        </w:rPr>
        <w:t xml:space="preserve"> in </w:t>
      </w:r>
      <w:r>
        <w:rPr>
          <w:rFonts w:ascii="Consolas" w:hAnsi="Consolas"/>
          <w:color w:val="18364A"/>
          <w:sz w:val="20"/>
        </w:rPr>
        <w:t>acq</w:t>
      </w:r>
      <w:r>
        <w:rPr>
          <w:rFonts w:ascii="Calibri" w:hAnsi="Calibri"/>
          <w:color w:val="111111"/>
          <w:sz w:val="22"/>
        </w:rPr>
        <w:t xml:space="preserve"> or </w:t>
      </w:r>
      <w:r>
        <w:rPr>
          <w:rFonts w:ascii="Consolas" w:hAnsi="Consolas"/>
          <w:color w:val="18364A"/>
          <w:sz w:val="20"/>
        </w:rPr>
        <w:t>desc</w:t>
      </w:r>
      <w:r>
        <w:rPr>
          <w:rFonts w:ascii="Calibri" w:hAnsi="Calibri"/>
          <w:color w:val="111111"/>
          <w:sz w:val="22"/>
        </w:rPr>
        <w:t xml:space="preserve">; SSFP files must contain </w:t>
      </w:r>
      <w:r>
        <w:rPr>
          <w:rFonts w:ascii="Consolas" w:hAnsi="Consolas"/>
          <w:color w:val="18364A"/>
          <w:sz w:val="20"/>
        </w:rPr>
        <w:t>ssfp</w:t>
      </w:r>
      <w:r>
        <w:rPr>
          <w:rFonts w:ascii="Calibri" w:hAnsi="Calibri"/>
          <w:color w:val="111111"/>
          <w:sz w:val="22"/>
        </w:rPr>
        <w:t xml:space="preserve">; IR-SPGR files must identify both IR and SPGR; AFI inputs may use </w:t>
      </w:r>
      <w:r>
        <w:rPr>
          <w:rFonts w:ascii="Consolas" w:hAnsi="Consolas"/>
          <w:color w:val="18364A"/>
          <w:sz w:val="20"/>
        </w:rPr>
        <w:t>afi</w:t>
      </w:r>
      <w:r>
        <w:rPr>
          <w:rFonts w:ascii="Calibri" w:hAnsi="Calibri"/>
          <w:color w:val="111111"/>
          <w:sz w:val="22"/>
        </w:rPr>
        <w:t>, and B1 maps may use a B1 suffix. Confirm discovery with a pilot run before cohort processing.</w:t>
      </w:r>
    </w:p>
    <w:p>
      <w:r>
        <w:rPr>
          <w:rFonts w:ascii="Calibri" w:hAnsi="Calibri"/>
          <w:color w:val="111111"/>
          <w:sz w:val="22"/>
        </w:rPr>
        <w:t>Record flip angles, repetition/echo times, SSFP phase cycling, B1 acquisition, and intentional volume exclusions. mcDESPOT requires SPGR and SSFP data, an enabled DESPOT1-derived T1 map, and a B1 map from AFI/external B1 or DESPOT1-HIFI.</w:t>
      </w:r>
    </w:p>
    <w:p>
      <w:pPr>
        <w:pStyle w:val="Heading2"/>
      </w:pPr>
      <w:r>
        <w:rPr>
          <w:rFonts w:ascii="Calibri" w:hAnsi="Calibri"/>
          <w:b/>
          <w:color w:val="2E5D7B"/>
          <w:sz w:val="26"/>
        </w:rPr>
        <w:t>9.2 Recommended processing sequence</w:t>
      </w:r>
    </w:p>
    <w:p>
      <w:pPr>
        <w:numPr>
          <w:ilvl w:val="0"/>
          <w:numId w:val="14"/>
        </w:numPr>
      </w:pPr>
      <w:r>
        <w:rPr>
          <w:rFonts w:ascii="Calibri" w:hAnsi="Calibri"/>
          <w:color w:val="111111"/>
          <w:sz w:val="22"/>
        </w:rPr>
        <w:t>Confirm that all SPGR, SSFP, IR-SPGR, and AFI/B1 inputs are discovered correctly.</w:t>
      </w:r>
    </w:p>
    <w:p>
      <w:pPr>
        <w:numPr>
          <w:ilvl w:val="0"/>
          <w:numId w:val="14"/>
        </w:numPr>
      </w:pPr>
      <w:r>
        <w:rPr>
          <w:rFonts w:ascii="Calibri" w:hAnsi="Calibri"/>
          <w:color w:val="111111"/>
          <w:sz w:val="22"/>
        </w:rPr>
        <w:t>Reorient and apply approved denoising/Gibbs correction.</w:t>
      </w:r>
    </w:p>
    <w:p>
      <w:pPr>
        <w:numPr>
          <w:ilvl w:val="0"/>
          <w:numId w:val="14"/>
        </w:numPr>
      </w:pPr>
      <w:r>
        <w:rPr>
          <w:rFonts w:ascii="Calibri" w:hAnsi="Calibri"/>
          <w:color w:val="111111"/>
          <w:sz w:val="22"/>
        </w:rPr>
        <w:t>Motion-correct within and across series and generate the SPGR reference.</w:t>
      </w:r>
    </w:p>
    <w:p>
      <w:pPr>
        <w:numPr>
          <w:ilvl w:val="0"/>
          <w:numId w:val="14"/>
        </w:numPr>
      </w:pPr>
      <w:r>
        <w:rPr>
          <w:rFonts w:ascii="Calibri" w:hAnsi="Calibri"/>
          <w:color w:val="111111"/>
          <w:sz w:val="22"/>
        </w:rPr>
        <w:t>Estimate/register B1 and inspect its units, scale, and coverage.</w:t>
      </w:r>
    </w:p>
    <w:p>
      <w:pPr>
        <w:numPr>
          <w:ilvl w:val="0"/>
          <w:numId w:val="14"/>
        </w:numPr>
      </w:pPr>
      <w:r>
        <w:rPr>
          <w:rFonts w:ascii="Calibri" w:hAnsi="Calibri"/>
          <w:color w:val="111111"/>
          <w:sz w:val="22"/>
        </w:rPr>
        <w:t>Create the analysis mask and run DESPOT1 before dependent models.</w:t>
      </w:r>
    </w:p>
    <w:p>
      <w:pPr>
        <w:numPr>
          <w:ilvl w:val="0"/>
          <w:numId w:val="14"/>
        </w:numPr>
      </w:pPr>
      <w:r>
        <w:rPr>
          <w:rFonts w:ascii="Calibri" w:hAnsi="Calibri"/>
          <w:color w:val="111111"/>
          <w:sz w:val="22"/>
        </w:rPr>
        <w:t>Run mcDESPOT, generate QC, and review every parameter map for failed fits.</w:t>
      </w:r>
    </w:p>
    <w:p>
      <w:pPr>
        <w:pStyle w:val="Heading2"/>
      </w:pPr>
      <w:r>
        <w:rPr>
          <w:rFonts w:ascii="Calibri" w:hAnsi="Calibri"/>
          <w:b/>
          <w:color w:val="2E5D7B"/>
          <w:sz w:val="26"/>
        </w:rPr>
        <w:t>9.3 Starter YAML</w:t>
      </w:r>
    </w:p>
    <w:p>
      <w:pPr>
        <w:spacing w:before="60" w:after="160" w:line="240" w:lineRule="auto"/>
        <w:ind w:left="259" w:right="259"/>
        <w:shd w:fill="F4F6F9"/>
      </w:pPr>
      <w:r>
        <w:rPr>
          <w:rFonts w:ascii="Consolas" w:hAnsi="Consolas"/>
          <w:color w:val="18364A"/>
          <w:sz w:val="17"/>
        </w:rPr>
        <w:t>pipeline: relaxometry</w:t>
        <w:br/>
      </w:r>
      <w:r>
        <w:rPr>
          <w:rFonts w:ascii="Consolas" w:hAnsi="Consolas"/>
          <w:color w:val="18364A"/>
          <w:sz w:val="17"/>
        </w:rPr>
        <w:br/>
      </w:r>
      <w:r>
        <w:rPr>
          <w:rFonts w:ascii="Consolas" w:hAnsi="Consolas"/>
          <w:color w:val="18364A"/>
          <w:sz w:val="17"/>
        </w:rPr>
        <w:t>relaxometry:</w:t>
        <w:br/>
      </w:r>
      <w:r>
        <w:rPr>
          <w:rFonts w:ascii="Consolas" w:hAnsi="Consolas"/>
          <w:color w:val="18364A"/>
          <w:sz w:val="17"/>
        </w:rPr>
        <w:t xml:space="preserve">  preprocessing:</w:t>
        <w:br/>
      </w:r>
      <w:r>
        <w:rPr>
          <w:rFonts w:ascii="Consolas" w:hAnsi="Consolas"/>
          <w:color w:val="18364A"/>
          <w:sz w:val="17"/>
        </w:rPr>
        <w:t xml:space="preserve">    reorient:</w:t>
        <w:br/>
      </w:r>
      <w:r>
        <w:rPr>
          <w:rFonts w:ascii="Consolas" w:hAnsi="Consolas"/>
          <w:color w:val="18364A"/>
          <w:sz w:val="17"/>
        </w:rPr>
        <w:t xml:space="preserve">      enabled: true</w:t>
        <w:br/>
      </w:r>
      <w:r>
        <w:rPr>
          <w:rFonts w:ascii="Consolas" w:hAnsi="Consolas"/>
          <w:color w:val="18364A"/>
          <w:sz w:val="17"/>
        </w:rPr>
        <w:t xml:space="preserve">    denoising:</w:t>
        <w:br/>
      </w:r>
      <w:r>
        <w:rPr>
          <w:rFonts w:ascii="Consolas" w:hAnsi="Consolas"/>
          <w:color w:val="18364A"/>
          <w:sz w:val="17"/>
        </w:rPr>
        <w:t xml:space="preserve">      enabled: true</w:t>
        <w:br/>
      </w:r>
      <w:r>
        <w:rPr>
          <w:rFonts w:ascii="Consolas" w:hAnsi="Consolas"/>
          <w:color w:val="18364A"/>
          <w:sz w:val="17"/>
        </w:rPr>
        <w:t xml:space="preserve">      method: mrtrix</w:t>
        <w:br/>
      </w:r>
      <w:r>
        <w:rPr>
          <w:rFonts w:ascii="Consolas" w:hAnsi="Consolas"/>
          <w:color w:val="18364A"/>
          <w:sz w:val="17"/>
        </w:rPr>
        <w:t xml:space="preserve">    degibbs:</w:t>
        <w:br/>
      </w:r>
      <w:r>
        <w:rPr>
          <w:rFonts w:ascii="Consolas" w:hAnsi="Consolas"/>
          <w:color w:val="18364A"/>
          <w:sz w:val="17"/>
        </w:rPr>
        <w:t xml:space="preserve">      enabled: true</w:t>
        <w:br/>
      </w:r>
      <w:r>
        <w:rPr>
          <w:rFonts w:ascii="Consolas" w:hAnsi="Consolas"/>
          <w:color w:val="18364A"/>
          <w:sz w:val="17"/>
        </w:rPr>
        <w:t xml:space="preserve">      method: dipy</w:t>
        <w:br/>
      </w:r>
      <w:r>
        <w:rPr>
          <w:rFonts w:ascii="Consolas" w:hAnsi="Consolas"/>
          <w:color w:val="18364A"/>
          <w:sz w:val="17"/>
        </w:rPr>
        <w:t xml:space="preserve">    motion_correction:</w:t>
        <w:br/>
      </w:r>
      <w:r>
        <w:rPr>
          <w:rFonts w:ascii="Consolas" w:hAnsi="Consolas"/>
          <w:color w:val="18364A"/>
          <w:sz w:val="17"/>
        </w:rPr>
        <w:t xml:space="preserve">      enabled: true</w:t>
        <w:br/>
      </w:r>
      <w:r>
        <w:rPr>
          <w:rFonts w:ascii="Consolas" w:hAnsi="Consolas"/>
          <w:color w:val="18364A"/>
          <w:sz w:val="17"/>
        </w:rPr>
        <w:t xml:space="preserve">      method: ants</w:t>
        <w:br/>
      </w:r>
      <w:r>
        <w:rPr>
          <w:rFonts w:ascii="Consolas" w:hAnsi="Consolas"/>
          <w:color w:val="18364A"/>
          <w:sz w:val="17"/>
        </w:rPr>
        <w:t xml:space="preserve">      transform_type: Rigid</w:t>
        <w:br/>
      </w:r>
      <w:r>
        <w:rPr>
          <w:rFonts w:ascii="Consolas" w:hAnsi="Consolas"/>
          <w:color w:val="18364A"/>
          <w:sz w:val="17"/>
        </w:rPr>
        <w:t xml:space="preserve">      nthreads: 8</w:t>
        <w:br/>
      </w:r>
      <w:r>
        <w:rPr>
          <w:rFonts w:ascii="Consolas" w:hAnsi="Consolas"/>
          <w:color w:val="18364A"/>
          <w:sz w:val="17"/>
        </w:rPr>
        <w:t xml:space="preserve">    spgr_reference:</w:t>
        <w:br/>
      </w:r>
      <w:r>
        <w:rPr>
          <w:rFonts w:ascii="Consolas" w:hAnsi="Consolas"/>
          <w:color w:val="18364A"/>
          <w:sz w:val="17"/>
        </w:rPr>
        <w:t xml:space="preserve">      mode: mean</w:t>
        <w:br/>
      </w:r>
      <w:r>
        <w:rPr>
          <w:rFonts w:ascii="Consolas" w:hAnsi="Consolas"/>
          <w:color w:val="18364A"/>
          <w:sz w:val="17"/>
        </w:rPr>
        <w:t xml:space="preserve">    b1:</w:t>
        <w:br/>
      </w:r>
      <w:r>
        <w:rPr>
          <w:rFonts w:ascii="Consolas" w:hAnsi="Consolas"/>
          <w:color w:val="18364A"/>
          <w:sz w:val="17"/>
        </w:rPr>
        <w:t xml:space="preserve">      method: afi</w:t>
        <w:br/>
      </w:r>
      <w:r>
        <w:rPr>
          <w:rFonts w:ascii="Consolas" w:hAnsi="Consolas"/>
          <w:color w:val="18364A"/>
          <w:sz w:val="17"/>
        </w:rPr>
        <w:t xml:space="preserve">      smoothing_fwhm: 0.0</w:t>
        <w:br/>
      </w:r>
      <w:r>
        <w:rPr>
          <w:rFonts w:ascii="Consolas" w:hAnsi="Consolas"/>
          <w:color w:val="18364A"/>
          <w:sz w:val="17"/>
        </w:rPr>
        <w:t xml:space="preserve">      registration:</w:t>
        <w:br/>
      </w:r>
      <w:r>
        <w:rPr>
          <w:rFonts w:ascii="Consolas" w:hAnsi="Consolas"/>
          <w:color w:val="18364A"/>
          <w:sz w:val="17"/>
        </w:rPr>
        <w:t xml:space="preserve">        method: ants</w:t>
        <w:br/>
      </w:r>
      <w:r>
        <w:rPr>
          <w:rFonts w:ascii="Consolas" w:hAnsi="Consolas"/>
          <w:color w:val="18364A"/>
          <w:sz w:val="17"/>
        </w:rPr>
        <w:br/>
      </w:r>
      <w:r>
        <w:rPr>
          <w:rFonts w:ascii="Consolas" w:hAnsi="Consolas"/>
          <w:color w:val="18364A"/>
          <w:sz w:val="17"/>
        </w:rPr>
        <w:t xml:space="preserve">  masking:</w:t>
        <w:br/>
      </w:r>
      <w:r>
        <w:rPr>
          <w:rFonts w:ascii="Consolas" w:hAnsi="Consolas"/>
          <w:color w:val="18364A"/>
          <w:sz w:val="17"/>
        </w:rPr>
        <w:t xml:space="preserve">    enabled: true</w:t>
        <w:br/>
      </w:r>
      <w:r>
        <w:rPr>
          <w:rFonts w:ascii="Consolas" w:hAnsi="Consolas"/>
          <w:color w:val="18364A"/>
          <w:sz w:val="17"/>
        </w:rPr>
        <w:t xml:space="preserve">    method: synthstrip</w:t>
        <w:br/>
      </w:r>
      <w:r>
        <w:rPr>
          <w:rFonts w:ascii="Consolas" w:hAnsi="Consolas"/>
          <w:color w:val="18364A"/>
          <w:sz w:val="17"/>
        </w:rPr>
        <w:br/>
      </w:r>
      <w:r>
        <w:rPr>
          <w:rFonts w:ascii="Consolas" w:hAnsi="Consolas"/>
          <w:color w:val="18364A"/>
          <w:sz w:val="17"/>
        </w:rPr>
        <w:t xml:space="preserve">  modeling:</w:t>
        <w:br/>
      </w:r>
      <w:r>
        <w:rPr>
          <w:rFonts w:ascii="Consolas" w:hAnsi="Consolas"/>
          <w:color w:val="18364A"/>
          <w:sz w:val="17"/>
        </w:rPr>
        <w:t xml:space="preserve">    despot1:</w:t>
        <w:br/>
      </w:r>
      <w:r>
        <w:rPr>
          <w:rFonts w:ascii="Consolas" w:hAnsi="Consolas"/>
          <w:color w:val="18364A"/>
          <w:sz w:val="17"/>
        </w:rPr>
        <w:t xml:space="preserve">      enabled: true</w:t>
        <w:br/>
      </w:r>
      <w:r>
        <w:rPr>
          <w:rFonts w:ascii="Consolas" w:hAnsi="Consolas"/>
          <w:color w:val="18364A"/>
          <w:sz w:val="17"/>
        </w:rPr>
        <w:t xml:space="preserve">      use_hifi: false</w:t>
        <w:br/>
      </w:r>
      <w:r>
        <w:rPr>
          <w:rFonts w:ascii="Consolas" w:hAnsi="Consolas"/>
          <w:color w:val="18364A"/>
          <w:sz w:val="17"/>
        </w:rPr>
        <w:t xml:space="preserve">      algo: lsq</w:t>
        <w:br/>
      </w:r>
      <w:r>
        <w:rPr>
          <w:rFonts w:ascii="Consolas" w:hAnsi="Consolas"/>
          <w:color w:val="18364A"/>
          <w:sz w:val="17"/>
        </w:rPr>
        <w:t xml:space="preserve">      nthreads: 8</w:t>
        <w:br/>
      </w:r>
      <w:r>
        <w:rPr>
          <w:rFonts w:ascii="Consolas" w:hAnsi="Consolas"/>
          <w:color w:val="18364A"/>
          <w:sz w:val="17"/>
        </w:rPr>
        <w:t xml:space="preserve">    despot2:</w:t>
        <w:br/>
      </w:r>
      <w:r>
        <w:rPr>
          <w:rFonts w:ascii="Consolas" w:hAnsi="Consolas"/>
          <w:color w:val="18364A"/>
          <w:sz w:val="17"/>
        </w:rPr>
        <w:t xml:space="preserve">      enabled: false</w:t>
        <w:br/>
      </w:r>
      <w:r>
        <w:rPr>
          <w:rFonts w:ascii="Consolas" w:hAnsi="Consolas"/>
          <w:color w:val="18364A"/>
          <w:sz w:val="17"/>
        </w:rPr>
        <w:t xml:space="preserve">    despot2fm:</w:t>
        <w:br/>
      </w:r>
      <w:r>
        <w:rPr>
          <w:rFonts w:ascii="Consolas" w:hAnsi="Consolas"/>
          <w:color w:val="18364A"/>
          <w:sz w:val="17"/>
        </w:rPr>
        <w:t xml:space="preserve">      enabled: false</w:t>
        <w:br/>
      </w:r>
      <w:r>
        <w:rPr>
          <w:rFonts w:ascii="Consolas" w:hAnsi="Consolas"/>
          <w:color w:val="18364A"/>
          <w:sz w:val="17"/>
        </w:rPr>
        <w:t xml:space="preserve">    mcdespot:</w:t>
        <w:br/>
      </w:r>
      <w:r>
        <w:rPr>
          <w:rFonts w:ascii="Consolas" w:hAnsi="Consolas"/>
          <w:color w:val="18364A"/>
          <w:sz w:val="17"/>
        </w:rPr>
        <w:t xml:space="preserve">      enabled: true</w:t>
        <w:br/>
      </w:r>
      <w:r>
        <w:rPr>
          <w:rFonts w:ascii="Consolas" w:hAnsi="Consolas"/>
          <w:color w:val="18364A"/>
          <w:sz w:val="17"/>
        </w:rPr>
        <w:t xml:space="preserve">      cuda: false</w:t>
        <w:br/>
      </w:r>
      <w:r>
        <w:rPr>
          <w:rFonts w:ascii="Consolas" w:hAnsi="Consolas"/>
          <w:color w:val="18364A"/>
          <w:sz w:val="17"/>
        </w:rPr>
        <w:t xml:space="preserve">      nthreads: 8</w:t>
        <w:br/>
      </w:r>
      <w:r>
        <w:rPr>
          <w:rFonts w:ascii="Consolas" w:hAnsi="Consolas"/>
          <w:color w:val="18364A"/>
          <w:sz w:val="17"/>
        </w:rPr>
        <w:br/>
      </w:r>
      <w:r>
        <w:rPr>
          <w:rFonts w:ascii="Consolas" w:hAnsi="Consolas"/>
          <w:color w:val="18364A"/>
          <w:sz w:val="17"/>
        </w:rPr>
        <w:t xml:space="preserve">  qc:</w:t>
        <w:br/>
      </w:r>
      <w:r>
        <w:rPr>
          <w:rFonts w:ascii="Consolas" w:hAnsi="Consolas"/>
          <w:color w:val="18364A"/>
          <w:sz w:val="17"/>
        </w:rPr>
        <w:t xml:space="preserve">    enabled: true</w:t>
      </w:r>
    </w:p>
    <w:p>
      <w:r>
        <w:rPr>
          <w:rFonts w:ascii="Calibri" w:hAnsi="Calibri"/>
          <w:color w:val="111111"/>
          <w:sz w:val="22"/>
        </w:rPr>
        <w:t xml:space="preserve">mcDESPOT requires SPGR and SSFP data, a T1 map produced by an enabled DESPOT1 fit, and a B1 map from AFI/external B1 or DESPOT1-HIFI. Set </w:t>
      </w:r>
      <w:r>
        <w:rPr>
          <w:rFonts w:ascii="Consolas" w:hAnsi="Consolas"/>
          <w:color w:val="18364A"/>
          <w:sz w:val="20"/>
        </w:rPr>
        <w:t>despot1.use_hifi: true</w:t>
      </w:r>
      <w:r>
        <w:rPr>
          <w:rFonts w:ascii="Calibri" w:hAnsi="Calibri"/>
          <w:color w:val="111111"/>
          <w:sz w:val="22"/>
        </w:rPr>
        <w:t xml:space="preserve"> only when IR-SPGR data are present. Set </w:t>
      </w:r>
      <w:r>
        <w:rPr>
          <w:rFonts w:ascii="Consolas" w:hAnsi="Consolas"/>
          <w:color w:val="18364A"/>
          <w:sz w:val="20"/>
        </w:rPr>
        <w:t>mcdespot.cuda: true</w:t>
      </w:r>
      <w:r>
        <w:rPr>
          <w:rFonts w:ascii="Calibri" w:hAnsi="Calibri"/>
          <w:color w:val="111111"/>
          <w:sz w:val="22"/>
        </w:rPr>
        <w:t xml:space="preserve"> only on an approved GPU system with the CUDA fitter available. Use </w:t>
      </w:r>
      <w:r>
        <w:rPr>
          <w:rFonts w:ascii="Consolas" w:hAnsi="Consolas"/>
          <w:color w:val="18364A"/>
          <w:sz w:val="20"/>
        </w:rPr>
        <w:t>relaxometry.modeling.mcdespot.enabled</w:t>
      </w:r>
      <w:r>
        <w:rPr>
          <w:rFonts w:ascii="Calibri" w:hAnsi="Calibri"/>
          <w:color w:val="111111"/>
          <w:sz w:val="22"/>
        </w:rPr>
        <w:t xml:space="preserve">; the older </w:t>
      </w:r>
      <w:r>
        <w:rPr>
          <w:rFonts w:ascii="Consolas" w:hAnsi="Consolas"/>
          <w:color w:val="18364A"/>
          <w:sz w:val="20"/>
        </w:rPr>
        <w:t>despot2.mcdespot</w:t>
      </w:r>
      <w:r>
        <w:rPr>
          <w:rFonts w:ascii="Calibri" w:hAnsi="Calibri"/>
          <w:color w:val="111111"/>
          <w:sz w:val="22"/>
        </w:rPr>
        <w:t xml:space="preserve"> switch is deprecated.</w:t>
      </w:r>
    </w:p>
    <w:p>
      <w:r>
        <w:rPr>
          <w:rFonts w:ascii="Calibri" w:hAnsi="Calibri"/>
          <w:color w:val="111111"/>
          <w:sz w:val="22"/>
        </w:rPr>
        <w:t xml:space="preserve">Optional zero-based SPGR/SSFP volume exclusions belong under </w:t>
      </w:r>
      <w:r>
        <w:rPr>
          <w:rFonts w:ascii="Consolas" w:hAnsi="Consolas"/>
          <w:color w:val="18364A"/>
          <w:sz w:val="20"/>
        </w:rPr>
        <w:t>relaxometry.preprocessing.exclude_indices</w:t>
      </w:r>
      <w:r>
        <w:rPr>
          <w:rFonts w:ascii="Calibri" w:hAnsi="Calibri"/>
          <w:color w:val="111111"/>
          <w:sz w:val="22"/>
        </w:rPr>
        <w:t xml:space="preserve">, or may be supplied temporarily with </w:t>
      </w:r>
      <w:r>
        <w:rPr>
          <w:rFonts w:ascii="Consolas" w:hAnsi="Consolas"/>
          <w:color w:val="18364A"/>
          <w:sz w:val="20"/>
        </w:rPr>
        <w:t>--spgr-exclude</w:t>
      </w:r>
      <w:r>
        <w:rPr>
          <w:rFonts w:ascii="Calibri" w:hAnsi="Calibri"/>
          <w:color w:val="111111"/>
          <w:sz w:val="22"/>
        </w:rPr>
        <w:t xml:space="preserve"> and </w:t>
      </w:r>
      <w:r>
        <w:rPr>
          <w:rFonts w:ascii="Consolas" w:hAnsi="Consolas"/>
          <w:color w:val="18364A"/>
          <w:sz w:val="20"/>
        </w:rPr>
        <w:t>--ssfp-exclude</w:t>
      </w:r>
      <w:r>
        <w:rPr>
          <w:rFonts w:ascii="Calibri" w:hAnsi="Calibri"/>
          <w:color w:val="111111"/>
          <w:sz w:val="22"/>
        </w:rPr>
        <w:t>. Exclusions require documented QC justification.</w:t>
      </w:r>
    </w:p>
    <w:p>
      <w:pPr>
        <w:pStyle w:val="Heading2"/>
      </w:pPr>
      <w:r>
        <w:rPr>
          <w:rFonts w:ascii="Calibri" w:hAnsi="Calibri"/>
          <w:b/>
          <w:color w:val="2E5D7B"/>
          <w:sz w:val="26"/>
        </w:rPr>
        <w:t>9.4 Expected outputs and QC</w:t>
      </w:r>
    </w:p>
    <w:p>
      <w:r>
        <w:rPr>
          <w:rFonts w:ascii="Calibri" w:hAnsi="Calibri"/>
          <w:color w:val="111111"/>
          <w:sz w:val="22"/>
        </w:rPr>
        <w:t>Expect the SPGR reference, registered series/B1 products, mask, DESPOT1 T1/M0 maps, mcDESPOT parameter maps (</w:t>
      </w:r>
      <w:r>
        <w:rPr>
          <w:rFonts w:ascii="Consolas" w:hAnsi="Consolas"/>
          <w:color w:val="18364A"/>
          <w:sz w:val="20"/>
        </w:rPr>
        <w:t>VFm</w:t>
      </w:r>
      <w:r>
        <w:rPr>
          <w:rFonts w:ascii="Calibri" w:hAnsi="Calibri"/>
          <w:color w:val="111111"/>
          <w:sz w:val="22"/>
        </w:rPr>
        <w:t xml:space="preserve">, </w:t>
      </w:r>
      <w:r>
        <w:rPr>
          <w:rFonts w:ascii="Consolas" w:hAnsi="Consolas"/>
          <w:color w:val="18364A"/>
          <w:sz w:val="20"/>
        </w:rPr>
        <w:t>T1_fast</w:t>
      </w:r>
      <w:r>
        <w:rPr>
          <w:rFonts w:ascii="Calibri" w:hAnsi="Calibri"/>
          <w:color w:val="111111"/>
          <w:sz w:val="22"/>
        </w:rPr>
        <w:t xml:space="preserve">, </w:t>
      </w:r>
      <w:r>
        <w:rPr>
          <w:rFonts w:ascii="Consolas" w:hAnsi="Consolas"/>
          <w:color w:val="18364A"/>
          <w:sz w:val="20"/>
        </w:rPr>
        <w:t>T1_slow</w:t>
      </w:r>
      <w:r>
        <w:rPr>
          <w:rFonts w:ascii="Calibri" w:hAnsi="Calibri"/>
          <w:color w:val="111111"/>
          <w:sz w:val="22"/>
        </w:rPr>
        <w:t xml:space="preserve">, </w:t>
      </w:r>
      <w:r>
        <w:rPr>
          <w:rFonts w:ascii="Consolas" w:hAnsi="Consolas"/>
          <w:color w:val="18364A"/>
          <w:sz w:val="20"/>
        </w:rPr>
        <w:t>T2_fast</w:t>
      </w:r>
      <w:r>
        <w:rPr>
          <w:rFonts w:ascii="Calibri" w:hAnsi="Calibri"/>
          <w:color w:val="111111"/>
          <w:sz w:val="22"/>
        </w:rPr>
        <w:t xml:space="preserve">, </w:t>
      </w:r>
      <w:r>
        <w:rPr>
          <w:rFonts w:ascii="Consolas" w:hAnsi="Consolas"/>
          <w:color w:val="18364A"/>
          <w:sz w:val="20"/>
        </w:rPr>
        <w:t>T2_slow</w:t>
      </w:r>
      <w:r>
        <w:rPr>
          <w:rFonts w:ascii="Calibri" w:hAnsi="Calibri"/>
          <w:color w:val="111111"/>
          <w:sz w:val="22"/>
        </w:rPr>
        <w:t xml:space="preserve">, and </w:t>
      </w:r>
      <w:r>
        <w:rPr>
          <w:rFonts w:ascii="Consolas" w:hAnsi="Consolas"/>
          <w:color w:val="18364A"/>
          <w:sz w:val="20"/>
        </w:rPr>
        <w:t>Tau</w:t>
      </w:r>
      <w:r>
        <w:rPr>
          <w:rFonts w:ascii="Calibri" w:hAnsi="Calibri"/>
          <w:color w:val="111111"/>
          <w:sz w:val="22"/>
        </w:rPr>
        <w:t>), logs, provenance, and a QC report when enabled. Inspect completeness, units/scale, anatomy, tissue contrast, boundary artifacts, and failed-fit regions. A GPU result must be scientifically checked against the approved implementation and not accepted solely because the fitter completed.</w:t>
      </w:r>
    </w:p>
    <w:p>
      <w:pPr>
        <w:pStyle w:val="Heading1"/>
      </w:pPr>
      <w:bookmarkStart w:id="444" w:name="Section_10_Standard_space_normalizatio"/>
      <w:r>
        <w:rPr>
          <w:rFonts w:ascii="Calibri" w:hAnsi="Calibri"/>
          <w:b/>
          <w:color w:val="2E5D7B"/>
          <w:sz w:val="32"/>
        </w:rPr>
        <w:t>10. Standard-space normalization manual</w:t>
      </w:r>
      <w:bookmarkEnd w:id="444"/>
    </w:p>
    <w:p>
      <w:pPr>
        <w:pStyle w:val="Heading2"/>
      </w:pPr>
      <w:r>
        <w:rPr>
          <w:rFonts w:ascii="Calibri" w:hAnsi="Calibri"/>
          <w:b/>
          <w:color w:val="2E5D7B"/>
          <w:sz w:val="26"/>
        </w:rPr>
        <w:t>10.1 Purpose and safeguards</w:t>
      </w:r>
    </w:p>
    <w:p>
      <w:r>
        <w:rPr>
          <w:rFonts w:ascii="Calibri" w:hAnsi="Calibri"/>
          <w:color w:val="111111"/>
          <w:sz w:val="22"/>
        </w:rPr>
        <w:t>Normalization estimates a transform from a native subject image to an approved standard-space template, publishes transforms when requested, and can apply them to model metrics. Template contrast and population must match the driving image and study population. Never assume that an MNI T1w template is appropriate for FA-driven diffusion registration or that a pediatric template is appropriate for an adult cohort.</w:t>
      </w:r>
    </w:p>
    <w:p>
      <w:pPr>
        <w:pStyle w:val="Heading2"/>
      </w:pPr>
      <w:r>
        <w:rPr>
          <w:rFonts w:ascii="Calibri" w:hAnsi="Calibri"/>
          <w:b/>
          <w:color w:val="2E5D7B"/>
          <w:sz w:val="26"/>
        </w:rPr>
        <w:t>10.2 Configuration examples</w:t>
      </w:r>
    </w:p>
    <w:p>
      <w:r>
        <w:rPr>
          <w:rFonts w:ascii="Calibri" w:hAnsi="Calibri"/>
          <w:color w:val="111111"/>
          <w:sz w:val="22"/>
        </w:rPr>
        <w:t xml:space="preserve">Anatomical normalization is configured under </w:t>
      </w:r>
      <w:r>
        <w:rPr>
          <w:rFonts w:ascii="Consolas" w:hAnsi="Consolas"/>
          <w:color w:val="18364A"/>
          <w:sz w:val="20"/>
        </w:rPr>
        <w:t>anat.preprocessing.normalization</w:t>
      </w:r>
      <w:r>
        <w:rPr>
          <w:rFonts w:ascii="Calibri" w:hAnsi="Calibri"/>
          <w:color w:val="111111"/>
          <w:sz w:val="22"/>
        </w:rPr>
        <w:t>:</w:t>
      </w:r>
    </w:p>
    <w:p>
      <w:pPr>
        <w:spacing w:before="60" w:after="160" w:line="240" w:lineRule="auto"/>
        <w:ind w:left="259" w:right="259"/>
        <w:shd w:fill="F4F6F9"/>
      </w:pPr>
      <w:r>
        <w:rPr>
          <w:rFonts w:ascii="Consolas" w:hAnsi="Consolas"/>
          <w:color w:val="18364A"/>
          <w:sz w:val="17"/>
        </w:rPr>
        <w:t>anat:</w:t>
        <w:br/>
      </w:r>
      <w:r>
        <w:rPr>
          <w:rFonts w:ascii="Consolas" w:hAnsi="Consolas"/>
          <w:color w:val="18364A"/>
          <w:sz w:val="17"/>
        </w:rPr>
        <w:t xml:space="preserve">  preprocessing:</w:t>
        <w:br/>
      </w:r>
      <w:r>
        <w:rPr>
          <w:rFonts w:ascii="Consolas" w:hAnsi="Consolas"/>
          <w:color w:val="18364A"/>
          <w:sz w:val="17"/>
        </w:rPr>
        <w:t xml:space="preserve">    normalization:</w:t>
        <w:br/>
      </w:r>
      <w:r>
        <w:rPr>
          <w:rFonts w:ascii="Consolas" w:hAnsi="Consolas"/>
          <w:color w:val="18364A"/>
          <w:sz w:val="17"/>
        </w:rPr>
        <w:t xml:space="preserve">      enabled: true</w:t>
        <w:br/>
      </w:r>
      <w:r>
        <w:rPr>
          <w:rFonts w:ascii="Consolas" w:hAnsi="Consolas"/>
          <w:color w:val="18364A"/>
          <w:sz w:val="17"/>
        </w:rPr>
        <w:t xml:space="preserve">      template: /atlases/MNI152_T1_1mm.nii.gz</w:t>
        <w:br/>
      </w:r>
      <w:r>
        <w:rPr>
          <w:rFonts w:ascii="Consolas" w:hAnsi="Consolas"/>
          <w:color w:val="18364A"/>
          <w:sz w:val="17"/>
        </w:rPr>
        <w:t xml:space="preserve">      method: ants</w:t>
        <w:br/>
      </w:r>
      <w:r>
        <w:rPr>
          <w:rFonts w:ascii="Consolas" w:hAnsi="Consolas"/>
          <w:color w:val="18364A"/>
          <w:sz w:val="17"/>
        </w:rPr>
        <w:t xml:space="preserve">      save_transforms: true</w:t>
        <w:br/>
      </w:r>
      <w:r>
        <w:rPr>
          <w:rFonts w:ascii="Consolas" w:hAnsi="Consolas"/>
          <w:color w:val="18364A"/>
          <w:sz w:val="17"/>
        </w:rPr>
        <w:t xml:space="preserve">      space_entity: MNI152</w:t>
        <w:br/>
      </w:r>
      <w:r>
        <w:rPr>
          <w:rFonts w:ascii="Consolas" w:hAnsi="Consolas"/>
          <w:color w:val="18364A"/>
          <w:sz w:val="17"/>
        </w:rPr>
        <w:t xml:space="preserve">      options:</w:t>
        <w:br/>
      </w:r>
      <w:r>
        <w:rPr>
          <w:rFonts w:ascii="Consolas" w:hAnsi="Consolas"/>
          <w:color w:val="18364A"/>
          <w:sz w:val="17"/>
        </w:rPr>
        <w:t xml:space="preserve">        transform_type: SyN</w:t>
        <w:br/>
      </w:r>
      <w:r>
        <w:rPr>
          <w:rFonts w:ascii="Consolas" w:hAnsi="Consolas"/>
          <w:color w:val="18364A"/>
          <w:sz w:val="17"/>
        </w:rPr>
        <w:t xml:space="preserve">        interpolation: linear</w:t>
      </w:r>
    </w:p>
    <w:p>
      <w:r>
        <w:rPr>
          <w:rFonts w:ascii="Calibri" w:hAnsi="Calibri"/>
          <w:color w:val="111111"/>
          <w:sz w:val="22"/>
        </w:rPr>
        <w:t>Diffusion and relaxometry normalization use modality-level blocks. Diffusion defaults to an FA driving metric; relaxometry defaults to the SPGR reference.</w:t>
      </w:r>
    </w:p>
    <w:p>
      <w:pPr>
        <w:spacing w:before="60" w:after="160" w:line="240" w:lineRule="auto"/>
        <w:ind w:left="259" w:right="259"/>
        <w:shd w:fill="F4F6F9"/>
      </w:pPr>
      <w:r>
        <w:rPr>
          <w:rFonts w:ascii="Consolas" w:hAnsi="Consolas"/>
          <w:color w:val="18364A"/>
          <w:sz w:val="17"/>
        </w:rPr>
        <w:t>dmri:</w:t>
        <w:br/>
      </w:r>
      <w:r>
        <w:rPr>
          <w:rFonts w:ascii="Consolas" w:hAnsi="Consolas"/>
          <w:color w:val="18364A"/>
          <w:sz w:val="17"/>
        </w:rPr>
        <w:t xml:space="preserve">  normalization:</w:t>
        <w:br/>
      </w:r>
      <w:r>
        <w:rPr>
          <w:rFonts w:ascii="Consolas" w:hAnsi="Consolas"/>
          <w:color w:val="18364A"/>
          <w:sz w:val="17"/>
        </w:rPr>
        <w:t xml:space="preserve">    enabled: true</w:t>
        <w:br/>
      </w:r>
      <w:r>
        <w:rPr>
          <w:rFonts w:ascii="Consolas" w:hAnsi="Consolas"/>
          <w:color w:val="18364A"/>
          <w:sz w:val="17"/>
        </w:rPr>
        <w:t xml:space="preserve">    template: /atlases/FMRIB58_FA_1mm.nii.gz</w:t>
        <w:br/>
      </w:r>
      <w:r>
        <w:rPr>
          <w:rFonts w:ascii="Consolas" w:hAnsi="Consolas"/>
          <w:color w:val="18364A"/>
          <w:sz w:val="17"/>
        </w:rPr>
        <w:t xml:space="preserve">    driving_metric: FA</w:t>
        <w:br/>
      </w:r>
      <w:r>
        <w:rPr>
          <w:rFonts w:ascii="Consolas" w:hAnsi="Consolas"/>
          <w:color w:val="18364A"/>
          <w:sz w:val="17"/>
        </w:rPr>
        <w:t xml:space="preserve">    tool: ants</w:t>
        <w:br/>
      </w:r>
      <w:r>
        <w:rPr>
          <w:rFonts w:ascii="Consolas" w:hAnsi="Consolas"/>
          <w:color w:val="18364A"/>
          <w:sz w:val="17"/>
        </w:rPr>
        <w:t xml:space="preserve">    transform_type: SyN</w:t>
        <w:br/>
      </w:r>
      <w:r>
        <w:rPr>
          <w:rFonts w:ascii="Consolas" w:hAnsi="Consolas"/>
          <w:color w:val="18364A"/>
          <w:sz w:val="17"/>
        </w:rPr>
        <w:t xml:space="preserve">    space_name: MNI</w:t>
        <w:br/>
      </w:r>
      <w:r>
        <w:rPr>
          <w:rFonts w:ascii="Consolas" w:hAnsi="Consolas"/>
          <w:color w:val="18364A"/>
          <w:sz w:val="17"/>
        </w:rPr>
        <w:t xml:space="preserve">    save_transforms: true</w:t>
        <w:br/>
      </w:r>
      <w:r>
        <w:rPr>
          <w:rFonts w:ascii="Consolas" w:hAnsi="Consolas"/>
          <w:color w:val="18364A"/>
          <w:sz w:val="17"/>
        </w:rPr>
        <w:t xml:space="preserve">    include_all_metrics: true</w:t>
        <w:br/>
      </w:r>
      <w:r>
        <w:rPr>
          <w:rFonts w:ascii="Consolas" w:hAnsi="Consolas"/>
          <w:color w:val="18364A"/>
          <w:sz w:val="17"/>
        </w:rPr>
        <w:br/>
      </w:r>
      <w:r>
        <w:rPr>
          <w:rFonts w:ascii="Consolas" w:hAnsi="Consolas"/>
          <w:color w:val="18364A"/>
          <w:sz w:val="17"/>
        </w:rPr>
        <w:t>relaxometry:</w:t>
        <w:br/>
      </w:r>
      <w:r>
        <w:rPr>
          <w:rFonts w:ascii="Consolas" w:hAnsi="Consolas"/>
          <w:color w:val="18364A"/>
          <w:sz w:val="17"/>
        </w:rPr>
        <w:t xml:space="preserve">  normalization:</w:t>
        <w:br/>
      </w:r>
      <w:r>
        <w:rPr>
          <w:rFonts w:ascii="Consolas" w:hAnsi="Consolas"/>
          <w:color w:val="18364A"/>
          <w:sz w:val="17"/>
        </w:rPr>
        <w:t xml:space="preserve">    enabled: true</w:t>
        <w:br/>
      </w:r>
      <w:r>
        <w:rPr>
          <w:rFonts w:ascii="Consolas" w:hAnsi="Consolas"/>
          <w:color w:val="18364A"/>
          <w:sz w:val="17"/>
        </w:rPr>
        <w:t xml:space="preserve">    template: /atlases/MNI152_T1_1mm.nii.gz</w:t>
        <w:br/>
      </w:r>
      <w:r>
        <w:rPr>
          <w:rFonts w:ascii="Consolas" w:hAnsi="Consolas"/>
          <w:color w:val="18364A"/>
          <w:sz w:val="17"/>
        </w:rPr>
        <w:t xml:space="preserve">    driving_metric: spgr_ref</w:t>
        <w:br/>
      </w:r>
      <w:r>
        <w:rPr>
          <w:rFonts w:ascii="Consolas" w:hAnsi="Consolas"/>
          <w:color w:val="18364A"/>
          <w:sz w:val="17"/>
        </w:rPr>
        <w:t xml:space="preserve">    tool: ants</w:t>
        <w:br/>
      </w:r>
      <w:r>
        <w:rPr>
          <w:rFonts w:ascii="Consolas" w:hAnsi="Consolas"/>
          <w:color w:val="18364A"/>
          <w:sz w:val="17"/>
        </w:rPr>
        <w:t xml:space="preserve">    transform_type: SyN</w:t>
        <w:br/>
      </w:r>
      <w:r>
        <w:rPr>
          <w:rFonts w:ascii="Consolas" w:hAnsi="Consolas"/>
          <w:color w:val="18364A"/>
          <w:sz w:val="17"/>
        </w:rPr>
        <w:t xml:space="preserve">    space_name: MNI</w:t>
        <w:br/>
      </w:r>
      <w:r>
        <w:rPr>
          <w:rFonts w:ascii="Consolas" w:hAnsi="Consolas"/>
          <w:color w:val="18364A"/>
          <w:sz w:val="17"/>
        </w:rPr>
        <w:t xml:space="preserve">    save_transforms: true</w:t>
        <w:br/>
      </w:r>
      <w:r>
        <w:rPr>
          <w:rFonts w:ascii="Consolas" w:hAnsi="Consolas"/>
          <w:color w:val="18364A"/>
          <w:sz w:val="17"/>
        </w:rPr>
        <w:t xml:space="preserve">    include_all_metrics: true</w:t>
      </w:r>
    </w:p>
    <w:p>
      <w:r>
        <w:rPr>
          <w:rFonts w:ascii="Calibri" w:hAnsi="Calibri"/>
          <w:color w:val="111111"/>
          <w:sz w:val="22"/>
        </w:rPr>
        <w:t xml:space="preserve">Supported diffusion/relaxometry normalization tools include </w:t>
      </w:r>
      <w:r>
        <w:rPr>
          <w:rFonts w:ascii="Consolas" w:hAnsi="Consolas"/>
          <w:color w:val="18364A"/>
          <w:sz w:val="20"/>
        </w:rPr>
        <w:t>ants</w:t>
      </w:r>
      <w:r>
        <w:rPr>
          <w:rFonts w:ascii="Calibri" w:hAnsi="Calibri"/>
          <w:color w:val="111111"/>
          <w:sz w:val="22"/>
        </w:rPr>
        <w:t xml:space="preserve">, </w:t>
      </w:r>
      <w:r>
        <w:rPr>
          <w:rFonts w:ascii="Consolas" w:hAnsi="Consolas"/>
          <w:color w:val="18364A"/>
          <w:sz w:val="20"/>
        </w:rPr>
        <w:t>synthmorph</w:t>
      </w:r>
      <w:r>
        <w:rPr>
          <w:rFonts w:ascii="Calibri" w:hAnsi="Calibri"/>
          <w:color w:val="111111"/>
          <w:sz w:val="22"/>
        </w:rPr>
        <w:t xml:space="preserve">, and </w:t>
      </w:r>
      <w:r>
        <w:rPr>
          <w:rFonts w:ascii="Consolas" w:hAnsi="Consolas"/>
          <w:color w:val="18364A"/>
          <w:sz w:val="20"/>
        </w:rPr>
        <w:t>robust_iterative</w:t>
      </w:r>
      <w:r>
        <w:rPr>
          <w:rFonts w:ascii="Calibri" w:hAnsi="Calibri"/>
          <w:color w:val="111111"/>
          <w:sz w:val="22"/>
        </w:rPr>
        <w:t xml:space="preserve">; use only the lab-approved method. For container runs, bind every template path or place templates beneath an existing container-visible mount. Confirm forward/inverse transform direction before reuse. Scalar metric maps normally use linear interpolation; integer label maps require label-safe interpolation such as </w:t>
      </w:r>
      <w:r>
        <w:rPr>
          <w:rFonts w:ascii="Consolas" w:hAnsi="Consolas"/>
          <w:color w:val="18364A"/>
          <w:sz w:val="20"/>
        </w:rPr>
        <w:t>genericLabel</w:t>
      </w:r>
      <w:r>
        <w:rPr>
          <w:rFonts w:ascii="Calibri" w:hAnsi="Calibri"/>
          <w:color w:val="111111"/>
          <w:sz w:val="22"/>
        </w:rPr>
        <w:t xml:space="preserve"> or nearest-neighbor.</w:t>
      </w:r>
    </w:p>
    <w:p>
      <w:pPr>
        <w:pStyle w:val="Heading2"/>
      </w:pPr>
      <w:r>
        <w:rPr>
          <w:rFonts w:ascii="Calibri" w:hAnsi="Calibri"/>
          <w:b/>
          <w:color w:val="2E5D7B"/>
          <w:sz w:val="26"/>
        </w:rPr>
        <w:t>10.3 Expected outputs and QC</w:t>
      </w:r>
    </w:p>
    <w:p>
      <w:r>
        <w:rPr>
          <w:rFonts w:ascii="Calibri" w:hAnsi="Calibri"/>
          <w:color w:val="111111"/>
          <w:sz w:val="22"/>
        </w:rPr>
        <w:t>Expect forward/inverse transforms when requested and standard-space driving images/metrics. Overlay native and standard images in multiple planes; inspect cortex, ventricles, cerebellum, brainstem, and field-of-view boundaries. Confirm transform direction and interpolation by data type, and reject warped labels containing non-integer interpolation artifacts.</w:t>
      </w:r>
    </w:p>
    <w:p>
      <w:pPr>
        <w:pStyle w:val="Heading1"/>
      </w:pPr>
      <w:bookmarkStart w:id="500" w:name="Section_11_Tractography_tractometry_an"/>
      <w:r>
        <w:rPr>
          <w:rFonts w:ascii="Calibri" w:hAnsi="Calibri"/>
          <w:b/>
          <w:color w:val="2E5D7B"/>
          <w:sz w:val="32"/>
        </w:rPr>
        <w:t>11. Tractography, tractometry, and connectome manual</w:t>
      </w:r>
      <w:bookmarkEnd w:id="500"/>
    </w:p>
    <w:p>
      <w:pPr>
        <w:pStyle w:val="Heading2"/>
      </w:pPr>
      <w:r>
        <w:rPr>
          <w:rFonts w:ascii="Calibri" w:hAnsi="Calibri"/>
          <w:b/>
          <w:color w:val="2E5D7B"/>
          <w:sz w:val="26"/>
        </w:rPr>
        <w:t>11.1 Scientific prerequisites</w:t>
      </w:r>
    </w:p>
    <w:p>
      <w:r>
        <w:rPr>
          <w:rFonts w:ascii="Calibri" w:hAnsi="Calibri"/>
          <w:color w:val="111111"/>
          <w:sz w:val="22"/>
        </w:rPr>
        <w:t xml:space="preserve">Tractography is configured only under </w:t>
      </w:r>
      <w:r>
        <w:rPr>
          <w:rFonts w:ascii="Consolas" w:hAnsi="Consolas"/>
          <w:color w:val="18364A"/>
          <w:sz w:val="20"/>
        </w:rPr>
        <w:t>dmri.modeling.tractography</w:t>
      </w:r>
      <w:r>
        <w:rPr>
          <w:rFonts w:ascii="Calibri" w:hAnsi="Calibri"/>
          <w:color w:val="111111"/>
          <w:sz w:val="22"/>
        </w:rPr>
        <w:t>. Tracking method, diffusion model, seeding, anatomical constraints, filtering, streamline count, length limits, and bundle definitions must be fixed by the approved protocol. FOD-based algorithms such as iFOD2 require an appropriate CSD/FOD model. Anatomically constrained tractography requires an aligned anatomical image and a valid 5TT segmentation.</w:t>
      </w:r>
    </w:p>
    <w:p>
      <w:r>
        <w:rPr>
          <w:rFonts w:ascii="Calibri" w:hAnsi="Calibri"/>
          <w:color w:val="111111"/>
          <w:sz w:val="22"/>
        </w:rPr>
        <w:t>Verify MRtrix commands are available. TractSeg and pyAFQ require their corresponding optional software/dependency sets in a local installation; confirm availability inside the selected container before enabling them.</w:t>
      </w:r>
    </w:p>
    <w:p>
      <w:pPr>
        <w:pStyle w:val="Heading2"/>
      </w:pPr>
      <w:r>
        <w:rPr>
          <w:rFonts w:ascii="Calibri" w:hAnsi="Calibri"/>
          <w:b/>
          <w:color w:val="2E5D7B"/>
          <w:sz w:val="26"/>
        </w:rPr>
        <w:t>11.2 Whole-brain tractography example</w:t>
      </w:r>
    </w:p>
    <w:p>
      <w:pPr>
        <w:spacing w:before="60" w:after="160" w:line="240" w:lineRule="auto"/>
        <w:ind w:left="259" w:right="259"/>
        <w:shd w:fill="F4F6F9"/>
      </w:pPr>
      <w:r>
        <w:rPr>
          <w:rFonts w:ascii="Consolas" w:hAnsi="Consolas"/>
          <w:color w:val="18364A"/>
          <w:sz w:val="17"/>
        </w:rPr>
        <w:t>dmri:</w:t>
        <w:br/>
      </w:r>
      <w:r>
        <w:rPr>
          <w:rFonts w:ascii="Consolas" w:hAnsi="Consolas"/>
          <w:color w:val="18364A"/>
          <w:sz w:val="17"/>
        </w:rPr>
        <w:t xml:space="preserve">  modeling:</w:t>
        <w:br/>
      </w:r>
      <w:r>
        <w:rPr>
          <w:rFonts w:ascii="Consolas" w:hAnsi="Consolas"/>
          <w:color w:val="18364A"/>
          <w:sz w:val="17"/>
        </w:rPr>
        <w:t xml:space="preserve">    csd:</w:t>
        <w:br/>
      </w:r>
      <w:r>
        <w:rPr>
          <w:rFonts w:ascii="Consolas" w:hAnsi="Consolas"/>
          <w:color w:val="18364A"/>
          <w:sz w:val="17"/>
        </w:rPr>
        <w:t xml:space="preserve">      enabled: true</w:t>
        <w:br/>
      </w:r>
      <w:r>
        <w:rPr>
          <w:rFonts w:ascii="Consolas" w:hAnsi="Consolas"/>
          <w:color w:val="18364A"/>
          <w:sz w:val="17"/>
        </w:rPr>
        <w:t xml:space="preserve">      method: msmt_csd</w:t>
        <w:br/>
      </w:r>
      <w:r>
        <w:rPr>
          <w:rFonts w:ascii="Consolas" w:hAnsi="Consolas"/>
          <w:color w:val="18364A"/>
          <w:sz w:val="17"/>
        </w:rPr>
        <w:t xml:space="preserve">    tractography:</w:t>
        <w:br/>
      </w:r>
      <w:r>
        <w:rPr>
          <w:rFonts w:ascii="Consolas" w:hAnsi="Consolas"/>
          <w:color w:val="18364A"/>
          <w:sz w:val="17"/>
        </w:rPr>
        <w:t xml:space="preserve">      mrtrix:</w:t>
        <w:br/>
      </w:r>
      <w:r>
        <w:rPr>
          <w:rFonts w:ascii="Consolas" w:hAnsi="Consolas"/>
          <w:color w:val="18364A"/>
          <w:sz w:val="17"/>
        </w:rPr>
        <w:t xml:space="preserve">        enabled: true</w:t>
        <w:br/>
      </w:r>
      <w:r>
        <w:rPr>
          <w:rFonts w:ascii="Consolas" w:hAnsi="Consolas"/>
          <w:color w:val="18364A"/>
          <w:sz w:val="17"/>
        </w:rPr>
        <w:t xml:space="preserve">        algorithm: iFOD2</w:t>
        <w:br/>
      </w:r>
      <w:r>
        <w:rPr>
          <w:rFonts w:ascii="Consolas" w:hAnsi="Consolas"/>
          <w:color w:val="18364A"/>
          <w:sz w:val="17"/>
        </w:rPr>
        <w:t xml:space="preserve">        select: 1000000</w:t>
        <w:br/>
      </w:r>
      <w:r>
        <w:rPr>
          <w:rFonts w:ascii="Consolas" w:hAnsi="Consolas"/>
          <w:color w:val="18364A"/>
          <w:sz w:val="17"/>
        </w:rPr>
        <w:t xml:space="preserve">        cutoff: 0.06</w:t>
        <w:br/>
      </w:r>
      <w:r>
        <w:rPr>
          <w:rFonts w:ascii="Consolas" w:hAnsi="Consolas"/>
          <w:color w:val="18364A"/>
          <w:sz w:val="17"/>
        </w:rPr>
        <w:t xml:space="preserve">        minlength: 10</w:t>
        <w:br/>
      </w:r>
      <w:r>
        <w:rPr>
          <w:rFonts w:ascii="Consolas" w:hAnsi="Consolas"/>
          <w:color w:val="18364A"/>
          <w:sz w:val="17"/>
        </w:rPr>
        <w:t xml:space="preserve">        maxlength: 250</w:t>
        <w:br/>
      </w:r>
      <w:r>
        <w:rPr>
          <w:rFonts w:ascii="Consolas" w:hAnsi="Consolas"/>
          <w:color w:val="18364A"/>
          <w:sz w:val="17"/>
        </w:rPr>
        <w:t xml:space="preserve">        act:</w:t>
        <w:br/>
      </w:r>
      <w:r>
        <w:rPr>
          <w:rFonts w:ascii="Consolas" w:hAnsi="Consolas"/>
          <w:color w:val="18364A"/>
          <w:sz w:val="17"/>
        </w:rPr>
        <w:t xml:space="preserve">          enabled: true</w:t>
        <w:br/>
      </w:r>
      <w:r>
        <w:rPr>
          <w:rFonts w:ascii="Consolas" w:hAnsi="Consolas"/>
          <w:color w:val="18364A"/>
          <w:sz w:val="17"/>
        </w:rPr>
        <w:t xml:space="preserve">          algorithm: fsl</w:t>
        <w:br/>
      </w:r>
      <w:r>
        <w:rPr>
          <w:rFonts w:ascii="Consolas" w:hAnsi="Consolas"/>
          <w:color w:val="18364A"/>
          <w:sz w:val="17"/>
        </w:rPr>
        <w:t xml:space="preserve">          validate: true</w:t>
        <w:br/>
      </w:r>
      <w:r>
        <w:rPr>
          <w:rFonts w:ascii="Consolas" w:hAnsi="Consolas"/>
          <w:color w:val="18364A"/>
          <w:sz w:val="17"/>
        </w:rPr>
        <w:t xml:space="preserve">          seed_gmwmi: true</w:t>
        <w:br/>
      </w:r>
      <w:r>
        <w:rPr>
          <w:rFonts w:ascii="Consolas" w:hAnsi="Consolas"/>
          <w:color w:val="18364A"/>
          <w:sz w:val="17"/>
        </w:rPr>
        <w:t xml:space="preserve">          backtrack: true</w:t>
        <w:br/>
      </w:r>
      <w:r>
        <w:rPr>
          <w:rFonts w:ascii="Consolas" w:hAnsi="Consolas"/>
          <w:color w:val="18364A"/>
          <w:sz w:val="17"/>
        </w:rPr>
        <w:t xml:space="preserve">          crop_at_gmwmi: true</w:t>
        <w:br/>
      </w:r>
      <w:r>
        <w:rPr>
          <w:rFonts w:ascii="Consolas" w:hAnsi="Consolas"/>
          <w:color w:val="18364A"/>
          <w:sz w:val="17"/>
        </w:rPr>
        <w:t xml:space="preserve">        filtering:</w:t>
        <w:br/>
      </w:r>
      <w:r>
        <w:rPr>
          <w:rFonts w:ascii="Consolas" w:hAnsi="Consolas"/>
          <w:color w:val="18364A"/>
          <w:sz w:val="17"/>
        </w:rPr>
        <w:t xml:space="preserve">          method: sift2</w:t>
      </w:r>
    </w:p>
    <w:p>
      <w:r>
        <w:rPr>
          <w:rFonts w:ascii="Calibri" w:hAnsi="Calibri"/>
          <w:color w:val="111111"/>
          <w:sz w:val="22"/>
        </w:rPr>
        <w:t>The one-million-streamline value above is a teaching/pilot example, not a universal default. The approved cohort protocol may require a different fixed count.</w:t>
      </w:r>
    </w:p>
    <w:p>
      <w:pPr>
        <w:pStyle w:val="Heading2"/>
      </w:pPr>
      <w:r>
        <w:rPr>
          <w:rFonts w:ascii="Calibri" w:hAnsi="Calibri"/>
          <w:b/>
          <w:color w:val="2E5D7B"/>
          <w:sz w:val="26"/>
        </w:rPr>
        <w:t>11.3 Bundle and along-tract analysis</w:t>
      </w:r>
    </w:p>
    <w:p>
      <w:r>
        <w:rPr>
          <w:rFonts w:ascii="Calibri" w:hAnsi="Calibri"/>
          <w:color w:val="111111"/>
          <w:sz w:val="22"/>
        </w:rPr>
        <w:t xml:space="preserve">Optional bundle and along-tract analysis may sample already-produced maps using </w:t>
      </w:r>
      <w:r>
        <w:rPr>
          <w:rFonts w:ascii="Consolas" w:hAnsi="Consolas"/>
          <w:color w:val="18364A"/>
          <w:sz w:val="20"/>
        </w:rPr>
        <w:t>MODEL.METRIC</w:t>
      </w:r>
      <w:r>
        <w:rPr>
          <w:rFonts w:ascii="Calibri" w:hAnsi="Calibri"/>
          <w:color w:val="111111"/>
          <w:sz w:val="22"/>
        </w:rPr>
        <w:t xml:space="preserve"> identifiers:</w:t>
      </w:r>
    </w:p>
    <w:p>
      <w:pPr>
        <w:spacing w:before="60" w:after="160" w:line="240" w:lineRule="auto"/>
        <w:ind w:left="259" w:right="259"/>
        <w:shd w:fill="F4F6F9"/>
      </w:pPr>
      <w:r>
        <w:rPr>
          <w:rFonts w:ascii="Consolas" w:hAnsi="Consolas"/>
          <w:color w:val="18364A"/>
          <w:sz w:val="17"/>
        </w:rPr>
        <w:t>dmri:</w:t>
        <w:br/>
      </w:r>
      <w:r>
        <w:rPr>
          <w:rFonts w:ascii="Consolas" w:hAnsi="Consolas"/>
          <w:color w:val="18364A"/>
          <w:sz w:val="17"/>
        </w:rPr>
        <w:t xml:space="preserve">  modeling:</w:t>
        <w:br/>
      </w:r>
      <w:r>
        <w:rPr>
          <w:rFonts w:ascii="Consolas" w:hAnsi="Consolas"/>
          <w:color w:val="18364A"/>
          <w:sz w:val="17"/>
        </w:rPr>
        <w:t xml:space="preserve">    tractography:</w:t>
        <w:br/>
      </w:r>
      <w:r>
        <w:rPr>
          <w:rFonts w:ascii="Consolas" w:hAnsi="Consolas"/>
          <w:color w:val="18364A"/>
          <w:sz w:val="17"/>
        </w:rPr>
        <w:t xml:space="preserve">      tractseg:</w:t>
        <w:br/>
      </w:r>
      <w:r>
        <w:rPr>
          <w:rFonts w:ascii="Consolas" w:hAnsi="Consolas"/>
          <w:color w:val="18364A"/>
          <w:sz w:val="17"/>
        </w:rPr>
        <w:t xml:space="preserve">        enabled: true</w:t>
        <w:br/>
      </w:r>
      <w:r>
        <w:rPr>
          <w:rFonts w:ascii="Consolas" w:hAnsi="Consolas"/>
          <w:color w:val="18364A"/>
          <w:sz w:val="17"/>
        </w:rPr>
        <w:t xml:space="preserve">        options:</w:t>
        <w:br/>
      </w:r>
      <w:r>
        <w:rPr>
          <w:rFonts w:ascii="Consolas" w:hAnsi="Consolas"/>
          <w:color w:val="18364A"/>
          <w:sz w:val="17"/>
        </w:rPr>
        <w:t xml:space="preserve">          preprocess: true</w:t>
        <w:br/>
      </w:r>
      <w:r>
        <w:rPr>
          <w:rFonts w:ascii="Consolas" w:hAnsi="Consolas"/>
          <w:color w:val="18364A"/>
          <w:sz w:val="17"/>
        </w:rPr>
        <w:t xml:space="preserve">      tract_specific:</w:t>
        <w:br/>
      </w:r>
      <w:r>
        <w:rPr>
          <w:rFonts w:ascii="Consolas" w:hAnsi="Consolas"/>
          <w:color w:val="18364A"/>
          <w:sz w:val="17"/>
        </w:rPr>
        <w:t xml:space="preserve">        enabled: true</w:t>
        <w:br/>
      </w:r>
      <w:r>
        <w:rPr>
          <w:rFonts w:ascii="Consolas" w:hAnsi="Consolas"/>
          <w:color w:val="18364A"/>
          <w:sz w:val="17"/>
        </w:rPr>
        <w:t xml:space="preserve">        bundles:</w:t>
        <w:br/>
      </w:r>
      <w:r>
        <w:rPr>
          <w:rFonts w:ascii="Consolas" w:hAnsi="Consolas"/>
          <w:color w:val="18364A"/>
          <w:sz w:val="17"/>
        </w:rPr>
        <w:t xml:space="preserve">          - {name: CST_L, source: tractseg}</w:t>
        <w:br/>
      </w:r>
      <w:r>
        <w:rPr>
          <w:rFonts w:ascii="Consolas" w:hAnsi="Consolas"/>
          <w:color w:val="18364A"/>
          <w:sz w:val="17"/>
        </w:rPr>
        <w:t xml:space="preserve">          - {name: CST_R, source: tractseg}</w:t>
        <w:br/>
      </w:r>
      <w:r>
        <w:rPr>
          <w:rFonts w:ascii="Consolas" w:hAnsi="Consolas"/>
          <w:color w:val="18364A"/>
          <w:sz w:val="17"/>
        </w:rPr>
        <w:t xml:space="preserve">        metrics: [DTI.FA, DTI.MD]</w:t>
        <w:br/>
      </w:r>
      <w:r>
        <w:rPr>
          <w:rFonts w:ascii="Consolas" w:hAnsi="Consolas"/>
          <w:color w:val="18364A"/>
          <w:sz w:val="17"/>
        </w:rPr>
        <w:t xml:space="preserve">        streamline_statistic: mean</w:t>
        <w:br/>
      </w:r>
      <w:r>
        <w:rPr>
          <w:rFonts w:ascii="Consolas" w:hAnsi="Consolas"/>
          <w:color w:val="18364A"/>
          <w:sz w:val="17"/>
        </w:rPr>
        <w:t xml:space="preserve">        profiles:</w:t>
        <w:br/>
      </w:r>
      <w:r>
        <w:rPr>
          <w:rFonts w:ascii="Consolas" w:hAnsi="Consolas"/>
          <w:color w:val="18364A"/>
          <w:sz w:val="17"/>
        </w:rPr>
        <w:t xml:space="preserve">          enabled: true</w:t>
        <w:br/>
      </w:r>
      <w:r>
        <w:rPr>
          <w:rFonts w:ascii="Consolas" w:hAnsi="Consolas"/>
          <w:color w:val="18364A"/>
          <w:sz w:val="17"/>
        </w:rPr>
        <w:t xml:space="preserve">          nodes: 100</w:t>
        <w:br/>
      </w:r>
      <w:r>
        <w:rPr>
          <w:rFonts w:ascii="Consolas" w:hAnsi="Consolas"/>
          <w:color w:val="18364A"/>
          <w:sz w:val="17"/>
        </w:rPr>
        <w:t xml:space="preserve">        track_density:</w:t>
        <w:br/>
      </w:r>
      <w:r>
        <w:rPr>
          <w:rFonts w:ascii="Consolas" w:hAnsi="Consolas"/>
          <w:color w:val="18364A"/>
          <w:sz w:val="17"/>
        </w:rPr>
        <w:t xml:space="preserve">          enabled: true</w:t>
      </w:r>
    </w:p>
    <w:p>
      <w:pPr>
        <w:pStyle w:val="Heading2"/>
      </w:pPr>
      <w:r>
        <w:rPr>
          <w:rFonts w:ascii="Calibri" w:hAnsi="Calibri"/>
          <w:b/>
          <w:color w:val="2E5D7B"/>
          <w:sz w:val="26"/>
        </w:rPr>
        <w:t>11.4 Connectome example</w:t>
      </w:r>
    </w:p>
    <w:p>
      <w:r>
        <w:rPr>
          <w:rFonts w:ascii="Calibri" w:hAnsi="Calibri"/>
          <w:color w:val="111111"/>
          <w:sz w:val="22"/>
        </w:rPr>
        <w:t>Connectomes require an integer node/parcellation image already aligned to DWI/tractogram space:</w:t>
      </w:r>
    </w:p>
    <w:p>
      <w:pPr>
        <w:spacing w:before="60" w:after="160" w:line="240" w:lineRule="auto"/>
        <w:ind w:left="259" w:right="259"/>
        <w:shd w:fill="F4F6F9"/>
      </w:pPr>
      <w:r>
        <w:rPr>
          <w:rFonts w:ascii="Consolas" w:hAnsi="Consolas"/>
          <w:color w:val="18364A"/>
          <w:sz w:val="17"/>
        </w:rPr>
        <w:t>tract_specific:</w:t>
        <w:br/>
      </w:r>
      <w:r>
        <w:rPr>
          <w:rFonts w:ascii="Consolas" w:hAnsi="Consolas"/>
          <w:color w:val="18364A"/>
          <w:sz w:val="17"/>
        </w:rPr>
        <w:t xml:space="preserve">  enabled: true</w:t>
        <w:br/>
      </w:r>
      <w:r>
        <w:rPr>
          <w:rFonts w:ascii="Consolas" w:hAnsi="Consolas"/>
          <w:color w:val="18364A"/>
          <w:sz w:val="17"/>
        </w:rPr>
        <w:t xml:space="preserve">  bundles: []</w:t>
        <w:br/>
      </w:r>
      <w:r>
        <w:rPr>
          <w:rFonts w:ascii="Consolas" w:hAnsi="Consolas"/>
          <w:color w:val="18364A"/>
          <w:sz w:val="17"/>
        </w:rPr>
        <w:t xml:space="preserve">  connectome:</w:t>
        <w:br/>
      </w:r>
      <w:r>
        <w:rPr>
          <w:rFonts w:ascii="Consolas" w:hAnsi="Consolas"/>
          <w:color w:val="18364A"/>
          <w:sz w:val="17"/>
        </w:rPr>
        <w:t xml:space="preserve">    enabled: true</w:t>
        <w:br/>
      </w:r>
      <w:r>
        <w:rPr>
          <w:rFonts w:ascii="Consolas" w:hAnsi="Consolas"/>
          <w:color w:val="18364A"/>
          <w:sz w:val="17"/>
        </w:rPr>
        <w:t xml:space="preserve">    nodes: /path/to/subject_space-dwi_desc-nodes_dseg.nii.gz</w:t>
        <w:br/>
      </w:r>
      <w:r>
        <w:rPr>
          <w:rFonts w:ascii="Consolas" w:hAnsi="Consolas"/>
          <w:color w:val="18364A"/>
          <w:sz w:val="17"/>
        </w:rPr>
        <w:t xml:space="preserve">    use_sift2: true</w:t>
        <w:br/>
      </w:r>
      <w:r>
        <w:rPr>
          <w:rFonts w:ascii="Consolas" w:hAnsi="Consolas"/>
          <w:color w:val="18364A"/>
          <w:sz w:val="17"/>
        </w:rPr>
        <w:t xml:space="preserve">    statistic: sum</w:t>
        <w:br/>
      </w:r>
      <w:r>
        <w:rPr>
          <w:rFonts w:ascii="Consolas" w:hAnsi="Consolas"/>
          <w:color w:val="18364A"/>
          <w:sz w:val="17"/>
        </w:rPr>
        <w:t xml:space="preserve">    symmetric: true</w:t>
        <w:br/>
      </w:r>
      <w:r>
        <w:rPr>
          <w:rFonts w:ascii="Consolas" w:hAnsi="Consolas"/>
          <w:color w:val="18364A"/>
          <w:sz w:val="17"/>
        </w:rPr>
        <w:t xml:space="preserve">    zero_diagonal: true</w:t>
      </w:r>
    </w:p>
    <w:p>
      <w:r>
        <w:rPr>
          <w:rFonts w:ascii="Calibri" w:hAnsi="Calibri"/>
          <w:color w:val="111111"/>
          <w:sz w:val="22"/>
        </w:rPr>
        <w:t>Do not interpret streamline count or connection weight as a literal axon count. Tracking, filtering, seeding, parcel geometry, registration, and image quality all affect the estimate.</w:t>
      </w:r>
    </w:p>
    <w:p>
      <w:pPr>
        <w:pStyle w:val="Heading2"/>
      </w:pPr>
      <w:r>
        <w:rPr>
          <w:rFonts w:ascii="Calibri" w:hAnsi="Calibri"/>
          <w:b/>
          <w:color w:val="2E5D7B"/>
          <w:sz w:val="26"/>
        </w:rPr>
        <w:t>11.5 Expected outputs and QC</w:t>
      </w:r>
    </w:p>
    <w:p>
      <w:r>
        <w:rPr>
          <w:rFonts w:ascii="Calibri" w:hAnsi="Calibri"/>
          <w:color w:val="111111"/>
          <w:sz w:val="22"/>
        </w:rPr>
        <w:t>Expect tractograms, optional SIFT/SIFT2 weights, bundle files, along-tract profiles, track-density maps, or connectome matrices for enabled branches. Check FOD/tensor inputs, masks, 5TT/GMWMI alignment, streamline coverage/length, endpoints, empty bundles, profile coverage, parcellation alignment, symmetry/diagonal settings, and cohort outliers.</w:t>
      </w:r>
    </w:p>
    <w:p>
      <w:pPr>
        <w:pStyle w:val="Heading1"/>
      </w:pPr>
      <w:bookmarkStart w:id="586" w:name="Section_12_Atlas_registration_and_ROI_"/>
      <w:r>
        <w:rPr>
          <w:rFonts w:ascii="Calibri" w:hAnsi="Calibri"/>
          <w:b/>
          <w:color w:val="2E5D7B"/>
          <w:sz w:val="32"/>
        </w:rPr>
        <w:t>12. Atlas registration and ROI extraction manual</w:t>
      </w:r>
      <w:bookmarkEnd w:id="586"/>
    </w:p>
    <w:p>
      <w:pPr>
        <w:pStyle w:val="Heading2"/>
      </w:pPr>
      <w:r>
        <w:rPr>
          <w:rFonts w:ascii="Calibri" w:hAnsi="Calibri"/>
          <w:b/>
          <w:color w:val="2E5D7B"/>
          <w:sz w:val="26"/>
        </w:rPr>
        <w:t>12.1 Purpose and configuration</w:t>
      </w:r>
    </w:p>
    <w:p>
      <w:r>
        <w:rPr>
          <w:rFonts w:ascii="Calibri" w:hAnsi="Calibri"/>
          <w:color w:val="111111"/>
          <w:sz w:val="22"/>
        </w:rPr>
        <w:t xml:space="preserve">Atlas/ROI analysis registers one or more atlases into native subject space and extracts mean, median, and standard deviation from selected metric maps. Configure it under </w:t>
      </w:r>
      <w:r>
        <w:rPr>
          <w:rFonts w:ascii="Consolas" w:hAnsi="Consolas"/>
          <w:color w:val="18364A"/>
          <w:sz w:val="20"/>
        </w:rPr>
        <w:t>dmri.analysis</w:t>
      </w:r>
      <w:r>
        <w:rPr>
          <w:rFonts w:ascii="Calibri" w:hAnsi="Calibri"/>
          <w:color w:val="111111"/>
          <w:sz w:val="22"/>
        </w:rPr>
        <w:t xml:space="preserve">, </w:t>
      </w:r>
      <w:r>
        <w:rPr>
          <w:rFonts w:ascii="Consolas" w:hAnsi="Consolas"/>
          <w:color w:val="18364A"/>
          <w:sz w:val="20"/>
        </w:rPr>
        <w:t>relaxometry.analysis</w:t>
      </w:r>
      <w:r>
        <w:rPr>
          <w:rFonts w:ascii="Calibri" w:hAnsi="Calibri"/>
          <w:color w:val="111111"/>
          <w:sz w:val="22"/>
        </w:rPr>
        <w:t xml:space="preserve">, or </w:t>
      </w:r>
      <w:r>
        <w:rPr>
          <w:rFonts w:ascii="Consolas" w:hAnsi="Consolas"/>
          <w:color w:val="18364A"/>
          <w:sz w:val="20"/>
        </w:rPr>
        <w:t>anat.segmentation</w:t>
      </w:r>
      <w:r>
        <w:rPr>
          <w:rFonts w:ascii="Calibri" w:hAnsi="Calibri"/>
          <w:color w:val="111111"/>
          <w:sz w:val="22"/>
        </w:rPr>
        <w:t>. Named atlas definitions are preferred over the deprecated flat single-atlas format.</w:t>
      </w:r>
    </w:p>
    <w:p>
      <w:pPr>
        <w:spacing w:before="60" w:after="160" w:line="240" w:lineRule="auto"/>
        <w:ind w:left="259" w:right="259"/>
        <w:shd w:fill="F4F6F9"/>
      </w:pPr>
      <w:r>
        <w:rPr>
          <w:rFonts w:ascii="Consolas" w:hAnsi="Consolas"/>
          <w:color w:val="18364A"/>
          <w:sz w:val="17"/>
        </w:rPr>
        <w:t>dmri:</w:t>
        <w:br/>
      </w:r>
      <w:r>
        <w:rPr>
          <w:rFonts w:ascii="Consolas" w:hAnsi="Consolas"/>
          <w:color w:val="18364A"/>
          <w:sz w:val="17"/>
        </w:rPr>
        <w:t xml:space="preserve">  analysis:</w:t>
        <w:br/>
      </w:r>
      <w:r>
        <w:rPr>
          <w:rFonts w:ascii="Consolas" w:hAnsi="Consolas"/>
          <w:color w:val="18364A"/>
          <w:sz w:val="17"/>
        </w:rPr>
        <w:t xml:space="preserve">    enabled: true</w:t>
        <w:br/>
      </w:r>
      <w:r>
        <w:rPr>
          <w:rFonts w:ascii="Consolas" w:hAnsi="Consolas"/>
          <w:color w:val="18364A"/>
          <w:sz w:val="17"/>
        </w:rPr>
        <w:t xml:space="preserve">    registration_target: FA</w:t>
        <w:br/>
      </w:r>
      <w:r>
        <w:rPr>
          <w:rFonts w:ascii="Consolas" w:hAnsi="Consolas"/>
          <w:color w:val="18364A"/>
          <w:sz w:val="17"/>
        </w:rPr>
        <w:t xml:space="preserve">    atlases:</w:t>
        <w:br/>
      </w:r>
      <w:r>
        <w:rPr>
          <w:rFonts w:ascii="Consolas" w:hAnsi="Consolas"/>
          <w:color w:val="18364A"/>
          <w:sz w:val="17"/>
        </w:rPr>
        <w:t xml:space="preserve">      JHU:</w:t>
        <w:br/>
      </w:r>
      <w:r>
        <w:rPr>
          <w:rFonts w:ascii="Consolas" w:hAnsi="Consolas"/>
          <w:color w:val="18364A"/>
          <w:sz w:val="17"/>
        </w:rPr>
        <w:t xml:space="preserve">        labels: /atlases/JHU-ICBM-labels-1mm.nii.gz</w:t>
        <w:br/>
      </w:r>
      <w:r>
        <w:rPr>
          <w:rFonts w:ascii="Consolas" w:hAnsi="Consolas"/>
          <w:color w:val="18364A"/>
          <w:sz w:val="17"/>
        </w:rPr>
        <w:t xml:space="preserve">        template: /atlases/JHU-ICBM-FA-1mm.nii.gz</w:t>
        <w:br/>
      </w:r>
      <w:r>
        <w:rPr>
          <w:rFonts w:ascii="Consolas" w:hAnsi="Consolas"/>
          <w:color w:val="18364A"/>
          <w:sz w:val="17"/>
        </w:rPr>
        <w:t xml:space="preserve">        lut: /atlases/JHU-labels.xml</w:t>
        <w:br/>
      </w:r>
      <w:r>
        <w:rPr>
          <w:rFonts w:ascii="Consolas" w:hAnsi="Consolas"/>
          <w:color w:val="18364A"/>
          <w:sz w:val="17"/>
        </w:rPr>
        <w:t xml:space="preserve">        interpolation: genericLabel</w:t>
        <w:br/>
      </w:r>
      <w:r>
        <w:rPr>
          <w:rFonts w:ascii="Consolas" w:hAnsi="Consolas"/>
          <w:color w:val="18364A"/>
          <w:sz w:val="17"/>
        </w:rPr>
        <w:t xml:space="preserve">    metrics: [FA, MD, AD, RD]</w:t>
        <w:br/>
      </w:r>
      <w:r>
        <w:rPr>
          <w:rFonts w:ascii="Consolas" w:hAnsi="Consolas"/>
          <w:color w:val="18364A"/>
          <w:sz w:val="17"/>
        </w:rPr>
        <w:br/>
      </w:r>
      <w:r>
        <w:rPr>
          <w:rFonts w:ascii="Consolas" w:hAnsi="Consolas"/>
          <w:color w:val="18364A"/>
          <w:sz w:val="17"/>
        </w:rPr>
        <w:t>relaxometry:</w:t>
        <w:br/>
      </w:r>
      <w:r>
        <w:rPr>
          <w:rFonts w:ascii="Consolas" w:hAnsi="Consolas"/>
          <w:color w:val="18364A"/>
          <w:sz w:val="17"/>
        </w:rPr>
        <w:t xml:space="preserve">  analysis:</w:t>
        <w:br/>
      </w:r>
      <w:r>
        <w:rPr>
          <w:rFonts w:ascii="Consolas" w:hAnsi="Consolas"/>
          <w:color w:val="18364A"/>
          <w:sz w:val="17"/>
        </w:rPr>
        <w:t xml:space="preserve">    enabled: true</w:t>
        <w:br/>
      </w:r>
      <w:r>
        <w:rPr>
          <w:rFonts w:ascii="Consolas" w:hAnsi="Consolas"/>
          <w:color w:val="18364A"/>
          <w:sz w:val="17"/>
        </w:rPr>
        <w:t xml:space="preserve">    registration_target: reference</w:t>
        <w:br/>
      </w:r>
      <w:r>
        <w:rPr>
          <w:rFonts w:ascii="Consolas" w:hAnsi="Consolas"/>
          <w:color w:val="18364A"/>
          <w:sz w:val="17"/>
        </w:rPr>
        <w:t xml:space="preserve">    registration_template: /atlases/MNI152_T1_1mm.nii.gz</w:t>
        <w:br/>
      </w:r>
      <w:r>
        <w:rPr>
          <w:rFonts w:ascii="Consolas" w:hAnsi="Consolas"/>
          <w:color w:val="18364A"/>
          <w:sz w:val="17"/>
        </w:rPr>
        <w:t xml:space="preserve">    atlases:</w:t>
        <w:br/>
      </w:r>
      <w:r>
        <w:rPr>
          <w:rFonts w:ascii="Consolas" w:hAnsi="Consolas"/>
          <w:color w:val="18364A"/>
          <w:sz w:val="17"/>
        </w:rPr>
        <w:t xml:space="preserve">      JHU:</w:t>
        <w:br/>
      </w:r>
      <w:r>
        <w:rPr>
          <w:rFonts w:ascii="Consolas" w:hAnsi="Consolas"/>
          <w:color w:val="18364A"/>
          <w:sz w:val="17"/>
        </w:rPr>
        <w:t xml:space="preserve">        labels: /atlases/JHU-ICBM-labels-1mm.nii.gz</w:t>
        <w:br/>
      </w:r>
      <w:r>
        <w:rPr>
          <w:rFonts w:ascii="Consolas" w:hAnsi="Consolas"/>
          <w:color w:val="18364A"/>
          <w:sz w:val="17"/>
        </w:rPr>
        <w:t xml:space="preserve">        lut: /atlases/JHU-labels.xml</w:t>
        <w:br/>
      </w:r>
      <w:r>
        <w:rPr>
          <w:rFonts w:ascii="Consolas" w:hAnsi="Consolas"/>
          <w:color w:val="18364A"/>
          <w:sz w:val="17"/>
        </w:rPr>
        <w:t xml:space="preserve">        interpolation: genericLabel</w:t>
        <w:br/>
      </w:r>
      <w:r>
        <w:rPr>
          <w:rFonts w:ascii="Consolas" w:hAnsi="Consolas"/>
          <w:color w:val="18364A"/>
          <w:sz w:val="17"/>
        </w:rPr>
        <w:t xml:space="preserve">    metrics:</w:t>
        <w:br/>
      </w:r>
      <w:r>
        <w:rPr>
          <w:rFonts w:ascii="Consolas" w:hAnsi="Consolas"/>
          <w:color w:val="18364A"/>
          <w:sz w:val="17"/>
        </w:rPr>
        <w:t xml:space="preserve">      DESPOT1: [T1]</w:t>
        <w:br/>
      </w:r>
      <w:r>
        <w:rPr>
          <w:rFonts w:ascii="Consolas" w:hAnsi="Consolas"/>
          <w:color w:val="18364A"/>
          <w:sz w:val="17"/>
        </w:rPr>
        <w:t xml:space="preserve">      mcDESPOT: [VFm, T1_fast, T1_slow, T2_fast, T2_slow, Tau]</w:t>
      </w:r>
    </w:p>
    <w:p>
      <w:r>
        <w:rPr>
          <w:rFonts w:ascii="Calibri" w:hAnsi="Calibri"/>
          <w:color w:val="111111"/>
          <w:sz w:val="22"/>
        </w:rPr>
        <w:t xml:space="preserve">The atlas template must match the contrast and space used to estimate registration. A discrete label atlas must use label-safe interpolation; linear interpolation can create invalid label values. Set </w:t>
      </w:r>
      <w:r>
        <w:rPr>
          <w:rFonts w:ascii="Consolas" w:hAnsi="Consolas"/>
          <w:color w:val="18364A"/>
          <w:sz w:val="20"/>
        </w:rPr>
        <w:t>is_probabilistic: true</w:t>
      </w:r>
      <w:r>
        <w:rPr>
          <w:rFonts w:ascii="Calibri" w:hAnsi="Calibri"/>
          <w:color w:val="111111"/>
          <w:sz w:val="22"/>
        </w:rPr>
        <w:t xml:space="preserve"> only for a 4D probabilistic atlas. When a LUT is available, include it so ROI outputs carry human-readable region names.</w:t>
      </w:r>
    </w:p>
    <w:p>
      <w:r>
        <w:rPr>
          <w:rFonts w:ascii="Calibri" w:hAnsi="Calibri"/>
          <w:color w:val="111111"/>
          <w:sz w:val="22"/>
        </w:rPr>
        <w:t xml:space="preserve">Expected outputs include registered label images beneath </w:t>
      </w:r>
      <w:r>
        <w:rPr>
          <w:rFonts w:ascii="Consolas" w:hAnsi="Consolas"/>
          <w:color w:val="18364A"/>
          <w:sz w:val="20"/>
        </w:rPr>
        <w:t>atlases/</w:t>
      </w:r>
      <w:r>
        <w:rPr>
          <w:rFonts w:ascii="Calibri" w:hAnsi="Calibri"/>
          <w:color w:val="111111"/>
          <w:sz w:val="22"/>
        </w:rPr>
        <w:t xml:space="preserve">, per-atlas CSV files beneath </w:t>
      </w:r>
      <w:r>
        <w:rPr>
          <w:rFonts w:ascii="Consolas" w:hAnsi="Consolas"/>
          <w:color w:val="18364A"/>
          <w:sz w:val="20"/>
        </w:rPr>
        <w:t>statistics/</w:t>
      </w:r>
      <w:r>
        <w:rPr>
          <w:rFonts w:ascii="Calibri" w:hAnsi="Calibri"/>
          <w:color w:val="111111"/>
          <w:sz w:val="22"/>
        </w:rPr>
        <w:t xml:space="preserve">, and a combined ROI statistics CSV. The standard columns include ROI name, model, metric, mean, median, and standard deviation. If no </w:t>
      </w:r>
      <w:r>
        <w:rPr>
          <w:rFonts w:ascii="Consolas" w:hAnsi="Consolas"/>
          <w:color w:val="18364A"/>
          <w:sz w:val="20"/>
        </w:rPr>
        <w:t>metrics</w:t>
      </w:r>
      <w:r>
        <w:rPr>
          <w:rFonts w:ascii="Calibri" w:hAnsi="Calibri"/>
          <w:color w:val="111111"/>
          <w:sz w:val="22"/>
        </w:rPr>
        <w:t>/</w:t>
      </w:r>
      <w:r>
        <w:rPr>
          <w:rFonts w:ascii="Consolas" w:hAnsi="Consolas"/>
          <w:color w:val="18364A"/>
          <w:sz w:val="20"/>
        </w:rPr>
        <w:t>parameters</w:t>
      </w:r>
      <w:r>
        <w:rPr>
          <w:rFonts w:ascii="Calibri" w:hAnsi="Calibri"/>
          <w:color w:val="111111"/>
          <w:sz w:val="22"/>
        </w:rPr>
        <w:t xml:space="preserve"> filter is supplied, all available produced maps may be analyzed; explicit selection is preferred for controlled studies.</w:t>
      </w:r>
    </w:p>
    <w:p>
      <w:pPr>
        <w:pStyle w:val="Heading2"/>
      </w:pPr>
      <w:r>
        <w:rPr>
          <w:rFonts w:ascii="Calibri" w:hAnsi="Calibri"/>
          <w:b/>
          <w:color w:val="2E5D7B"/>
          <w:sz w:val="26"/>
        </w:rPr>
        <w:t>12.2 ROI verification and interpretation</w:t>
      </w:r>
    </w:p>
    <w:p>
      <w:r>
        <w:rPr>
          <w:rFonts w:ascii="Calibri" w:hAnsi="Calibri"/>
          <w:color w:val="111111"/>
          <w:sz w:val="22"/>
        </w:rPr>
        <w:t>Overlay every registered atlas on the actual registration target, checking laterality, tissue boundaries, coverage, and label integrity. Confirm the LUT, ROI count, model/metric selectors, and expected CSV columns. Treat all-zero, missing, infinite, NaN, or extreme values as review flags. ROI summaries inherit bias from preprocessing, registration, masks, partial volume, atlas definitions, and metric fitting; they are not a substitute for image-level QC.</w:t>
      </w:r>
    </w:p>
    <w:p>
      <w:pPr>
        <w:pStyle w:val="Heading1"/>
      </w:pPr>
      <w:bookmarkStart w:id="628" w:name="Section_13_Study_tracker_manual"/>
      <w:r>
        <w:rPr>
          <w:rFonts w:ascii="Calibri" w:hAnsi="Calibri"/>
          <w:b/>
          <w:color w:val="2E5D7B"/>
          <w:sz w:val="32"/>
        </w:rPr>
        <w:t>13. Study tracker manual</w:t>
      </w:r>
      <w:bookmarkEnd w:id="628"/>
    </w:p>
    <w:p>
      <w:pPr>
        <w:pStyle w:val="Heading2"/>
      </w:pPr>
      <w:r>
        <w:rPr>
          <w:rFonts w:ascii="Calibri" w:hAnsi="Calibri"/>
          <w:b/>
          <w:color w:val="2E5D7B"/>
          <w:sz w:val="26"/>
        </w:rPr>
        <w:t>13.1 Purpose and configuration</w:t>
      </w:r>
    </w:p>
    <w:p>
      <w:r>
        <w:rPr>
          <w:rFonts w:ascii="Calibri" w:hAnsi="Calibri"/>
          <w:color w:val="111111"/>
          <w:sz w:val="22"/>
        </w:rPr>
        <w:t xml:space="preserve">The study tracker accumulates cross-subject processing status, QC metrics, model completion, atlas/ROI metrics, and anatomical volume statistics in an Excel workbook. Each populated sheet is also exported as a cohort CSV beneath a neighboring </w:t>
      </w:r>
      <w:r>
        <w:rPr>
          <w:rFonts w:ascii="Consolas" w:hAnsi="Consolas"/>
          <w:color w:val="18364A"/>
          <w:sz w:val="20"/>
        </w:rPr>
        <w:t>tracker_reports/</w:t>
      </w:r>
      <w:r>
        <w:rPr>
          <w:rFonts w:ascii="Calibri" w:hAnsi="Calibri"/>
          <w:color w:val="111111"/>
          <w:sz w:val="22"/>
        </w:rPr>
        <w:t xml:space="preserve"> directory.</w:t>
      </w:r>
    </w:p>
    <w:p>
      <w:r>
        <w:rPr>
          <w:rFonts w:ascii="Calibri" w:hAnsi="Calibri"/>
          <w:color w:val="111111"/>
          <w:sz w:val="22"/>
        </w:rPr>
        <w:t xml:space="preserve">For a local installation, install the tracker dependency set if it is not already present: </w:t>
      </w:r>
      <w:r>
        <w:rPr>
          <w:rFonts w:ascii="Consolas" w:hAnsi="Consolas"/>
          <w:color w:val="18364A"/>
          <w:sz w:val="20"/>
        </w:rPr>
        <w:t>pip install -e ".[tracker]"</w:t>
      </w:r>
      <w:r>
        <w:rPr>
          <w:rFonts w:ascii="Calibri" w:hAnsi="Calibri"/>
          <w:color w:val="111111"/>
          <w:sz w:val="22"/>
        </w:rPr>
        <w:t>.</w:t>
      </w:r>
    </w:p>
    <w:p>
      <w:pPr>
        <w:spacing w:before="60" w:after="160" w:line="240" w:lineRule="auto"/>
        <w:ind w:left="259" w:right="259"/>
        <w:shd w:fill="F4F6F9"/>
      </w:pPr>
      <w:r>
        <w:rPr>
          <w:rFonts w:ascii="Consolas" w:hAnsi="Consolas"/>
          <w:color w:val="18364A"/>
          <w:sz w:val="17"/>
        </w:rPr>
        <w:t>study_name: MyStudy</w:t>
        <w:br/>
      </w:r>
      <w:r>
        <w:rPr>
          <w:rFonts w:ascii="Consolas" w:hAnsi="Consolas"/>
          <w:color w:val="18364A"/>
          <w:sz w:val="17"/>
        </w:rPr>
        <w:br/>
      </w:r>
      <w:r>
        <w:rPr>
          <w:rFonts w:ascii="Consolas" w:hAnsi="Consolas"/>
          <w:color w:val="18364A"/>
          <w:sz w:val="17"/>
        </w:rPr>
        <w:t>tracker:</w:t>
        <w:br/>
      </w:r>
      <w:r>
        <w:rPr>
          <w:rFonts w:ascii="Consolas" w:hAnsi="Consolas"/>
          <w:color w:val="18364A"/>
          <w:sz w:val="17"/>
        </w:rPr>
        <w:t xml:space="preserve">  enabled: true</w:t>
        <w:br/>
      </w:r>
      <w:r>
        <w:rPr>
          <w:rFonts w:ascii="Consolas" w:hAnsi="Consolas"/>
          <w:color w:val="18364A"/>
          <w:sz w:val="17"/>
        </w:rPr>
        <w:t xml:space="preserve">  file: /study/derivatives/qmri-neuropipe/study_tracker.xlsx</w:t>
      </w:r>
    </w:p>
    <w:p>
      <w:r>
        <w:rPr>
          <w:rFonts w:ascii="Calibri" w:hAnsi="Calibri"/>
          <w:color w:val="111111"/>
          <w:sz w:val="22"/>
        </w:rPr>
        <w:t xml:space="preserve">Set </w:t>
      </w:r>
      <w:r>
        <w:rPr>
          <w:rFonts w:ascii="Consolas" w:hAnsi="Consolas"/>
          <w:color w:val="18364A"/>
          <w:sz w:val="20"/>
        </w:rPr>
        <w:t>tracker.file</w:t>
      </w:r>
      <w:r>
        <w:rPr>
          <w:rFonts w:ascii="Calibri" w:hAnsi="Calibri"/>
          <w:color w:val="111111"/>
          <w:sz w:val="22"/>
        </w:rPr>
        <w:t xml:space="preserve"> explicitly for a new workbook. For a local run, use a writable host path. For a container run, use a path visible inside the container, normally </w:t>
      </w:r>
      <w:r>
        <w:rPr>
          <w:rFonts w:ascii="Consolas" w:hAnsi="Consolas"/>
          <w:color w:val="18364A"/>
          <w:sz w:val="20"/>
        </w:rPr>
        <w:t>/out/study_tracker.xlsx</w:t>
      </w:r>
      <w:r>
        <w:rPr>
          <w:rFonts w:ascii="Calibri" w:hAnsi="Calibri"/>
          <w:color w:val="111111"/>
          <w:sz w:val="22"/>
        </w:rPr>
        <w:t>; non-core paths in the YAML are not automatically rewritten from host paths. The tracker workbook is the authoritative record; exported CSV files are regenerated from it.</w:t>
      </w:r>
    </w:p>
    <w:p>
      <w:r>
        <w:rPr>
          <w:rFonts w:ascii="Calibri" w:hAnsi="Calibri"/>
          <w:color w:val="111111"/>
          <w:sz w:val="22"/>
        </w:rPr>
        <w:t xml:space="preserve">Common sheets include </w:t>
      </w:r>
      <w:r>
        <w:rPr>
          <w:rFonts w:ascii="Consolas" w:hAnsi="Consolas"/>
          <w:color w:val="18364A"/>
          <w:sz w:val="20"/>
        </w:rPr>
        <w:t>Summary</w:t>
      </w:r>
      <w:r>
        <w:rPr>
          <w:rFonts w:ascii="Calibri" w:hAnsi="Calibri"/>
          <w:color w:val="111111"/>
          <w:sz w:val="22"/>
        </w:rPr>
        <w:t xml:space="preserve">, </w:t>
      </w:r>
      <w:r>
        <w:rPr>
          <w:rFonts w:ascii="Consolas" w:hAnsi="Consolas"/>
          <w:color w:val="18364A"/>
          <w:sz w:val="20"/>
        </w:rPr>
        <w:t>Processing_Status</w:t>
      </w:r>
      <w:r>
        <w:rPr>
          <w:rFonts w:ascii="Calibri" w:hAnsi="Calibri"/>
          <w:color w:val="111111"/>
          <w:sz w:val="22"/>
        </w:rPr>
        <w:t xml:space="preserve">, </w:t>
      </w:r>
      <w:r>
        <w:rPr>
          <w:rFonts w:ascii="Consolas" w:hAnsi="Consolas"/>
          <w:color w:val="18364A"/>
          <w:sz w:val="20"/>
        </w:rPr>
        <w:t>Anatomical_Status</w:t>
      </w:r>
      <w:r>
        <w:rPr>
          <w:rFonts w:ascii="Calibri" w:hAnsi="Calibri"/>
          <w:color w:val="111111"/>
          <w:sz w:val="22"/>
        </w:rPr>
        <w:t xml:space="preserve">, </w:t>
      </w:r>
      <w:r>
        <w:rPr>
          <w:rFonts w:ascii="Consolas" w:hAnsi="Consolas"/>
          <w:color w:val="18364A"/>
          <w:sz w:val="20"/>
        </w:rPr>
        <w:t>Diffusion_Status</w:t>
      </w:r>
      <w:r>
        <w:rPr>
          <w:rFonts w:ascii="Calibri" w:hAnsi="Calibri"/>
          <w:color w:val="111111"/>
          <w:sz w:val="22"/>
        </w:rPr>
        <w:t xml:space="preserve">, </w:t>
      </w:r>
      <w:r>
        <w:rPr>
          <w:rFonts w:ascii="Consolas" w:hAnsi="Consolas"/>
          <w:color w:val="18364A"/>
          <w:sz w:val="20"/>
        </w:rPr>
        <w:t>Relaxometry_Status</w:t>
      </w:r>
      <w:r>
        <w:rPr>
          <w:rFonts w:ascii="Calibri" w:hAnsi="Calibri"/>
          <w:color w:val="111111"/>
          <w:sz w:val="22"/>
        </w:rPr>
        <w:t xml:space="preserve">, </w:t>
      </w:r>
      <w:r>
        <w:rPr>
          <w:rFonts w:ascii="Consolas" w:hAnsi="Consolas"/>
          <w:color w:val="18364A"/>
          <w:sz w:val="20"/>
        </w:rPr>
        <w:t>Quality_Metrics</w:t>
      </w:r>
      <w:r>
        <w:rPr>
          <w:rFonts w:ascii="Calibri" w:hAnsi="Calibri"/>
          <w:color w:val="111111"/>
          <w:sz w:val="22"/>
        </w:rPr>
        <w:t xml:space="preserve">, per-atlas </w:t>
      </w:r>
      <w:r>
        <w:rPr>
          <w:rFonts w:ascii="Consolas" w:hAnsi="Consolas"/>
          <w:color w:val="18364A"/>
          <w:sz w:val="20"/>
        </w:rPr>
        <w:t>{Atlas}_Metrics</w:t>
      </w:r>
      <w:r>
        <w:rPr>
          <w:rFonts w:ascii="Calibri" w:hAnsi="Calibri"/>
          <w:color w:val="111111"/>
          <w:sz w:val="22"/>
        </w:rPr>
        <w:t xml:space="preserve">, </w:t>
      </w:r>
      <w:r>
        <w:rPr>
          <w:rFonts w:ascii="Consolas" w:hAnsi="Consolas"/>
          <w:color w:val="18364A"/>
          <w:sz w:val="20"/>
        </w:rPr>
        <w:t>Volume_Statistics</w:t>
      </w:r>
      <w:r>
        <w:rPr>
          <w:rFonts w:ascii="Calibri" w:hAnsi="Calibri"/>
          <w:color w:val="111111"/>
          <w:sz w:val="22"/>
        </w:rPr>
        <w:t xml:space="preserve">, </w:t>
      </w:r>
      <w:r>
        <w:rPr>
          <w:rFonts w:ascii="Consolas" w:hAnsi="Consolas"/>
          <w:color w:val="18364A"/>
          <w:sz w:val="20"/>
        </w:rPr>
        <w:t>Processing_Details</w:t>
      </w:r>
      <w:r>
        <w:rPr>
          <w:rFonts w:ascii="Calibri" w:hAnsi="Calibri"/>
          <w:color w:val="111111"/>
          <w:sz w:val="22"/>
        </w:rPr>
        <w:t xml:space="preserve">, and </w:t>
      </w:r>
      <w:r>
        <w:rPr>
          <w:rFonts w:ascii="Consolas" w:hAnsi="Consolas"/>
          <w:color w:val="18364A"/>
          <w:sz w:val="20"/>
        </w:rPr>
        <w:t>Alert_History</w:t>
      </w:r>
      <w:r>
        <w:rPr>
          <w:rFonts w:ascii="Calibri" w:hAnsi="Calibri"/>
          <w:color w:val="111111"/>
          <w:sz w:val="22"/>
        </w:rPr>
        <w:t>. Subjects/sessions are upserted so cached or targeted reruns update existing rows rather than creating duplicates.</w:t>
      </w:r>
    </w:p>
    <w:p>
      <w:r>
        <w:rPr>
          <w:rFonts w:ascii="Calibri" w:hAnsi="Calibri"/>
          <w:color w:val="111111"/>
          <w:sz w:val="22"/>
        </w:rPr>
        <w:t xml:space="preserve">Parallel workers serialize writes with a neighboring </w:t>
      </w:r>
      <w:r>
        <w:rPr>
          <w:rFonts w:ascii="Consolas" w:hAnsi="Consolas"/>
          <w:color w:val="18364A"/>
          <w:sz w:val="20"/>
        </w:rPr>
        <w:t>.lock</w:t>
      </w:r>
      <w:r>
        <w:rPr>
          <w:rFonts w:ascii="Calibri" w:hAnsi="Calibri"/>
          <w:color w:val="111111"/>
          <w:sz w:val="22"/>
        </w:rPr>
        <w:t xml:space="preserve"> file. If an interrupted process leaves a stale lock, confirm that no tracker writer is active before removing it. A lock timeout can cause a tracker update to be skipped even when image processing succeeds; review logs and confirm that every intended participant/session appears in the workbook and exported CSVs.</w:t>
      </w:r>
    </w:p>
    <w:p>
      <w:pPr>
        <w:pStyle w:val="Heading2"/>
      </w:pPr>
      <w:r>
        <w:rPr>
          <w:rFonts w:ascii="Calibri" w:hAnsi="Calibri"/>
          <w:b/>
          <w:color w:val="2E5D7B"/>
          <w:sz w:val="26"/>
        </w:rPr>
        <w:t>13.2 Tracker operating procedure</w:t>
      </w:r>
    </w:p>
    <w:p>
      <w:pPr>
        <w:numPr>
          <w:ilvl w:val="0"/>
          <w:numId w:val="15"/>
        </w:numPr>
      </w:pPr>
      <w:r>
        <w:rPr>
          <w:rFonts w:ascii="Calibri" w:hAnsi="Calibri"/>
          <w:color w:val="111111"/>
          <w:sz w:val="22"/>
        </w:rPr>
        <w:t>Create one study-approved workbook path and keep it stable across cohort runs.</w:t>
      </w:r>
    </w:p>
    <w:p>
      <w:pPr>
        <w:numPr>
          <w:ilvl w:val="0"/>
          <w:numId w:val="15"/>
        </w:numPr>
      </w:pPr>
      <w:r>
        <w:rPr>
          <w:rFonts w:ascii="Calibri" w:hAnsi="Calibri"/>
          <w:color w:val="111111"/>
          <w:sz w:val="22"/>
        </w:rPr>
        <w:t>Verify output permissions before the pilot and back up the workbook with the derivatives.</w:t>
      </w:r>
    </w:p>
    <w:p>
      <w:pPr>
        <w:numPr>
          <w:ilvl w:val="0"/>
          <w:numId w:val="15"/>
        </w:numPr>
      </w:pPr>
      <w:r>
        <w:rPr>
          <w:rFonts w:ascii="Calibri" w:hAnsi="Calibri"/>
          <w:color w:val="111111"/>
          <w:sz w:val="22"/>
        </w:rPr>
        <w:t>After each batch, compare intended participant/session pairs with tracker rows and derivative inventories.</w:t>
      </w:r>
    </w:p>
    <w:p>
      <w:pPr>
        <w:numPr>
          <w:ilvl w:val="0"/>
          <w:numId w:val="15"/>
        </w:numPr>
      </w:pPr>
      <w:r>
        <w:rPr>
          <w:rFonts w:ascii="Calibri" w:hAnsi="Calibri"/>
          <w:color w:val="111111"/>
          <w:sz w:val="22"/>
        </w:rPr>
        <w:t>Review status, QC, atlas, volume, processing-detail, and alert sheets as applicable.</w:t>
      </w:r>
    </w:p>
    <w:p>
      <w:pPr>
        <w:numPr>
          <w:ilvl w:val="0"/>
          <w:numId w:val="15"/>
        </w:numPr>
      </w:pPr>
      <w:r>
        <w:rPr>
          <w:rFonts w:ascii="Calibri" w:hAnsi="Calibri"/>
          <w:color w:val="111111"/>
          <w:sz w:val="22"/>
        </w:rPr>
        <w:t>Resolve missing rows or lock warnings before declaring the batch complete.</w:t>
      </w:r>
    </w:p>
    <w:p>
      <w:pPr>
        <w:numPr>
          <w:ilvl w:val="0"/>
          <w:numId w:val="15"/>
        </w:numPr>
      </w:pPr>
      <w:r>
        <w:rPr>
          <w:rFonts w:ascii="Calibri" w:hAnsi="Calibri"/>
          <w:color w:val="111111"/>
          <w:sz w:val="22"/>
        </w:rPr>
        <w:t>Treat the workbook as the authoritative tracker; regenerate cohort CSVs from it rather than editing exports manually.</w:t>
      </w:r>
    </w:p>
    <w:p>
      <w:pPr>
        <w:pStyle w:val="Heading1"/>
      </w:pPr>
      <w:bookmarkStart w:id="659" w:name="Section_14_Validation_and_execution"/>
      <w:r>
        <w:rPr>
          <w:rFonts w:ascii="Calibri" w:hAnsi="Calibri"/>
          <w:b/>
          <w:color w:val="2E5D7B"/>
          <w:sz w:val="32"/>
        </w:rPr>
        <w:t>14. Validation and execution</w:t>
      </w:r>
      <w:bookmarkEnd w:id="659"/>
    </w:p>
    <w:p>
      <w:pPr>
        <w:pStyle w:val="Heading2"/>
      </w:pPr>
      <w:r>
        <w:rPr>
          <w:rFonts w:ascii="Calibri" w:hAnsi="Calibri"/>
          <w:b/>
          <w:color w:val="2E5D7B"/>
          <w:sz w:val="26"/>
        </w:rPr>
        <w:t>14.1 Validate the configuration</w:t>
      </w:r>
    </w:p>
    <w:p>
      <w:r>
        <w:rPr>
          <w:rFonts w:ascii="Calibri" w:hAnsi="Calibri"/>
          <w:color w:val="111111"/>
          <w:sz w:val="22"/>
        </w:rPr>
        <w:t>Local validation:</w:t>
      </w:r>
    </w:p>
    <w:p>
      <w:pPr>
        <w:spacing w:before="60" w:after="160" w:line="240" w:lineRule="auto"/>
        <w:ind w:left="259" w:right="259"/>
        <w:shd w:fill="F4F6F9"/>
      </w:pPr>
      <w:r>
        <w:rPr>
          <w:rFonts w:ascii="Consolas" w:hAnsi="Consolas"/>
          <w:color w:val="18364A"/>
          <w:sz w:val="17"/>
        </w:rPr>
        <w:t>qmri-neuropipe run --config /study/code/qmri_dmri.yaml \</w:t>
        <w:br/>
      </w:r>
      <w:r>
        <w:rPr>
          <w:rFonts w:ascii="Consolas" w:hAnsi="Consolas"/>
          <w:color w:val="18364A"/>
          <w:sz w:val="17"/>
        </w:rPr>
        <w:t xml:space="preserve">  --participant-label sub-001 --session-label ses-01 \</w:t>
        <w:br/>
      </w:r>
      <w:r>
        <w:rPr>
          <w:rFonts w:ascii="Consolas" w:hAnsi="Consolas"/>
          <w:color w:val="18364A"/>
          <w:sz w:val="17"/>
        </w:rPr>
        <w:t xml:space="preserve">  --dry-run --verbose</w:t>
      </w:r>
    </w:p>
    <w:p>
      <w:r>
        <w:rPr>
          <w:rFonts w:ascii="Calibri" w:hAnsi="Calibri"/>
          <w:color w:val="111111"/>
          <w:sz w:val="22"/>
        </w:rPr>
        <w:t>Container launch check:</w:t>
      </w:r>
    </w:p>
    <w:p>
      <w:pPr>
        <w:spacing w:before="60" w:after="160" w:line="240" w:lineRule="auto"/>
        <w:ind w:left="259" w:right="259"/>
        <w:shd w:fill="F4F6F9"/>
      </w:pPr>
      <w:r>
        <w:rPr>
          <w:rFonts w:ascii="Consolas" w:hAnsi="Consolas"/>
          <w:color w:val="18364A"/>
          <w:sz w:val="17"/>
        </w:rPr>
        <w:t>qmri-neuropipe container \</w:t>
        <w:br/>
      </w:r>
      <w:r>
        <w:rPr>
          <w:rFonts w:ascii="Consolas" w:hAnsi="Consolas"/>
          <w:color w:val="18364A"/>
          <w:sz w:val="17"/>
        </w:rPr>
        <w:t xml:space="preserve">  --container-image /containers/qmri-neuropipe.sif \</w:t>
        <w:br/>
      </w:r>
      <w:r>
        <w:rPr>
          <w:rFonts w:ascii="Consolas" w:hAnsi="Consolas"/>
          <w:color w:val="18364A"/>
          <w:sz w:val="17"/>
        </w:rPr>
        <w:t xml:space="preserve">  --config /study/code/qmri_dmri.yaml \</w:t>
        <w:br/>
      </w:r>
      <w:r>
        <w:rPr>
          <w:rFonts w:ascii="Consolas" w:hAnsi="Consolas"/>
          <w:color w:val="18364A"/>
          <w:sz w:val="17"/>
        </w:rPr>
        <w:t xml:space="preserve">  --participant-label sub-001 --session-label ses-01 \</w:t>
        <w:br/>
      </w:r>
      <w:r>
        <w:rPr>
          <w:rFonts w:ascii="Consolas" w:hAnsi="Consolas"/>
          <w:color w:val="18364A"/>
          <w:sz w:val="17"/>
        </w:rPr>
        <w:t xml:space="preserve">  --dry-run</w:t>
      </w:r>
    </w:p>
    <w:p>
      <w:r>
        <w:rPr>
          <w:rFonts w:ascii="Calibri" w:hAnsi="Calibri"/>
          <w:color w:val="111111"/>
          <w:sz w:val="22"/>
        </w:rPr>
        <w:t>Container pipeline validation:</w:t>
      </w:r>
    </w:p>
    <w:p>
      <w:pPr>
        <w:spacing w:before="60" w:after="160" w:line="240" w:lineRule="auto"/>
        <w:ind w:left="259" w:right="259"/>
        <w:shd w:fill="F4F6F9"/>
      </w:pPr>
      <w:r>
        <w:rPr>
          <w:rFonts w:ascii="Consolas" w:hAnsi="Consolas"/>
          <w:color w:val="18364A"/>
          <w:sz w:val="17"/>
        </w:rPr>
        <w:t>qmri-neuropipe container \</w:t>
        <w:br/>
      </w:r>
      <w:r>
        <w:rPr>
          <w:rFonts w:ascii="Consolas" w:hAnsi="Consolas"/>
          <w:color w:val="18364A"/>
          <w:sz w:val="17"/>
        </w:rPr>
        <w:t xml:space="preserve">  --container-image /containers/qmri-neuropipe.sif \</w:t>
        <w:br/>
      </w:r>
      <w:r>
        <w:rPr>
          <w:rFonts w:ascii="Consolas" w:hAnsi="Consolas"/>
          <w:color w:val="18364A"/>
          <w:sz w:val="17"/>
        </w:rPr>
        <w:t xml:space="preserve">  --config /study/code/qmri_dmri.yaml \</w:t>
        <w:br/>
      </w:r>
      <w:r>
        <w:rPr>
          <w:rFonts w:ascii="Consolas" w:hAnsi="Consolas"/>
          <w:color w:val="18364A"/>
          <w:sz w:val="17"/>
        </w:rPr>
        <w:t xml:space="preserve">  --participant-label sub-001 --session-label ses-01 \</w:t>
        <w:br/>
      </w:r>
      <w:r>
        <w:rPr>
          <w:rFonts w:ascii="Consolas" w:hAnsi="Consolas"/>
          <w:color w:val="18364A"/>
          <w:sz w:val="17"/>
        </w:rPr>
        <w:t xml:space="preserve">  --extra-arg=--dry-run --extra-arg=--verbose</w:t>
      </w:r>
    </w:p>
    <w:p>
      <w:r>
        <w:rPr>
          <w:rFonts w:ascii="Calibri" w:hAnsi="Calibri"/>
          <w:color w:val="111111"/>
          <w:sz w:val="22"/>
        </w:rPr>
        <w:t xml:space="preserve">Acceptance criteria: no configuration error, expected core paths and resources, correct </w:t>
      </w:r>
      <w:r>
        <w:rPr>
          <w:rFonts w:ascii="Consolas" w:hAnsi="Consolas"/>
          <w:color w:val="18364A"/>
          <w:sz w:val="20"/>
        </w:rPr>
        <w:t>anat</w:t>
      </w:r>
      <w:r>
        <w:rPr>
          <w:rFonts w:ascii="Calibri" w:hAnsi="Calibri"/>
          <w:color w:val="111111"/>
          <w:sz w:val="22"/>
        </w:rPr>
        <w:t xml:space="preserve">, </w:t>
      </w:r>
      <w:r>
        <w:rPr>
          <w:rFonts w:ascii="Consolas" w:hAnsi="Consolas"/>
          <w:color w:val="18364A"/>
          <w:sz w:val="20"/>
        </w:rPr>
        <w:t>dmri</w:t>
      </w:r>
      <w:r>
        <w:rPr>
          <w:rFonts w:ascii="Calibri" w:hAnsi="Calibri"/>
          <w:color w:val="111111"/>
          <w:sz w:val="22"/>
        </w:rPr>
        <w:t xml:space="preserve">, or </w:t>
      </w:r>
      <w:r>
        <w:rPr>
          <w:rFonts w:ascii="Consolas" w:hAnsi="Consolas"/>
          <w:color w:val="18364A"/>
          <w:sz w:val="20"/>
        </w:rPr>
        <w:t>relaxometry</w:t>
      </w:r>
      <w:r>
        <w:rPr>
          <w:rFonts w:ascii="Calibri" w:hAnsi="Calibri"/>
          <w:color w:val="111111"/>
          <w:sz w:val="22"/>
        </w:rPr>
        <w:t xml:space="preserve"> pipeline, expected participant/session scope, and recognition of all required inputs. On a CPU-only host add </w:t>
      </w:r>
      <w:r>
        <w:rPr>
          <w:rFonts w:ascii="Consolas" w:hAnsi="Consolas"/>
          <w:color w:val="18364A"/>
          <w:sz w:val="20"/>
        </w:rPr>
        <w:t>--no-nv --no-gpu</w:t>
      </w:r>
      <w:r>
        <w:rPr>
          <w:rFonts w:ascii="Calibri" w:hAnsi="Calibri"/>
          <w:color w:val="111111"/>
          <w:sz w:val="22"/>
        </w:rPr>
        <w:t>.</w:t>
      </w:r>
    </w:p>
    <w:p>
      <w:pPr>
        <w:pStyle w:val="Heading2"/>
      </w:pPr>
      <w:r>
        <w:rPr>
          <w:rFonts w:ascii="Calibri" w:hAnsi="Calibri"/>
          <w:b/>
          <w:color w:val="2E5D7B"/>
          <w:sz w:val="26"/>
        </w:rPr>
        <w:t>14.2 Run a pilot participant/session</w:t>
      </w:r>
    </w:p>
    <w:p>
      <w:r>
        <w:rPr>
          <w:rFonts w:ascii="Calibri" w:hAnsi="Calibri"/>
          <w:color w:val="111111"/>
          <w:sz w:val="22"/>
        </w:rPr>
        <w:t>Local execution:</w:t>
      </w:r>
    </w:p>
    <w:p>
      <w:pPr>
        <w:spacing w:before="60" w:after="160" w:line="240" w:lineRule="auto"/>
        <w:ind w:left="259" w:right="259"/>
        <w:shd w:fill="F4F6F9"/>
      </w:pPr>
      <w:r>
        <w:rPr>
          <w:rFonts w:ascii="Consolas" w:hAnsi="Consolas"/>
          <w:color w:val="18364A"/>
          <w:sz w:val="17"/>
        </w:rPr>
        <w:t>qmri-neuropipe run --config /study/code/qmri_dmri.yaml \</w:t>
        <w:br/>
      </w:r>
      <w:r>
        <w:rPr>
          <w:rFonts w:ascii="Consolas" w:hAnsi="Consolas"/>
          <w:color w:val="18364A"/>
          <w:sz w:val="17"/>
        </w:rPr>
        <w:t xml:space="preserve">  --participant-label sub-001 --session-label ses-01</w:t>
      </w:r>
    </w:p>
    <w:p>
      <w:r>
        <w:rPr>
          <w:rFonts w:ascii="Calibri" w:hAnsi="Calibri"/>
          <w:color w:val="111111"/>
          <w:sz w:val="22"/>
        </w:rPr>
        <w:t>Container execution:</w:t>
      </w:r>
    </w:p>
    <w:p>
      <w:pPr>
        <w:spacing w:before="60" w:after="160" w:line="240" w:lineRule="auto"/>
        <w:ind w:left="259" w:right="259"/>
        <w:shd w:fill="F4F6F9"/>
      </w:pPr>
      <w:r>
        <w:rPr>
          <w:rFonts w:ascii="Consolas" w:hAnsi="Consolas"/>
          <w:color w:val="18364A"/>
          <w:sz w:val="17"/>
        </w:rPr>
        <w:t>qmri-neuropipe container \</w:t>
        <w:br/>
      </w:r>
      <w:r>
        <w:rPr>
          <w:rFonts w:ascii="Consolas" w:hAnsi="Consolas"/>
          <w:color w:val="18364A"/>
          <w:sz w:val="17"/>
        </w:rPr>
        <w:t xml:space="preserve">  --container-image /containers/qmri-neuropipe.sif \</w:t>
        <w:br/>
      </w:r>
      <w:r>
        <w:rPr>
          <w:rFonts w:ascii="Consolas" w:hAnsi="Consolas"/>
          <w:color w:val="18364A"/>
          <w:sz w:val="17"/>
        </w:rPr>
        <w:t xml:space="preserve">  --config /study/code/qmri_dmri.yaml \</w:t>
        <w:br/>
      </w:r>
      <w:r>
        <w:rPr>
          <w:rFonts w:ascii="Consolas" w:hAnsi="Consolas"/>
          <w:color w:val="18364A"/>
          <w:sz w:val="17"/>
        </w:rPr>
        <w:t xml:space="preserve">  --participant-label sub-001 --session-label ses-01 \</w:t>
        <w:br/>
      </w:r>
      <w:r>
        <w:rPr>
          <w:rFonts w:ascii="Consolas" w:hAnsi="Consolas"/>
          <w:color w:val="18364A"/>
          <w:sz w:val="17"/>
        </w:rPr>
        <w:t xml:space="preserve">  --n-cpus 8 --memory-gb 32</w:t>
      </w:r>
    </w:p>
    <w:p>
      <w:r>
        <w:rPr>
          <w:rFonts w:ascii="Calibri" w:hAnsi="Calibri"/>
          <w:color w:val="111111"/>
          <w:sz w:val="22"/>
        </w:rPr>
        <w:t xml:space="preserve">The wrapper mounts BIDS at </w:t>
      </w:r>
      <w:r>
        <w:rPr>
          <w:rFonts w:ascii="Consolas" w:hAnsi="Consolas"/>
          <w:color w:val="18364A"/>
          <w:sz w:val="20"/>
        </w:rPr>
        <w:t>/data</w:t>
      </w:r>
      <w:r>
        <w:rPr>
          <w:rFonts w:ascii="Calibri" w:hAnsi="Calibri"/>
          <w:color w:val="111111"/>
          <w:sz w:val="22"/>
        </w:rPr>
        <w:t xml:space="preserve"> read-only, output at </w:t>
      </w:r>
      <w:r>
        <w:rPr>
          <w:rFonts w:ascii="Consolas" w:hAnsi="Consolas"/>
          <w:color w:val="18364A"/>
          <w:sz w:val="20"/>
        </w:rPr>
        <w:t>/out</w:t>
      </w:r>
      <w:r>
        <w:rPr>
          <w:rFonts w:ascii="Calibri" w:hAnsi="Calibri"/>
          <w:color w:val="111111"/>
          <w:sz w:val="22"/>
        </w:rPr>
        <w:t xml:space="preserve">, work at </w:t>
      </w:r>
      <w:r>
        <w:rPr>
          <w:rFonts w:ascii="Consolas" w:hAnsi="Consolas"/>
          <w:color w:val="18364A"/>
          <w:sz w:val="20"/>
        </w:rPr>
        <w:t>/work</w:t>
      </w:r>
      <w:r>
        <w:rPr>
          <w:rFonts w:ascii="Calibri" w:hAnsi="Calibri"/>
          <w:color w:val="111111"/>
          <w:sz w:val="22"/>
        </w:rPr>
        <w:t xml:space="preserve">, and copied support files at </w:t>
      </w:r>
      <w:r>
        <w:rPr>
          <w:rFonts w:ascii="Consolas" w:hAnsi="Consolas"/>
          <w:color w:val="18364A"/>
          <w:sz w:val="20"/>
        </w:rPr>
        <w:t>/config</w:t>
      </w:r>
      <w:r>
        <w:rPr>
          <w:rFonts w:ascii="Calibri" w:hAnsi="Calibri"/>
          <w:color w:val="111111"/>
          <w:sz w:val="22"/>
        </w:rPr>
        <w:t xml:space="preserve">. Use </w:t>
      </w:r>
      <w:r>
        <w:rPr>
          <w:rFonts w:ascii="Consolas" w:hAnsi="Consolas"/>
          <w:color w:val="18364A"/>
          <w:sz w:val="20"/>
        </w:rPr>
        <w:t>--bind</w:t>
      </w:r>
      <w:r>
        <w:rPr>
          <w:rFonts w:ascii="Calibri" w:hAnsi="Calibri"/>
          <w:color w:val="111111"/>
          <w:sz w:val="22"/>
        </w:rPr>
        <w:t xml:space="preserve"> for any other referenced path. Provide </w:t>
      </w:r>
      <w:r>
        <w:rPr>
          <w:rFonts w:ascii="Consolas" w:hAnsi="Consolas"/>
          <w:color w:val="18364A"/>
          <w:sz w:val="20"/>
        </w:rPr>
        <w:t>--freesurfer-license</w:t>
      </w:r>
      <w:r>
        <w:rPr>
          <w:rFonts w:ascii="Calibri" w:hAnsi="Calibri"/>
          <w:color w:val="111111"/>
          <w:sz w:val="22"/>
        </w:rPr>
        <w:t xml:space="preserve"> when required. A file supplied with </w:t>
      </w:r>
      <w:r>
        <w:rPr>
          <w:rFonts w:ascii="Consolas" w:hAnsi="Consolas"/>
          <w:color w:val="18364A"/>
          <w:sz w:val="20"/>
        </w:rPr>
        <w:t>--gnl-coeff-file</w:t>
      </w:r>
      <w:r>
        <w:rPr>
          <w:rFonts w:ascii="Calibri" w:hAnsi="Calibri"/>
          <w:color w:val="111111"/>
          <w:sz w:val="22"/>
        </w:rPr>
        <w:t xml:space="preserve"> is copied into </w:t>
      </w:r>
      <w:r>
        <w:rPr>
          <w:rFonts w:ascii="Consolas" w:hAnsi="Consolas"/>
          <w:color w:val="18364A"/>
          <w:sz w:val="20"/>
        </w:rPr>
        <w:t>/config</w:t>
      </w:r>
      <w:r>
        <w:rPr>
          <w:rFonts w:ascii="Calibri" w:hAnsi="Calibri"/>
          <w:color w:val="111111"/>
          <w:sz w:val="22"/>
        </w:rPr>
        <w:t xml:space="preserve"> and must be referenced there by basename in the YAML.</w:t>
      </w:r>
    </w:p>
    <w:p>
      <w:pPr>
        <w:pStyle w:val="Heading2"/>
      </w:pPr>
      <w:r>
        <w:rPr>
          <w:rFonts w:ascii="Calibri" w:hAnsi="Calibri"/>
          <w:b/>
          <w:color w:val="2E5D7B"/>
          <w:sz w:val="26"/>
        </w:rPr>
        <w:t>14.3 Monitor execution</w:t>
      </w:r>
    </w:p>
    <w:p>
      <w:r>
        <w:rPr>
          <w:rFonts w:ascii="Calibri" w:hAnsi="Calibri"/>
          <w:color w:val="111111"/>
          <w:sz w:val="22"/>
        </w:rPr>
        <w:t>Monitor terminal/log output, scheduler resource usage, disk space, and failure messages. Do not modify the YAML during an active run. Record unexpected warnings and the last completed step. If a run fails, preserve all artifacts and follow Section 8.</w:t>
      </w:r>
    </w:p>
    <w:p>
      <w:pPr>
        <w:pStyle w:val="Heading1"/>
      </w:pPr>
      <w:bookmarkStart w:id="718" w:name="Section_15_Quality_control"/>
      <w:r>
        <w:rPr>
          <w:rFonts w:ascii="Calibri" w:hAnsi="Calibri"/>
          <w:b/>
          <w:color w:val="2E5D7B"/>
          <w:sz w:val="32"/>
        </w:rPr>
        <w:t>15. Quality control</w:t>
      </w:r>
      <w:bookmarkEnd w:id="718"/>
    </w:p>
    <w:p>
      <w:pPr>
        <w:pStyle w:val="Heading2"/>
      </w:pPr>
      <w:r>
        <w:rPr>
          <w:rFonts w:ascii="Calibri" w:hAnsi="Calibri"/>
          <w:b/>
          <w:color w:val="2E5D7B"/>
          <w:sz w:val="26"/>
        </w:rPr>
        <w:t>15.1 Common technical and visual QC</w:t>
      </w:r>
    </w:p>
    <w:p>
      <w:r>
        <w:rPr>
          <w:rFonts w:ascii="Calibri" w:hAnsi="Calibri"/>
          <w:color w:val="111111"/>
          <w:sz w:val="22"/>
        </w:rPr>
        <w:t>Before cohort processing, verify the common items:</w:t>
      </w:r>
    </w:p>
    <w:p>
      <w:pPr>
        <w:numPr>
          <w:ilvl w:val="0"/>
          <w:numId w:val="10"/>
        </w:numPr>
      </w:pPr>
      <w:r>
        <w:rPr>
          <w:rFonts w:ascii="Calibri" w:hAnsi="Calibri"/>
          <w:color w:val="111111"/>
          <w:sz w:val="22"/>
        </w:rPr>
        <w:t>expected participant/session derivatives and sidecars exist;</w:t>
      </w:r>
    </w:p>
    <w:p>
      <w:pPr>
        <w:numPr>
          <w:ilvl w:val="0"/>
          <w:numId w:val="10"/>
        </w:numPr>
      </w:pPr>
      <w:r>
        <w:rPr>
          <w:rFonts w:ascii="Calibri" w:hAnsi="Calibri"/>
          <w:color w:val="111111"/>
          <w:sz w:val="22"/>
        </w:rPr>
        <w:t xml:space="preserve">logs and </w:t>
      </w:r>
      <w:r>
        <w:rPr>
          <w:rFonts w:ascii="Consolas" w:hAnsi="Consolas"/>
          <w:color w:val="18364A"/>
          <w:sz w:val="20"/>
        </w:rPr>
        <w:t>provenance.json</w:t>
      </w:r>
      <w:r>
        <w:rPr>
          <w:rFonts w:ascii="Calibri" w:hAnsi="Calibri"/>
          <w:color w:val="111111"/>
          <w:sz w:val="22"/>
        </w:rPr>
        <w:t xml:space="preserve"> record commands and return codes;</w:t>
      </w:r>
    </w:p>
    <w:p>
      <w:pPr>
        <w:numPr>
          <w:ilvl w:val="0"/>
          <w:numId w:val="10"/>
        </w:numPr>
      </w:pPr>
      <w:r>
        <w:rPr>
          <w:rFonts w:ascii="Calibri" w:hAnsi="Calibri"/>
          <w:color w:val="111111"/>
          <w:sz w:val="22"/>
        </w:rPr>
        <w:t>report generation succeeds when enabled;</w:t>
      </w:r>
    </w:p>
    <w:p>
      <w:pPr>
        <w:numPr>
          <w:ilvl w:val="0"/>
          <w:numId w:val="10"/>
        </w:numPr>
      </w:pPr>
      <w:r>
        <w:rPr>
          <w:rFonts w:ascii="Calibri" w:hAnsi="Calibri"/>
          <w:color w:val="111111"/>
          <w:sz w:val="22"/>
        </w:rPr>
        <w:t>image orientation and dimensions are plausible;</w:t>
      </w:r>
    </w:p>
    <w:p>
      <w:pPr>
        <w:numPr>
          <w:ilvl w:val="0"/>
          <w:numId w:val="10"/>
        </w:numPr>
      </w:pPr>
      <w:r>
        <w:rPr>
          <w:rFonts w:ascii="Calibri" w:hAnsi="Calibri"/>
          <w:color w:val="111111"/>
          <w:sz w:val="22"/>
        </w:rPr>
        <w:t>DWI gradients align with the images;</w:t>
      </w:r>
    </w:p>
    <w:p>
      <w:pPr>
        <w:numPr>
          <w:ilvl w:val="0"/>
          <w:numId w:val="10"/>
        </w:numPr>
      </w:pPr>
      <w:r>
        <w:rPr>
          <w:rFonts w:ascii="Calibri" w:hAnsi="Calibri"/>
          <w:color w:val="111111"/>
          <w:sz w:val="22"/>
        </w:rPr>
        <w:t>denoising and Gibbs correction introduce no obvious artifacts;</w:t>
      </w:r>
    </w:p>
    <w:p>
      <w:pPr>
        <w:numPr>
          <w:ilvl w:val="0"/>
          <w:numId w:val="10"/>
        </w:numPr>
      </w:pPr>
      <w:r>
        <w:rPr>
          <w:rFonts w:ascii="Calibri" w:hAnsi="Calibri"/>
          <w:color w:val="111111"/>
          <w:sz w:val="22"/>
        </w:rPr>
        <w:t>distortion and motion/eddy correction are plausible;</w:t>
      </w:r>
    </w:p>
    <w:p>
      <w:pPr>
        <w:numPr>
          <w:ilvl w:val="0"/>
          <w:numId w:val="10"/>
        </w:numPr>
      </w:pPr>
      <w:r>
        <w:rPr>
          <w:rFonts w:ascii="Calibri" w:hAnsi="Calibri"/>
          <w:color w:val="111111"/>
          <w:sz w:val="22"/>
        </w:rPr>
        <w:t>brain masks do not omit brain or include excessive non-brain tissue;</w:t>
      </w:r>
    </w:p>
    <w:p>
      <w:pPr>
        <w:numPr>
          <w:ilvl w:val="0"/>
          <w:numId w:val="10"/>
        </w:numPr>
      </w:pPr>
      <w:r>
        <w:rPr>
          <w:rFonts w:ascii="Calibri" w:hAnsi="Calibri"/>
          <w:color w:val="111111"/>
          <w:sz w:val="22"/>
        </w:rPr>
        <w:t>anatomical-to-DWI registration is anatomically plausible;</w:t>
      </w:r>
    </w:p>
    <w:p>
      <w:pPr>
        <w:numPr>
          <w:ilvl w:val="0"/>
          <w:numId w:val="10"/>
        </w:numPr>
      </w:pPr>
      <w:r>
        <w:rPr>
          <w:rFonts w:ascii="Calibri" w:hAnsi="Calibri"/>
          <w:color w:val="111111"/>
          <w:sz w:val="22"/>
        </w:rPr>
        <w:t>quantitative maps and ROI summaries are finite, spatially plausible, and complete.</w:t>
      </w:r>
    </w:p>
    <w:p>
      <w:r>
        <w:rPr>
          <w:rFonts w:ascii="Calibri" w:hAnsi="Calibri"/>
          <w:color w:val="111111"/>
          <w:sz w:val="22"/>
        </w:rPr>
        <w:t>Apply the track-specific QC checks below.</w:t>
      </w:r>
    </w:p>
    <w:p>
      <w:pPr>
        <w:pStyle w:val="Heading2"/>
      </w:pPr>
      <w:r>
        <w:rPr>
          <w:rFonts w:ascii="Calibri" w:hAnsi="Calibri"/>
          <w:b/>
          <w:color w:val="2E5D7B"/>
          <w:sz w:val="26"/>
        </w:rPr>
        <w:t>15.2 Anatomical QC</w:t>
      </w:r>
    </w:p>
    <w:p>
      <w:pPr>
        <w:numPr>
          <w:ilvl w:val="0"/>
          <w:numId w:val="10"/>
        </w:numPr>
      </w:pPr>
      <w:r>
        <w:rPr>
          <w:rFonts w:ascii="Calibri" w:hAnsi="Calibri"/>
          <w:color w:val="111111"/>
          <w:sz w:val="22"/>
        </w:rPr>
        <w:t>Confirm T1w/T2w selection, orientation, bias correction, brain mask coverage, tissue contrast, and cross-contrast coregistration.</w:t>
      </w:r>
    </w:p>
    <w:p>
      <w:pPr>
        <w:numPr>
          <w:ilvl w:val="0"/>
          <w:numId w:val="10"/>
        </w:numPr>
      </w:pPr>
      <w:r>
        <w:rPr>
          <w:rFonts w:ascii="Calibri" w:hAnsi="Calibri"/>
          <w:color w:val="111111"/>
          <w:sz w:val="22"/>
        </w:rPr>
        <w:t>When enabled, review normalization overlays, FreeSurfer reconstruction, segmentation labels, and regional volumes.</w:t>
      </w:r>
    </w:p>
    <w:p>
      <w:pPr>
        <w:pStyle w:val="Heading2"/>
      </w:pPr>
      <w:r>
        <w:rPr>
          <w:rFonts w:ascii="Calibri" w:hAnsi="Calibri"/>
          <w:b/>
          <w:color w:val="2E5D7B"/>
          <w:sz w:val="26"/>
        </w:rPr>
        <w:t>15.3 Diffusion QC</w:t>
      </w:r>
    </w:p>
    <w:p>
      <w:pPr>
        <w:numPr>
          <w:ilvl w:val="0"/>
          <w:numId w:val="10"/>
        </w:numPr>
      </w:pPr>
      <w:r>
        <w:rPr>
          <w:rFonts w:ascii="Calibri" w:hAnsi="Calibri"/>
          <w:color w:val="111111"/>
          <w:sz w:val="22"/>
        </w:rPr>
        <w:t>Confirm gradient count/orientation, b-value shells, susceptibility correction, motion/eddy results, outlier handling, brain mask, and anatomical coregistration.</w:t>
      </w:r>
    </w:p>
    <w:p>
      <w:pPr>
        <w:numPr>
          <w:ilvl w:val="0"/>
          <w:numId w:val="10"/>
        </w:numPr>
      </w:pPr>
      <w:r>
        <w:rPr>
          <w:rFonts w:ascii="Calibri" w:hAnsi="Calibri"/>
          <w:color w:val="111111"/>
          <w:sz w:val="22"/>
        </w:rPr>
        <w:t>Review DTI or other model maps for expected anatomy, artifacts, missing voxels, and implausible parameter values.</w:t>
      </w:r>
    </w:p>
    <w:p>
      <w:pPr>
        <w:pStyle w:val="Heading2"/>
      </w:pPr>
      <w:r>
        <w:rPr>
          <w:rFonts w:ascii="Calibri" w:hAnsi="Calibri"/>
          <w:b/>
          <w:color w:val="2E5D7B"/>
          <w:sz w:val="26"/>
        </w:rPr>
        <w:t>15.4 Relaxometry and mcDESPOT QC</w:t>
      </w:r>
    </w:p>
    <w:p>
      <w:pPr>
        <w:numPr>
          <w:ilvl w:val="0"/>
          <w:numId w:val="10"/>
        </w:numPr>
      </w:pPr>
      <w:r>
        <w:rPr>
          <w:rFonts w:ascii="Calibri" w:hAnsi="Calibri"/>
          <w:color w:val="111111"/>
          <w:sz w:val="22"/>
        </w:rPr>
        <w:t>Confirm all expected SPGR/SSFP flip-angle and phase-cycling volumes were discovered and that any exclusions were intentional and documented.</w:t>
      </w:r>
    </w:p>
    <w:p>
      <w:pPr>
        <w:numPr>
          <w:ilvl w:val="0"/>
          <w:numId w:val="10"/>
        </w:numPr>
      </w:pPr>
      <w:r>
        <w:rPr>
          <w:rFonts w:ascii="Calibri" w:hAnsi="Calibri"/>
          <w:color w:val="111111"/>
          <w:sz w:val="22"/>
        </w:rPr>
        <w:t>Review within-series motion correction, SPGR reference generation, B1/AFI registration and scale, masking, and DESPOT1 T1/M0 maps.</w:t>
      </w:r>
    </w:p>
    <w:p>
      <w:pPr>
        <w:numPr>
          <w:ilvl w:val="0"/>
          <w:numId w:val="10"/>
        </w:numPr>
      </w:pPr>
      <w:r>
        <w:rPr>
          <w:rFonts w:ascii="Calibri" w:hAnsi="Calibri"/>
          <w:color w:val="111111"/>
          <w:sz w:val="22"/>
        </w:rPr>
        <w:t>For mcDESPOT, review VFm, T1-fast/T1-slow, T2-fast/T2-slow, and Tau maps for completeness, expected scale, anatomical plausibility, boundary artifacts, and failed-fit regions.</w:t>
      </w:r>
    </w:p>
    <w:p>
      <w:pPr>
        <w:numPr>
          <w:ilvl w:val="0"/>
          <w:numId w:val="10"/>
        </w:numPr>
      </w:pPr>
      <w:r>
        <w:rPr>
          <w:rFonts w:ascii="Calibri" w:hAnsi="Calibri"/>
          <w:color w:val="111111"/>
          <w:sz w:val="22"/>
        </w:rPr>
        <w:t xml:space="preserve">Confirm the relaxometry QC report was produced when </w:t>
      </w:r>
      <w:r>
        <w:rPr>
          <w:rFonts w:ascii="Consolas" w:hAnsi="Consolas"/>
          <w:color w:val="18364A"/>
          <w:sz w:val="20"/>
        </w:rPr>
        <w:t>relaxometry.qc.enabled: true</w:t>
      </w:r>
      <w:r>
        <w:rPr>
          <w:rFonts w:ascii="Calibri" w:hAnsi="Calibri"/>
          <w:color w:val="111111"/>
          <w:sz w:val="22"/>
        </w:rPr>
        <w:t>.</w:t>
      </w:r>
    </w:p>
    <w:p>
      <w:pPr>
        <w:pStyle w:val="Heading2"/>
      </w:pPr>
      <w:r>
        <w:rPr>
          <w:rFonts w:ascii="Calibri" w:hAnsi="Calibri"/>
          <w:b/>
          <w:color w:val="2E5D7B"/>
          <w:sz w:val="26"/>
        </w:rPr>
        <w:t>15.5 Normalization QC</w:t>
      </w:r>
    </w:p>
    <w:p>
      <w:pPr>
        <w:numPr>
          <w:ilvl w:val="0"/>
          <w:numId w:val="10"/>
        </w:numPr>
      </w:pPr>
      <w:r>
        <w:rPr>
          <w:rFonts w:ascii="Calibri" w:hAnsi="Calibri"/>
          <w:color w:val="111111"/>
          <w:sz w:val="22"/>
        </w:rPr>
        <w:t>Overlay native and standard-space images in multiple planes; inspect cortex, ventricles, cerebellum, brainstem, and field-of-view boundaries.</w:t>
      </w:r>
    </w:p>
    <w:p>
      <w:pPr>
        <w:numPr>
          <w:ilvl w:val="0"/>
          <w:numId w:val="10"/>
        </w:numPr>
      </w:pPr>
      <w:r>
        <w:rPr>
          <w:rFonts w:ascii="Calibri" w:hAnsi="Calibri"/>
          <w:color w:val="111111"/>
          <w:sz w:val="22"/>
        </w:rPr>
        <w:t>Confirm the driving image and template have compatible contrast and population, transforms are saved when required, and inverse/forward directions are labeled correctly.</w:t>
      </w:r>
    </w:p>
    <w:p>
      <w:pPr>
        <w:numPr>
          <w:ilvl w:val="0"/>
          <w:numId w:val="10"/>
        </w:numPr>
      </w:pPr>
      <w:r>
        <w:rPr>
          <w:rFonts w:ascii="Calibri" w:hAnsi="Calibri"/>
          <w:color w:val="111111"/>
          <w:sz w:val="22"/>
        </w:rPr>
        <w:t>Confirm warped scalar maps remain plausible and warped discrete labels contain valid label values without linear-interpolation contamination.</w:t>
      </w:r>
    </w:p>
    <w:p>
      <w:pPr>
        <w:pStyle w:val="Heading2"/>
      </w:pPr>
      <w:r>
        <w:rPr>
          <w:rFonts w:ascii="Calibri" w:hAnsi="Calibri"/>
          <w:b/>
          <w:color w:val="2E5D7B"/>
          <w:sz w:val="26"/>
        </w:rPr>
        <w:t>15.6 Tractography and tractometry QC</w:t>
      </w:r>
    </w:p>
    <w:p>
      <w:pPr>
        <w:numPr>
          <w:ilvl w:val="0"/>
          <w:numId w:val="10"/>
        </w:numPr>
      </w:pPr>
      <w:r>
        <w:rPr>
          <w:rFonts w:ascii="Calibri" w:hAnsi="Calibri"/>
          <w:color w:val="111111"/>
          <w:sz w:val="22"/>
        </w:rPr>
        <w:t>Confirm FOD/tensor inputs, masks, 5TT/GMWMI alignment, streamline coverage, length distribution, anatomical plausibility, and absence of gross false-positive pathways.</w:t>
      </w:r>
    </w:p>
    <w:p>
      <w:pPr>
        <w:numPr>
          <w:ilvl w:val="0"/>
          <w:numId w:val="10"/>
        </w:numPr>
      </w:pPr>
      <w:r>
        <w:rPr>
          <w:rFonts w:ascii="Calibri" w:hAnsi="Calibri"/>
          <w:color w:val="111111"/>
          <w:sz w:val="22"/>
        </w:rPr>
        <w:t>Confirm SIFT/SIFT2 completion when enabled, bundle counts, along-tract profile coverage, track-density maps, and node/parcellation alignment for connectomes.</w:t>
      </w:r>
    </w:p>
    <w:p>
      <w:pPr>
        <w:numPr>
          <w:ilvl w:val="0"/>
          <w:numId w:val="10"/>
        </w:numPr>
      </w:pPr>
      <w:r>
        <w:rPr>
          <w:rFonts w:ascii="Calibri" w:hAnsi="Calibri"/>
          <w:color w:val="111111"/>
          <w:sz w:val="22"/>
        </w:rPr>
        <w:t>Treat empty bundles, implausible endpoint distributions, and extreme cohort outliers as failures requiring review, not automatic exclusions.</w:t>
      </w:r>
    </w:p>
    <w:p>
      <w:pPr>
        <w:pStyle w:val="Heading2"/>
      </w:pPr>
      <w:r>
        <w:rPr>
          <w:rFonts w:ascii="Calibri" w:hAnsi="Calibri"/>
          <w:b/>
          <w:color w:val="2E5D7B"/>
          <w:sz w:val="26"/>
        </w:rPr>
        <w:t>15.7 Atlas/ROI analysis QC</w:t>
      </w:r>
    </w:p>
    <w:p>
      <w:pPr>
        <w:numPr>
          <w:ilvl w:val="0"/>
          <w:numId w:val="10"/>
        </w:numPr>
      </w:pPr>
      <w:r>
        <w:rPr>
          <w:rFonts w:ascii="Calibri" w:hAnsi="Calibri"/>
          <w:color w:val="111111"/>
          <w:sz w:val="22"/>
        </w:rPr>
        <w:t>Overlay each native-space registered atlas on its registration target and check label integrity, laterality, tissue boundaries, and coverage.</w:t>
      </w:r>
    </w:p>
    <w:p>
      <w:pPr>
        <w:numPr>
          <w:ilvl w:val="0"/>
          <w:numId w:val="10"/>
        </w:numPr>
      </w:pPr>
      <w:r>
        <w:rPr>
          <w:rFonts w:ascii="Calibri" w:hAnsi="Calibri"/>
          <w:color w:val="111111"/>
          <w:sz w:val="22"/>
        </w:rPr>
        <w:t>Confirm the atlas name, LUT, model/metric selectors, ROI count, expected CSV columns, and absence of unexpected all-zero, missing, infinite, or NaN summaries.</w:t>
      </w:r>
    </w:p>
    <w:p>
      <w:pPr>
        <w:pStyle w:val="Heading2"/>
      </w:pPr>
      <w:r>
        <w:rPr>
          <w:rFonts w:ascii="Calibri" w:hAnsi="Calibri"/>
          <w:b/>
          <w:color w:val="2E5D7B"/>
          <w:sz w:val="26"/>
        </w:rPr>
        <w:t>15.8 Study tracker QC</w:t>
      </w:r>
    </w:p>
    <w:p>
      <w:pPr>
        <w:numPr>
          <w:ilvl w:val="0"/>
          <w:numId w:val="10"/>
        </w:numPr>
      </w:pPr>
      <w:r>
        <w:rPr>
          <w:rFonts w:ascii="Calibri" w:hAnsi="Calibri"/>
          <w:color w:val="111111"/>
          <w:sz w:val="22"/>
        </w:rPr>
        <w:t>Confirm one current row per intended participant/session, accurate completion states, expected modality/atlas sheets, and agreement with derivative files and provenance.</w:t>
      </w:r>
    </w:p>
    <w:p>
      <w:pPr>
        <w:numPr>
          <w:ilvl w:val="0"/>
          <w:numId w:val="10"/>
        </w:numPr>
      </w:pPr>
      <w:r>
        <w:rPr>
          <w:rFonts w:ascii="Calibri" w:hAnsi="Calibri"/>
          <w:color w:val="111111"/>
          <w:sz w:val="22"/>
        </w:rPr>
        <w:t>Confirm the Excel workbook and cohort CSV exports are writable, readable, backed up, and free of unresolved lock warnings.</w:t>
      </w:r>
    </w:p>
    <w:p>
      <w:r>
        <w:rPr>
          <w:rFonts w:ascii="Calibri" w:hAnsi="Calibri"/>
          <w:color w:val="111111"/>
          <w:sz w:val="22"/>
        </w:rPr>
        <w:t>Record each QC item as pass, fail, or not applicable. A failed mandatory QC item blocks cohort expansion until reviewed by the pipeline/scientific lead.</w:t>
      </w:r>
    </w:p>
    <w:p>
      <w:pPr>
        <w:pStyle w:val="Heading1"/>
      </w:pPr>
      <w:bookmarkStart w:id="778" w:name="Section_16_Cohort_expansion_and_closeo"/>
      <w:r>
        <w:rPr>
          <w:rFonts w:ascii="Calibri" w:hAnsi="Calibri"/>
          <w:b/>
          <w:color w:val="2E5D7B"/>
          <w:sz w:val="32"/>
        </w:rPr>
        <w:t>16. Cohort expansion and closeout</w:t>
      </w:r>
      <w:bookmarkEnd w:id="778"/>
    </w:p>
    <w:p>
      <w:pPr>
        <w:pStyle w:val="Heading2"/>
      </w:pPr>
      <w:r>
        <w:rPr>
          <w:rFonts w:ascii="Calibri" w:hAnsi="Calibri"/>
          <w:b/>
          <w:color w:val="2E5D7B"/>
          <w:sz w:val="26"/>
        </w:rPr>
        <w:t>16.1 Expand to the approved cohort</w:t>
      </w:r>
    </w:p>
    <w:p>
      <w:r>
        <w:rPr>
          <w:rFonts w:ascii="Calibri" w:hAnsi="Calibri"/>
          <w:color w:val="111111"/>
          <w:sz w:val="22"/>
        </w:rPr>
        <w:t>After pilot approval, process the approved cohort using the unchanged versioned YAML. Freeze normalization templates, atlas/LUT files, tractography parameters, bundle definitions, parcellations, ROI metric selectors, and tracker location with the protocol. For local execution, use YAML participant/session lists or the approved batch mechanism. For the container wrapper:</w:t>
      </w:r>
    </w:p>
    <w:p>
      <w:pPr>
        <w:spacing w:before="60" w:after="160" w:line="240" w:lineRule="auto"/>
        <w:ind w:left="259" w:right="259"/>
        <w:shd w:fill="F4F6F9"/>
      </w:pPr>
      <w:r>
        <w:rPr>
          <w:rFonts w:ascii="Consolas" w:hAnsi="Consolas"/>
          <w:color w:val="18364A"/>
          <w:sz w:val="17"/>
        </w:rPr>
        <w:t>qmri-neuropipe container \</w:t>
        <w:br/>
      </w:r>
      <w:r>
        <w:rPr>
          <w:rFonts w:ascii="Consolas" w:hAnsi="Consolas"/>
          <w:color w:val="18364A"/>
          <w:sz w:val="17"/>
        </w:rPr>
        <w:t xml:space="preserve">  --container-image /containers/qmri-neuropipe.sif \</w:t>
        <w:br/>
      </w:r>
      <w:r>
        <w:rPr>
          <w:rFonts w:ascii="Consolas" w:hAnsi="Consolas"/>
          <w:color w:val="18364A"/>
          <w:sz w:val="17"/>
        </w:rPr>
        <w:t xml:space="preserve">  --config /study/code/qmri_dmri.yaml \</w:t>
        <w:br/>
      </w:r>
      <w:r>
        <w:rPr>
          <w:rFonts w:ascii="Consolas" w:hAnsi="Consolas"/>
          <w:color w:val="18364A"/>
          <w:sz w:val="17"/>
        </w:rPr>
        <w:t xml:space="preserve">  --subjects 001,002,003 --sessions 01,01,01 \</w:t>
        <w:br/>
      </w:r>
      <w:r>
        <w:rPr>
          <w:rFonts w:ascii="Consolas" w:hAnsi="Consolas"/>
          <w:color w:val="18364A"/>
          <w:sz w:val="17"/>
        </w:rPr>
        <w:t xml:space="preserve">  --keep-going</w:t>
      </w:r>
    </w:p>
    <w:p>
      <w:r>
        <w:rPr>
          <w:rFonts w:ascii="Calibri" w:hAnsi="Calibri"/>
          <w:color w:val="111111"/>
          <w:sz w:val="22"/>
        </w:rPr>
        <w:t xml:space="preserve">Use </w:t>
      </w:r>
      <w:r>
        <w:rPr>
          <w:rFonts w:ascii="Consolas" w:hAnsi="Consolas"/>
          <w:color w:val="18364A"/>
          <w:sz w:val="20"/>
        </w:rPr>
        <w:t>--keep-going</w:t>
      </w:r>
      <w:r>
        <w:rPr>
          <w:rFonts w:ascii="Calibri" w:hAnsi="Calibri"/>
          <w:color w:val="111111"/>
          <w:sz w:val="22"/>
        </w:rPr>
        <w:t xml:space="preserve"> only when independent participant failures may be collected for later review. Otherwise stop at the first failure.</w:t>
      </w:r>
    </w:p>
    <w:p>
      <w:pPr>
        <w:pStyle w:val="Heading2"/>
      </w:pPr>
      <w:r>
        <w:rPr>
          <w:rFonts w:ascii="Calibri" w:hAnsi="Calibri"/>
          <w:b/>
          <w:color w:val="2E5D7B"/>
          <w:sz w:val="26"/>
        </w:rPr>
        <w:t>16.2 Close out the run</w:t>
      </w:r>
    </w:p>
    <w:p>
      <w:r>
        <w:rPr>
          <w:rFonts w:ascii="Calibri" w:hAnsi="Calibri"/>
          <w:color w:val="111111"/>
          <w:sz w:val="22"/>
        </w:rPr>
        <w:t>Run an inventory with processing gaps, complete QC records, document exclusions and reruns, and preserve the approved YAML, settings file, logs, reports, provenance, version, and image digest with the derivative release.</w:t>
      </w:r>
    </w:p>
    <w:p>
      <w:pPr>
        <w:spacing w:before="60" w:after="160" w:line="240" w:lineRule="auto"/>
        <w:ind w:left="259" w:right="259"/>
        <w:shd w:fill="F4F6F9"/>
      </w:pPr>
      <w:r>
        <w:rPr>
          <w:rFonts w:ascii="Consolas" w:hAnsi="Consolas"/>
          <w:color w:val="18364A"/>
          <w:sz w:val="17"/>
        </w:rPr>
        <w:t>qmri-neuropipe inspect /study --rawdata-dir rawdata \</w:t>
        <w:br/>
      </w:r>
      <w:r>
        <w:rPr>
          <w:rFonts w:ascii="Consolas" w:hAnsi="Consolas"/>
          <w:color w:val="18364A"/>
          <w:sz w:val="17"/>
        </w:rPr>
        <w:t xml:space="preserve">  --derivatives --processing-gaps --by-session</w:t>
      </w:r>
    </w:p>
    <w:p>
      <w:r>
        <w:rPr>
          <w:rFonts w:ascii="Calibri" w:hAnsi="Calibri"/>
          <w:color w:val="111111"/>
          <w:sz w:val="22"/>
        </w:rPr>
        <w:t>Remove work files only after successful verification and according to the study retention policy.</w:t>
      </w:r>
    </w:p>
    <w:p>
      <w:pPr>
        <w:pStyle w:val="Heading1"/>
      </w:pPr>
      <w:bookmarkStart w:id="805" w:name="Section_17_Acceptance_criteria"/>
      <w:r>
        <w:rPr>
          <w:rFonts w:ascii="Calibri" w:hAnsi="Calibri"/>
          <w:b/>
          <w:color w:val="2E5D7B"/>
          <w:sz w:val="32"/>
        </w:rPr>
        <w:t>17. Acceptance criteria</w:t>
      </w:r>
      <w:bookmarkEnd w:id="805"/>
    </w:p>
    <w:p>
      <w:r>
        <w:rPr>
          <w:rFonts w:ascii="Calibri" w:hAnsi="Calibri"/>
          <w:color w:val="111111"/>
          <w:sz w:val="22"/>
        </w:rPr>
        <w:t>A processing run is complete when all intended participant/session pairs are accounted for; mandatory outputs, transforms, tractography/tractometry products, ROI tables, tracker entries, logs, reports, and provenance exist as applicable; mandatory QC items pass or have approved dispositions; configuration and software/container identifiers are archived; and exclusions, deviations, failures, and reruns are documented.</w:t>
      </w:r>
    </w:p>
    <w:p>
      <w:pPr>
        <w:pStyle w:val="Heading1"/>
      </w:pPr>
      <w:bookmarkStart w:id="809" w:name="Section_18_Deviations_failures_and_rer"/>
      <w:r>
        <w:rPr>
          <w:rFonts w:ascii="Calibri" w:hAnsi="Calibri"/>
          <w:b/>
          <w:color w:val="2E5D7B"/>
          <w:sz w:val="32"/>
        </w:rPr>
        <w:t>18. Deviations, failures, and reruns</w:t>
      </w:r>
      <w:bookmarkEnd w:id="809"/>
    </w:p>
    <w:p>
      <w:pPr>
        <w:numPr>
          <w:ilvl w:val="0"/>
          <w:numId w:val="16"/>
        </w:numPr>
      </w:pPr>
      <w:r>
        <w:rPr>
          <w:rFonts w:ascii="Calibri" w:hAnsi="Calibri"/>
          <w:color w:val="111111"/>
          <w:sz w:val="22"/>
        </w:rPr>
        <w:t>Record the exact participant/session, failed step, error, command, software/image version, and YAML revision.</w:t>
      </w:r>
    </w:p>
    <w:p>
      <w:pPr>
        <w:numPr>
          <w:ilvl w:val="0"/>
          <w:numId w:val="16"/>
        </w:numPr>
      </w:pPr>
      <w:r>
        <w:rPr>
          <w:rFonts w:ascii="Calibri" w:hAnsi="Calibri"/>
          <w:color w:val="111111"/>
          <w:sz w:val="22"/>
        </w:rPr>
        <w:t>Determine whether the cause is data, configuration, resources, dependencies, permissions, or a software defect.</w:t>
      </w:r>
    </w:p>
    <w:p>
      <w:pPr>
        <w:numPr>
          <w:ilvl w:val="0"/>
          <w:numId w:val="16"/>
        </w:numPr>
      </w:pPr>
      <w:r>
        <w:rPr>
          <w:rFonts w:ascii="Calibri" w:hAnsi="Calibri"/>
          <w:color w:val="111111"/>
          <w:sz w:val="22"/>
        </w:rPr>
        <w:t>Obtain pipeline/scientific approval before changing acquisition-sensitive parameters.</w:t>
      </w:r>
    </w:p>
    <w:p>
      <w:pPr>
        <w:numPr>
          <w:ilvl w:val="0"/>
          <w:numId w:val="16"/>
        </w:numPr>
      </w:pPr>
      <w:r>
        <w:rPr>
          <w:rFonts w:ascii="Calibri" w:hAnsi="Calibri"/>
          <w:color w:val="111111"/>
          <w:sz w:val="22"/>
        </w:rPr>
        <w:t>Create a new version/commit of the YAML for any processing-logic change.</w:t>
      </w:r>
    </w:p>
    <w:p>
      <w:pPr>
        <w:numPr>
          <w:ilvl w:val="0"/>
          <w:numId w:val="16"/>
        </w:numPr>
      </w:pPr>
      <w:r>
        <w:rPr>
          <w:rFonts w:ascii="Calibri" w:hAnsi="Calibri"/>
          <w:color w:val="111111"/>
          <w:sz w:val="22"/>
        </w:rPr>
        <w:t>Prefer a targeted rerun over deleting all outputs:</w:t>
      </w:r>
    </w:p>
    <w:p>
      <w:pPr>
        <w:spacing w:before="60" w:after="160" w:line="240" w:lineRule="auto"/>
        <w:ind w:left="259" w:right="259"/>
        <w:shd w:fill="F4F6F9"/>
      </w:pPr>
      <w:r>
        <w:rPr>
          <w:rFonts w:ascii="Consolas" w:hAnsi="Consolas"/>
          <w:color w:val="18364A"/>
          <w:sz w:val="17"/>
        </w:rPr>
        <w:t>qmri-neuropipe run --config /study/code/qmri_dmri.yaml \</w:t>
        <w:br/>
      </w:r>
      <w:r>
        <w:rPr>
          <w:rFonts w:ascii="Consolas" w:hAnsi="Consolas"/>
          <w:color w:val="18364A"/>
          <w:sz w:val="17"/>
        </w:rPr>
        <w:t xml:space="preserve">  --participant-label sub-001 --rerun-from-step eddy</w:t>
      </w:r>
    </w:p>
    <w:p>
      <w:pPr>
        <w:numPr>
          <w:ilvl w:val="0"/>
          <w:numId w:val="16"/>
        </w:numPr>
      </w:pPr>
      <w:r>
        <w:rPr>
          <w:rFonts w:ascii="Calibri" w:hAnsi="Calibri"/>
          <w:color w:val="111111"/>
          <w:sz w:val="22"/>
        </w:rPr>
        <w:t>Repeat the relevant QC and document the outcome. Do not overwrite the record of the original failure.</w:t>
      </w:r>
    </w:p>
    <w:p>
      <w:pPr>
        <w:pStyle w:val="Heading1"/>
      </w:pPr>
      <w:bookmarkStart w:id="824" w:name="Section_19_Required_records_and_traini"/>
      <w:r>
        <w:rPr>
          <w:rFonts w:ascii="Calibri" w:hAnsi="Calibri"/>
          <w:b/>
          <w:color w:val="2E5D7B"/>
          <w:sz w:val="32"/>
        </w:rPr>
        <w:t>19. Required records and training sign-off</w:t>
      </w:r>
      <w:bookmarkEnd w:id="824"/>
    </w:p>
    <w:p>
      <w:pPr>
        <w:pStyle w:val="Heading2"/>
      </w:pPr>
      <w:r>
        <w:rPr>
          <w:rFonts w:ascii="Calibri" w:hAnsi="Calibri"/>
          <w:b/>
          <w:color w:val="2E5D7B"/>
          <w:sz w:val="26"/>
        </w:rPr>
        <w:t>19.1 Required records</w:t>
      </w:r>
    </w:p>
    <w:p>
      <w:pPr>
        <w:numPr>
          <w:ilvl w:val="0"/>
          <w:numId w:val="10"/>
        </w:numPr>
      </w:pPr>
      <w:r>
        <w:rPr>
          <w:rFonts w:ascii="Calibri" w:hAnsi="Calibri"/>
          <w:color w:val="111111"/>
          <w:sz w:val="22"/>
        </w:rPr>
        <w:t>Run log and operator/date</w:t>
      </w:r>
    </w:p>
    <w:p>
      <w:pPr>
        <w:numPr>
          <w:ilvl w:val="0"/>
          <w:numId w:val="10"/>
        </w:numPr>
      </w:pPr>
      <w:r>
        <w:rPr>
          <w:rFonts w:ascii="Calibri" w:hAnsi="Calibri"/>
          <w:color w:val="111111"/>
          <w:sz w:val="22"/>
        </w:rPr>
        <w:t>Participant/session manifest</w:t>
      </w:r>
    </w:p>
    <w:p>
      <w:pPr>
        <w:numPr>
          <w:ilvl w:val="0"/>
          <w:numId w:val="10"/>
        </w:numPr>
      </w:pPr>
      <w:r>
        <w:rPr>
          <w:rFonts w:ascii="Calibri" w:hAnsi="Calibri"/>
          <w:color w:val="111111"/>
          <w:sz w:val="22"/>
        </w:rPr>
        <w:t>Approved pipeline YAML revision</w:t>
      </w:r>
    </w:p>
    <w:p>
      <w:pPr>
        <w:numPr>
          <w:ilvl w:val="0"/>
          <w:numId w:val="10"/>
        </w:numPr>
      </w:pPr>
      <w:r>
        <w:rPr>
          <w:rFonts w:ascii="Calibri" w:hAnsi="Calibri"/>
          <w:color w:val="111111"/>
          <w:sz w:val="22"/>
        </w:rPr>
        <w:t>Optional container settings YAML</w:t>
      </w:r>
    </w:p>
    <w:p>
      <w:pPr>
        <w:numPr>
          <w:ilvl w:val="0"/>
          <w:numId w:val="10"/>
        </w:numPr>
      </w:pPr>
      <w:r>
        <w:rPr>
          <w:rFonts w:ascii="Calibri" w:hAnsi="Calibri"/>
          <w:color w:val="111111"/>
          <w:sz w:val="22"/>
        </w:rPr>
        <w:t>qmri-neuropipe version and dependency environment or container image digest</w:t>
      </w:r>
    </w:p>
    <w:p>
      <w:pPr>
        <w:numPr>
          <w:ilvl w:val="0"/>
          <w:numId w:val="10"/>
        </w:numPr>
      </w:pPr>
      <w:r>
        <w:rPr>
          <w:rFonts w:ascii="Calibri" w:hAnsi="Calibri"/>
          <w:color w:val="111111"/>
          <w:sz w:val="22"/>
        </w:rPr>
        <w:t>Command line or scheduler submission record</w:t>
      </w:r>
    </w:p>
    <w:p>
      <w:pPr>
        <w:numPr>
          <w:ilvl w:val="0"/>
          <w:numId w:val="10"/>
        </w:numPr>
      </w:pPr>
      <w:r>
        <w:rPr>
          <w:rFonts w:ascii="Calibri" w:hAnsi="Calibri"/>
          <w:color w:val="111111"/>
          <w:sz w:val="22"/>
        </w:rPr>
        <w:t xml:space="preserve">Logs, reports, and </w:t>
      </w:r>
      <w:r>
        <w:rPr>
          <w:rFonts w:ascii="Consolas" w:hAnsi="Consolas"/>
          <w:color w:val="18364A"/>
          <w:sz w:val="20"/>
        </w:rPr>
        <w:t>provenance.json</w:t>
      </w:r>
    </w:p>
    <w:p>
      <w:pPr>
        <w:numPr>
          <w:ilvl w:val="0"/>
          <w:numId w:val="10"/>
        </w:numPr>
      </w:pPr>
      <w:r>
        <w:rPr>
          <w:rFonts w:ascii="Calibri" w:hAnsi="Calibri"/>
          <w:color w:val="111111"/>
          <w:sz w:val="22"/>
        </w:rPr>
        <w:t>QC checklist and reviewer</w:t>
      </w:r>
    </w:p>
    <w:p>
      <w:pPr>
        <w:numPr>
          <w:ilvl w:val="0"/>
          <w:numId w:val="10"/>
        </w:numPr>
      </w:pPr>
      <w:r>
        <w:rPr>
          <w:rFonts w:ascii="Calibri" w:hAnsi="Calibri"/>
          <w:color w:val="111111"/>
          <w:sz w:val="22"/>
        </w:rPr>
        <w:t>Standard-space template, atlas, LUT, tract/bundle, and parcellation identities/checksums when used</w:t>
      </w:r>
    </w:p>
    <w:p>
      <w:pPr>
        <w:numPr>
          <w:ilvl w:val="0"/>
          <w:numId w:val="10"/>
        </w:numPr>
      </w:pPr>
      <w:r>
        <w:rPr>
          <w:rFonts w:ascii="Calibri" w:hAnsi="Calibri"/>
          <w:color w:val="111111"/>
          <w:sz w:val="22"/>
        </w:rPr>
        <w:t>Study tracker workbook plus exported cohort CSV reports when enabled</w:t>
      </w:r>
    </w:p>
    <w:p>
      <w:pPr>
        <w:numPr>
          <w:ilvl w:val="0"/>
          <w:numId w:val="10"/>
        </w:numPr>
      </w:pPr>
      <w:r>
        <w:rPr>
          <w:rFonts w:ascii="Calibri" w:hAnsi="Calibri"/>
          <w:color w:val="111111"/>
          <w:sz w:val="22"/>
        </w:rPr>
        <w:t>Deviations, exclusions, failure dispositions, and rerun history</w:t>
      </w:r>
    </w:p>
    <w:p>
      <w:pPr>
        <w:pStyle w:val="Heading2"/>
      </w:pPr>
      <w:r>
        <w:rPr>
          <w:rFonts w:ascii="Calibri" w:hAnsi="Calibri"/>
          <w:b/>
          <w:color w:val="2E5D7B"/>
          <w:sz w:val="26"/>
        </w:rPr>
        <w:t>19.2 Training sign-off</w:t>
      </w:r>
    </w:p>
    <w:p>
      <w:r>
        <w:rPr>
          <w:rFonts w:ascii="Calibri" w:hAnsi="Calibri"/>
          <w:color w:val="111111"/>
          <w:sz w:val="22"/>
        </w:rPr>
        <w:t>A trainee is authorized for independent routine runs after demonstrating: BIDS inventory review; correct YAML editing without duplicate keys; selection of the correct anatomical, diffusion, or relaxometry pipeline; local or container dry-run validation; one supervised pilot execution; recognition of failed registration, normalization, masking, diffusion correction, tractography, atlas/ROI, B1 correction, and quantitative-map QC; correct interpretation of study-tracker warnings; preservation of logs/provenance; and correct documentation of a targeted rerun.</w:t>
      </w:r>
    </w:p>
    <w:p>
      <w:pPr>
        <w:pStyle w:val="Heading1"/>
      </w:pPr>
      <w:bookmarkStart w:id="844" w:name="Section_20_References"/>
      <w:r>
        <w:rPr>
          <w:rFonts w:ascii="Calibri" w:hAnsi="Calibri"/>
          <w:b/>
          <w:color w:val="2E5D7B"/>
          <w:sz w:val="32"/>
        </w:rPr>
        <w:t>20. References</w:t>
      </w:r>
      <w:bookmarkEnd w:id="844"/>
    </w:p>
    <w:p>
      <w:pPr>
        <w:numPr>
          <w:ilvl w:val="0"/>
          <w:numId w:val="10"/>
        </w:numPr>
      </w:pPr>
      <w:r>
        <w:rPr>
          <w:rFonts w:ascii="Consolas" w:hAnsi="Consolas"/>
          <w:color w:val="18364A"/>
          <w:sz w:val="20"/>
        </w:rPr>
        <w:t>docs/GETTING_STARTED.md</w:t>
      </w:r>
    </w:p>
    <w:p>
      <w:pPr>
        <w:numPr>
          <w:ilvl w:val="0"/>
          <w:numId w:val="10"/>
        </w:numPr>
      </w:pPr>
      <w:r>
        <w:rPr>
          <w:rFonts w:ascii="Consolas" w:hAnsi="Consolas"/>
          <w:color w:val="18364A"/>
          <w:sz w:val="20"/>
        </w:rPr>
        <w:t>docs/configuration_reference.md</w:t>
      </w:r>
    </w:p>
    <w:p>
      <w:pPr>
        <w:numPr>
          <w:ilvl w:val="0"/>
          <w:numId w:val="10"/>
        </w:numPr>
      </w:pPr>
      <w:r>
        <w:rPr>
          <w:rFonts w:ascii="Consolas" w:hAnsi="Consolas"/>
          <w:color w:val="18364A"/>
          <w:sz w:val="20"/>
        </w:rPr>
        <w:t>docs/options_reference.md</w:t>
      </w:r>
    </w:p>
    <w:p>
      <w:pPr>
        <w:numPr>
          <w:ilvl w:val="0"/>
          <w:numId w:val="10"/>
        </w:numPr>
      </w:pPr>
      <w:r>
        <w:rPr>
          <w:rFonts w:ascii="Consolas" w:hAnsi="Consolas"/>
          <w:color w:val="18364A"/>
          <w:sz w:val="20"/>
        </w:rPr>
        <w:t>docs/tool_reference.md</w:t>
      </w:r>
    </w:p>
    <w:p>
      <w:pPr>
        <w:numPr>
          <w:ilvl w:val="0"/>
          <w:numId w:val="10"/>
        </w:numPr>
      </w:pPr>
      <w:r>
        <w:rPr>
          <w:rFonts w:ascii="Consolas" w:hAnsi="Consolas"/>
          <w:color w:val="18364A"/>
          <w:sz w:val="20"/>
        </w:rPr>
        <w:t>docs/data_organization.md</w:t>
      </w:r>
    </w:p>
    <w:p>
      <w:pPr>
        <w:numPr>
          <w:ilvl w:val="0"/>
          <w:numId w:val="10"/>
        </w:numPr>
      </w:pPr>
      <w:r>
        <w:rPr>
          <w:rFonts w:ascii="Consolas" w:hAnsi="Consolas"/>
          <w:color w:val="18364A"/>
          <w:sz w:val="20"/>
        </w:rPr>
        <w:t>docs/analysis.md</w:t>
      </w:r>
    </w:p>
    <w:p>
      <w:pPr>
        <w:numPr>
          <w:ilvl w:val="0"/>
          <w:numId w:val="10"/>
        </w:numPr>
      </w:pPr>
      <w:r>
        <w:rPr>
          <w:rFonts w:ascii="Consolas" w:hAnsi="Consolas"/>
          <w:color w:val="18364A"/>
          <w:sz w:val="20"/>
        </w:rPr>
        <w:t>docs/study_tracker.md</w:t>
      </w:r>
    </w:p>
    <w:p>
      <w:pPr>
        <w:numPr>
          <w:ilvl w:val="0"/>
          <w:numId w:val="10"/>
        </w:numPr>
      </w:pPr>
      <w:r>
        <w:rPr>
          <w:rFonts w:ascii="Consolas" w:hAnsi="Consolas"/>
          <w:color w:val="18364A"/>
          <w:sz w:val="20"/>
        </w:rPr>
        <w:t>docs/workflows/tractometry.md</w:t>
      </w:r>
    </w:p>
    <w:p>
      <w:pPr>
        <w:numPr>
          <w:ilvl w:val="0"/>
          <w:numId w:val="10"/>
        </w:numPr>
      </w:pPr>
      <w:r>
        <w:rPr>
          <w:rFonts w:ascii="Consolas" w:hAnsi="Consolas"/>
          <w:color w:val="18364A"/>
          <w:sz w:val="20"/>
        </w:rPr>
        <w:t>examples/configs/example_config.yaml</w:t>
      </w:r>
    </w:p>
    <w:p>
      <w:pPr>
        <w:pStyle w:val="Heading1"/>
      </w:pPr>
      <w:bookmarkStart w:id="856" w:name="Section_21_Revision_history"/>
      <w:r>
        <w:rPr>
          <w:rFonts w:ascii="Calibri" w:hAnsi="Calibri"/>
          <w:b/>
          <w:color w:val="2E5D7B"/>
          <w:sz w:val="32"/>
        </w:rPr>
        <w:t>21. Revision history</w:t>
      </w:r>
      <w:bookmarkEnd w:id="856"/>
    </w:p>
    <w:tbl>
      <w:tblPr>
        <w:tblW w:type="dxa" w:w="9360"/>
        <w:jc w:val="left"/>
        <w:tblLayout w:type="fixed"/>
        <w:tblLook w:firstColumn="1" w:firstRow="1" w:lastColumn="0" w:lastRow="0" w:noHBand="0" w:noVBand="1" w:val="04A0"/>
        <w:tblInd w:w="120" w:type="dxa"/>
        <w:tblBorders>
          <w:top w:val="single" w:sz="6" w:space="0" w:color="A9B8C2"/>
          <w:left w:val="single" w:sz="6" w:space="0" w:color="A9B8C2"/>
          <w:bottom w:val="single" w:sz="6" w:space="0" w:color="A9B8C2"/>
          <w:right w:val="single" w:sz="6" w:space="0" w:color="A9B8C2"/>
          <w:insideH w:val="single" w:sz="6" w:space="0" w:color="A9B8C2"/>
          <w:insideV w:val="single" w:sz="6" w:space="0" w:color="A9B8C2"/>
        </w:tblBorders>
      </w:tblPr>
      <w:tblGrid>
        <w:gridCol w:w="1200"/>
        <w:gridCol w:w="1600"/>
        <w:gridCol w:w="6560"/>
      </w:tblGrid>
      <w:tr>
        <w:trPr>
          <w:tblHeader w:val="true"/>
        </w:trPr>
        <w:tc>
          <w:tcPr>
            <w:tcW w:type="dxa" w:w="1200"/>
            <w:shd w:fill="E8EEF5"/>
            <w:tcMar>
              <w:top w:w="100" w:type="dxa"/>
              <w:start w:w="120" w:type="dxa"/>
              <w:bottom w:w="100" w:type="dxa"/>
              <w:end w:w="120" w:type="dxa"/>
            </w:tcMar>
            <w:vAlign w:val="center"/>
          </w:tcPr>
          <w:p>
            <w:pPr>
              <w:spacing w:after="0"/>
            </w:pPr>
            <w:r>
              <w:rPr>
                <w:b/>
              </w:rPr>
            </w:r>
            <w:r>
              <w:rPr>
                <w:rFonts w:ascii="Calibri" w:hAnsi="Calibri"/>
                <w:b/>
                <w:color w:val="18364A"/>
                <w:sz w:val="19"/>
              </w:rPr>
              <w:t>Version</w:t>
            </w:r>
          </w:p>
        </w:tc>
        <w:tc>
          <w:tcPr>
            <w:tcW w:type="dxa" w:w="1600"/>
            <w:shd w:fill="E8EEF5"/>
            <w:tcMar>
              <w:top w:w="100" w:type="dxa"/>
              <w:start w:w="120" w:type="dxa"/>
              <w:bottom w:w="100" w:type="dxa"/>
              <w:end w:w="120" w:type="dxa"/>
            </w:tcMar>
            <w:vAlign w:val="center"/>
          </w:tcPr>
          <w:p>
            <w:pPr>
              <w:spacing w:after="0"/>
            </w:pPr>
            <w:r>
              <w:rPr>
                <w:b/>
              </w:rPr>
            </w:r>
            <w:r>
              <w:rPr>
                <w:rFonts w:ascii="Calibri" w:hAnsi="Calibri"/>
                <w:b/>
                <w:color w:val="18364A"/>
                <w:sz w:val="19"/>
              </w:rPr>
              <w:t>Date</w:t>
            </w:r>
          </w:p>
        </w:tc>
        <w:tc>
          <w:tcPr>
            <w:tcW w:type="dxa" w:w="6560"/>
            <w:shd w:fill="E8EEF5"/>
            <w:tcMar>
              <w:top w:w="100" w:type="dxa"/>
              <w:start w:w="120" w:type="dxa"/>
              <w:bottom w:w="100" w:type="dxa"/>
              <w:end w:w="120" w:type="dxa"/>
            </w:tcMar>
            <w:vAlign w:val="center"/>
          </w:tcPr>
          <w:p>
            <w:pPr>
              <w:spacing w:after="0"/>
            </w:pPr>
            <w:r>
              <w:rPr>
                <w:b/>
              </w:rPr>
            </w:r>
            <w:r>
              <w:rPr>
                <w:rFonts w:ascii="Calibri" w:hAnsi="Calibri"/>
                <w:b/>
                <w:color w:val="18364A"/>
                <w:sz w:val="19"/>
              </w:rPr>
              <w:t>Description</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1.0</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2026-08-06</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Initial SOP for local and container-based processing.</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1.1</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2026-08-06</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Added anatomical, diffusion, and relaxometry processing profiles, including mcDESPOT prerequisites and QC.</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1.2</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2026-08-06</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Added normalization, tractography/tractometry, atlas/ROI extraction, and study-tracker procedures and QC.</w:t>
            </w:r>
          </w:p>
        </w:tc>
      </w:tr>
      <w:tr>
        <w:tc>
          <w:tcPr>
            <w:tcW w:type="dxa" w:w="1200"/>
            <w:tcMar>
              <w:top w:w="100" w:type="dxa"/>
              <w:start w:w="120" w:type="dxa"/>
              <w:bottom w:w="100" w:type="dxa"/>
              <w:end w:w="120" w:type="dxa"/>
            </w:tcMar>
            <w:vAlign w:val="center"/>
          </w:tcPr>
          <w:p>
            <w:pPr>
              <w:spacing w:after="0"/>
            </w:pPr>
            <w:r/>
            <w:r>
              <w:rPr>
                <w:rFonts w:ascii="Calibri" w:hAnsi="Calibri"/>
                <w:color w:val="111111"/>
                <w:sz w:val="19"/>
              </w:rPr>
              <w:t>1.3</w:t>
            </w:r>
          </w:p>
        </w:tc>
        <w:tc>
          <w:tcPr>
            <w:tcW w:type="dxa" w:w="1600"/>
            <w:tcMar>
              <w:top w:w="100" w:type="dxa"/>
              <w:start w:w="120" w:type="dxa"/>
              <w:bottom w:w="100" w:type="dxa"/>
              <w:end w:w="120" w:type="dxa"/>
            </w:tcMar>
            <w:vAlign w:val="center"/>
          </w:tcPr>
          <w:p>
            <w:pPr>
              <w:spacing w:after="0"/>
            </w:pPr>
            <w:r/>
            <w:r>
              <w:rPr>
                <w:rFonts w:ascii="Calibri" w:hAnsi="Calibri"/>
                <w:color w:val="111111"/>
                <w:sz w:val="19"/>
              </w:rPr>
              <w:t>2026-08-06</w:t>
            </w:r>
          </w:p>
        </w:tc>
        <w:tc>
          <w:tcPr>
            <w:tcW w:type="dxa" w:w="6560"/>
            <w:tcMar>
              <w:top w:w="100" w:type="dxa"/>
              <w:start w:w="120" w:type="dxa"/>
              <w:bottom w:w="100" w:type="dxa"/>
              <w:end w:w="120" w:type="dxa"/>
            </w:tcMar>
            <w:vAlign w:val="center"/>
          </w:tcPr>
          <w:p>
            <w:pPr>
              <w:spacing w:after="0"/>
            </w:pPr>
            <w:r/>
            <w:r>
              <w:rPr>
                <w:rFonts w:ascii="Calibri" w:hAnsi="Calibri"/>
                <w:color w:val="111111"/>
                <w:sz w:val="19"/>
              </w:rPr>
              <w:t>Reorganized the SOP as a linked training manual with a general quick start, standalone modality/analysis chapters, and a navigable table of contents.</w:t>
            </w:r>
          </w:p>
        </w:tc>
      </w:tr>
    </w:tbl>
    <w:p>
      <w:pPr>
        <w:spacing w:after="0"/>
      </w:pPr>
    </w:p>
    <w:sectPr w:rsidR="00FC693F" w:rsidRPr="0006063C" w:rsidSect="00034616">
      <w:headerReference w:type="default" r:id="rId9"/>
      <w:footerReference w:type="default" r:id="rId10"/>
      <w:pgSz w:w="12240" w:h="15840"/>
      <w:pgMar w:top="1181" w:right="1440" w:bottom="1181"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pPr>
    <w:r>
      <w:rPr>
        <w:rFonts w:ascii="Calibri" w:hAnsi="Calibri"/>
        <w:color w:val="55717F"/>
        <w:sz w:val="18"/>
      </w:rPr>
      <w:t>Controlled copy • Version 1.3</w:t>
    </w:r>
    <w:r>
      <w:rPr>
        <w:rFonts w:ascii="Calibri" w:hAnsi="Calibri"/>
        <w:color w:val="55717F"/>
        <w:sz w:val="18"/>
      </w:rPr>
      <w:tab/>
      <w:t xml:space="preserve">Page </w:t>
    </w:r>
    <w:r>
      <w:rPr>
        <w:rFonts w:ascii="Calibri" w:hAnsi="Calibri"/>
        <w:color w:val="55717F"/>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A9B8C2"/>
      </w:pBdr>
    </w:pPr>
    <w:r>
      <w:rPr>
        <w:rFonts w:ascii="Calibri" w:hAnsi="Calibri"/>
        <w:color w:val="55717F"/>
        <w:sz w:val="18"/>
      </w:rPr>
      <w:t>QNP-SOP-001  |  qmri-neuropipe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b w:val="0"/>
      <w:i/>
      <w:iCs/>
      <w:color w:val="5571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Processing MRI Data with qmri-neuropipe</dc:title>
  <dc:subject>Training and controlled procedure for local and container-based BIDS MRI processing</dc:subject>
  <dc:creator>qmri-neuropipe project</dc:creator>
  <cp:keywords>qmri-neuropipe, SOP, BIDS, MRI, Apptainer, neuroimaging</cp:keywords>
  <dc:description>QNP-SOP-001 version 1.3</dc:description>
  <cp:lastModifiedBy/>
  <cp:revision>1</cp:revision>
  <dcterms:created xsi:type="dcterms:W3CDTF">2013-12-23T23:15:00Z</dcterms:created>
  <dcterms:modified xsi:type="dcterms:W3CDTF">2013-12-23T23:15:00Z</dcterms:modified>
  <cp:category/>
  <dc:language>en-US</dc:language>
</cp:coreProperties>
</file>