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6202E"/>
          <w:sz w:val="60"/>
        </w:rPr>
        <w:t>Aegis</w:t>
      </w:r>
    </w:p>
    <w:p>
      <w:pPr>
        <w:spacing w:after="40"/>
      </w:pPr>
      <w:r>
        <w:rPr>
          <w:b w:val="0"/>
          <w:i w:val="0"/>
          <w:color w:val="5A6A7E"/>
          <w:sz w:val="28"/>
        </w:rPr>
        <w:t>AI Defence Lab for Payment Security</w:t>
      </w:r>
    </w:p>
    <w:p>
      <w:pPr>
        <w:spacing w:after="200"/>
      </w:pPr>
      <w:r>
        <w:rPr>
          <w:b w:val="0"/>
          <w:i w:val="0"/>
          <w:color w:val="5A6A7E"/>
          <w:sz w:val="22"/>
        </w:rPr>
        <w:t>A closed-loop red team / blue team system: identify → generate → defend</w:t>
      </w:r>
    </w:p>
    <w:tbl>
      <w:tblPr>
        <w:tblStyle w:val="LightGrid-Accent1"/>
        <w:tblW w:type="auto" w:w="0"/>
        <w:jc w:val="center"/>
        <w:tblLook w:firstColumn="1" w:firstRow="1" w:lastColumn="0" w:lastRow="0" w:noHBand="0" w:noVBand="1" w:val="04A0"/>
      </w:tblPr>
      <w:tblGrid>
        <w:gridCol w:w="5040"/>
        <w:gridCol w:w="5040"/>
      </w:tblGrid>
      <w:tr>
        <w:tc>
          <w:tcPr>
            <w:tcW w:type="dxa" w:w="5040"/>
          </w:tcPr>
          <w:p>
            <w:r/>
            <w:r>
              <w:rPr>
                <w:b/>
                <w:sz w:val="18"/>
              </w:rPr>
              <w:t>Field</w:t>
            </w:r>
          </w:p>
        </w:tc>
        <w:tc>
          <w:tcPr>
            <w:tcW w:type="dxa" w:w="5040"/>
          </w:tcPr>
          <w:p>
            <w:r/>
            <w:r>
              <w:rPr>
                <w:b/>
                <w:sz w:val="18"/>
              </w:rPr>
              <w:t>Value</w:t>
            </w:r>
          </w:p>
        </w:tc>
      </w:tr>
      <w:tr>
        <w:tc>
          <w:tcPr>
            <w:tcW w:type="dxa" w:w="5040"/>
          </w:tcPr>
          <w:p>
            <w:r/>
            <w:r>
              <w:rPr>
                <w:sz w:val="18"/>
              </w:rPr>
              <w:t>Competition</w:t>
            </w:r>
          </w:p>
        </w:tc>
        <w:tc>
          <w:tcPr>
            <w:tcW w:type="dxa" w:w="5040"/>
          </w:tcPr>
          <w:p>
            <w:r/>
            <w:r>
              <w:rPr>
                <w:sz w:val="18"/>
              </w:rPr>
              <w:t>Mastercard Innovation Challenge 2026 — AI Defense Lab for Payment Security</w:t>
            </w:r>
          </w:p>
        </w:tc>
      </w:tr>
      <w:tr>
        <w:tc>
          <w:tcPr>
            <w:tcW w:type="dxa" w:w="5040"/>
          </w:tcPr>
          <w:p>
            <w:r/>
            <w:r>
              <w:rPr>
                <w:sz w:val="18"/>
              </w:rPr>
              <w:t>Team</w:t>
            </w:r>
          </w:p>
        </w:tc>
        <w:tc>
          <w:tcPr>
            <w:tcW w:type="dxa" w:w="5040"/>
          </w:tcPr>
          <w:p>
            <w:r/>
            <w:r>
              <w:rPr>
                <w:sz w:val="18"/>
              </w:rPr>
              <w:t>ThreatForge</w:t>
            </w:r>
          </w:p>
        </w:tc>
      </w:tr>
      <w:tr>
        <w:tc>
          <w:tcPr>
            <w:tcW w:type="dxa" w:w="5040"/>
          </w:tcPr>
          <w:p>
            <w:r/>
            <w:r>
              <w:rPr>
                <w:sz w:val="18"/>
              </w:rPr>
              <w:t>Team members</w:t>
            </w:r>
          </w:p>
        </w:tc>
        <w:tc>
          <w:tcPr>
            <w:tcW w:type="dxa" w:w="5040"/>
          </w:tcPr>
          <w:p>
            <w:r/>
            <w:r>
              <w:rPr>
                <w:sz w:val="18"/>
              </w:rPr>
              <w:t>Deven Kulthia &lt;devenkulthia007@gmail.com&gt;</w:t>
            </w:r>
          </w:p>
        </w:tc>
      </w:tr>
      <w:tr>
        <w:tc>
          <w:tcPr>
            <w:tcW w:type="dxa" w:w="5040"/>
          </w:tcPr>
          <w:p>
            <w:r/>
            <w:r>
              <w:rPr>
                <w:sz w:val="18"/>
              </w:rPr>
              <w:t>Public repository</w:t>
            </w:r>
          </w:p>
        </w:tc>
        <w:tc>
          <w:tcPr>
            <w:tcW w:type="dxa" w:w="5040"/>
          </w:tcPr>
          <w:p>
            <w:r/>
            <w:r>
              <w:rPr>
                <w:sz w:val="18"/>
              </w:rPr>
              <w:t>https://github.com/Deven-Kulthia/ThreatForge</w:t>
            </w:r>
          </w:p>
        </w:tc>
      </w:tr>
      <w:tr>
        <w:tc>
          <w:tcPr>
            <w:tcW w:type="dxa" w:w="5040"/>
          </w:tcPr>
          <w:p>
            <w:r/>
            <w:r>
              <w:rPr>
                <w:sz w:val="18"/>
              </w:rPr>
              <w:t>Stack</w:t>
            </w:r>
          </w:p>
        </w:tc>
        <w:tc>
          <w:tcPr>
            <w:tcW w:type="dxa" w:w="5040"/>
          </w:tcPr>
          <w:p>
            <w:r/>
            <w:r>
              <w:rPr>
                <w:sz w:val="18"/>
              </w:rPr>
              <w:t>Python 3.14 (backend) · TypeScript 5.7 / React 19 (dashboard)</w:t>
            </w:r>
          </w:p>
        </w:tc>
      </w:tr>
      <w:tr>
        <w:tc>
          <w:tcPr>
            <w:tcW w:type="dxa" w:w="5040"/>
          </w:tcPr>
          <w:p>
            <w:r/>
            <w:r>
              <w:rPr>
                <w:sz w:val="18"/>
              </w:rPr>
              <w:t>Data</w:t>
            </w:r>
          </w:p>
        </w:tc>
        <w:tc>
          <w:tcPr>
            <w:tcW w:type="dxa" w:w="5040"/>
          </w:tcPr>
          <w:p>
            <w:r/>
            <w:r>
              <w:rPr>
                <w:sz w:val="18"/>
              </w:rPr>
              <w:t>100% synthetic — no real cardholder data, PII or production payment data</w:t>
            </w:r>
          </w:p>
        </w:tc>
      </w:tr>
      <w:tr>
        <w:tc>
          <w:tcPr>
            <w:tcW w:type="dxa" w:w="5040"/>
          </w:tcPr>
          <w:p>
            <w:r/>
            <w:r>
              <w:rPr>
                <w:sz w:val="18"/>
              </w:rPr>
              <w:t>Metrics generated</w:t>
            </w:r>
          </w:p>
        </w:tc>
        <w:tc>
          <w:tcPr>
            <w:tcW w:type="dxa" w:w="5040"/>
          </w:tcPr>
          <w:p>
            <w:r/>
            <w:r>
              <w:rPr>
                <w:sz w:val="18"/>
              </w:rPr>
              <w:t>2026-08-17T19:03:48Z</w:t>
            </w:r>
          </w:p>
        </w:tc>
      </w:tr>
    </w:tbl>
    <w:p>
      <w:pPr>
        <w:spacing w:after="80"/>
      </w:pPr>
    </w:p>
    <w:p>
      <w:pPr>
        <w:spacing w:after="240"/>
      </w:pPr>
      <w:r>
        <w:rPr>
          <w:b w:val="0"/>
          <w:i/>
          <w:color w:val="5A6A7E"/>
          <w:sz w:val="17"/>
        </w:rPr>
        <w:t>Every figure in this document is read from artifacts/metrics.json, produced by backend.app.evaluate. No number is typed by hand.</w:t>
      </w:r>
    </w:p>
    <w:p>
      <w:pPr>
        <w:pStyle w:val="Heading1"/>
      </w:pPr>
      <w:r>
        <w:rPr>
          <w:rFonts w:ascii="Calibri" w:hAnsi="Calibri"/>
          <w:color w:val="16202E"/>
        </w:rPr>
        <w:t>1. Overview</w:t>
      </w:r>
    </w:p>
    <w:p>
      <w:pPr>
        <w:spacing w:after="120"/>
      </w:pPr>
      <w:r>
        <w:rPr>
          <w:b w:val="0"/>
          <w:i w:val="0"/>
          <w:color w:val="16202E"/>
          <w:sz w:val="21"/>
        </w:rPr>
        <w:t>Generative AI made fraud cheap to invent, while defences still learn only from fraud that already happened — chargeback labels arrive weeks late, so a novel typology is out of distribution by definition. Aegis closes that gap by generating the attacks first. It identifies 25 GenAI-era payment-fraud vectors across 10 categories, simulates them with agents constrained to only the levers a real attacker controls, and defends with a three-stage cascade that reports honest, reproducible numbers.</w:t>
      </w:r>
    </w:p>
    <w:p>
      <w:pPr>
        <w:spacing w:after="120"/>
      </w:pPr>
      <w:r>
        <w:rPr>
          <w:b w:val="0"/>
          <w:i w:val="0"/>
          <w:color w:val="16202E"/>
          <w:sz w:val="21"/>
        </w:rPr>
        <w:t>Because every generated attack declares the detection signals it should trip before it runs, detection is graded per signal — so a miss is attributable, and the defence's blind spots become the specification for the next round of attacks. That return path is what makes this a loop rather than a pipeline.</w:t>
      </w:r>
    </w:p>
    <w:p>
      <w:pPr>
        <w:spacing w:after="120"/>
      </w:pPr>
      <w:r>
        <w:rPr>
          <w:b w:val="0"/>
          <w:i w:val="0"/>
          <w:color w:val="16202E"/>
          <w:sz w:val="21"/>
        </w:rPr>
        <w:t>The brief asks entrants to take on both sides of the problem in a red team / blue team challenge, so both sides are first-class and the dashboard labels them as such. The red team (Attack Simulator) generates attacks and declares what should catch them. The blue team (Live Stream, Investigate, Fraud Network, Performance) detects, explains, and reports back which declared signals it missed.</w:t>
      </w:r>
    </w:p>
    <w:p>
      <w:pPr>
        <w:pStyle w:val="Heading1"/>
      </w:pPr>
      <w:r>
        <w:rPr>
          <w:rFonts w:ascii="Calibri" w:hAnsi="Calibri"/>
          <w:color w:val="16202E"/>
        </w:rPr>
        <w:t>2. The novel attacks identified</w:t>
      </w:r>
    </w:p>
    <w:p>
      <w:pPr>
        <w:spacing w:after="120"/>
      </w:pPr>
      <w:r>
        <w:rPr>
          <w:b w:val="0"/>
          <w:i w:val="0"/>
          <w:color w:val="16202E"/>
          <w:sz w:val="21"/>
        </w:rPr>
        <w:t>25 distinct vectors across 10 categories, each mapped to MITRE ATLAS, each annotated with the specific role generative AI plays, and each carrying a hard_to_detect flag. 12 of 25 are deliberately built to overlap legitimate behaviour — the taxonomy is not padded with easy wins.</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tcPr>
          <w:p>
            <w:r/>
            <w:r>
              <w:rPr>
                <w:b/>
                <w:sz w:val="18"/>
              </w:rPr>
              <w:t>Category</w:t>
            </w:r>
          </w:p>
        </w:tc>
        <w:tc>
          <w:tcPr>
            <w:tcW w:type="dxa" w:w="3360"/>
          </w:tcPr>
          <w:p>
            <w:r/>
            <w:r>
              <w:rPr>
                <w:b/>
                <w:sz w:val="18"/>
              </w:rPr>
              <w:t>Representative vectors</w:t>
            </w:r>
          </w:p>
        </w:tc>
        <w:tc>
          <w:tcPr>
            <w:tcW w:type="dxa" w:w="3360"/>
          </w:tcPr>
          <w:p>
            <w:r/>
            <w:r>
              <w:rPr>
                <w:b/>
                <w:sz w:val="18"/>
              </w:rPr>
              <w:t>What GenAI changed</w:t>
            </w:r>
          </w:p>
        </w:tc>
      </w:tr>
      <w:tr>
        <w:tc>
          <w:tcPr>
            <w:tcW w:type="dxa" w:w="3360"/>
          </w:tcPr>
          <w:p>
            <w:r/>
            <w:r>
              <w:rPr>
                <w:sz w:val="18"/>
              </w:rPr>
              <w:t>Synthetic identity</w:t>
            </w:r>
          </w:p>
        </w:tc>
        <w:tc>
          <w:tcPr>
            <w:tcW w:type="dxa" w:w="3360"/>
          </w:tcPr>
          <w:p>
            <w:r/>
            <w:r>
              <w:rPr>
                <w:sz w:val="18"/>
              </w:rPr>
              <w:t>Generated-document application farm; history building; bust-out</w:t>
            </w:r>
          </w:p>
        </w:tc>
        <w:tc>
          <w:tcPr>
            <w:tcW w:type="dxa" w:w="3360"/>
          </w:tcPr>
          <w:p>
            <w:r/>
            <w:r>
              <w:rPr>
                <w:sz w:val="18"/>
              </w:rPr>
              <w:t>LLMs mass-produce coherent personas and life-event narratives that survive manual review</w:t>
            </w:r>
          </w:p>
        </w:tc>
      </w:tr>
      <w:tr>
        <w:tc>
          <w:tcPr>
            <w:tcW w:type="dxa" w:w="3360"/>
          </w:tcPr>
          <w:p>
            <w:r/>
            <w:r>
              <w:rPr>
                <w:sz w:val="18"/>
              </w:rPr>
              <w:t>Deepfake / KYC</w:t>
            </w:r>
          </w:p>
        </w:tc>
        <w:tc>
          <w:tcPr>
            <w:tcW w:type="dxa" w:w="3360"/>
          </w:tcPr>
          <w:p>
            <w:r/>
            <w:r>
              <w:rPr>
                <w:sz w:val="18"/>
              </w:rPr>
              <w:t>Liveness and KYC defeat at onboarding</w:t>
            </w:r>
          </w:p>
        </w:tc>
        <w:tc>
          <w:tcPr>
            <w:tcW w:type="dxa" w:w="3360"/>
          </w:tcPr>
          <w:p>
            <w:r/>
            <w:r>
              <w:rPr>
                <w:sz w:val="18"/>
              </w:rPr>
              <w:t>Generated video and documents defeat checks that assumed forgery was expensive</w:t>
            </w:r>
          </w:p>
        </w:tc>
      </w:tr>
      <w:tr>
        <w:tc>
          <w:tcPr>
            <w:tcW w:type="dxa" w:w="3360"/>
          </w:tcPr>
          <w:p>
            <w:r/>
            <w:r>
              <w:rPr>
                <w:sz w:val="18"/>
              </w:rPr>
              <w:t>Account takeover</w:t>
            </w:r>
          </w:p>
        </w:tc>
        <w:tc>
          <w:tcPr>
            <w:tcW w:type="dxa" w:w="3360"/>
          </w:tcPr>
          <w:p>
            <w:r/>
            <w:r>
              <w:rPr>
                <w:sz w:val="18"/>
              </w:rPr>
              <w:t>Credential stuffing; SIM-swap OTP; voice-clone call centre</w:t>
            </w:r>
          </w:p>
        </w:tc>
        <w:tc>
          <w:tcPr>
            <w:tcW w:type="dxa" w:w="3360"/>
          </w:tcPr>
          <w:p>
            <w:r/>
            <w:r>
              <w:rPr>
                <w:sz w:val="18"/>
              </w:rPr>
              <w:t>Voice cloning defeats phone-based identity verification</w:t>
            </w:r>
          </w:p>
        </w:tc>
      </w:tr>
      <w:tr>
        <w:tc>
          <w:tcPr>
            <w:tcW w:type="dxa" w:w="3360"/>
          </w:tcPr>
          <w:p>
            <w:r/>
            <w:r>
              <w:rPr>
                <w:sz w:val="18"/>
              </w:rPr>
              <w:t>Scam / social engineering</w:t>
            </w:r>
          </w:p>
        </w:tc>
        <w:tc>
          <w:tcPr>
            <w:tcW w:type="dxa" w:w="3360"/>
          </w:tcPr>
          <w:p>
            <w:r/>
            <w:r>
              <w:rPr>
                <w:sz w:val="18"/>
              </w:rPr>
              <w:t>APP scam via conversational LLM; romance / pig-butchering</w:t>
            </w:r>
          </w:p>
        </w:tc>
        <w:tc>
          <w:tcPr>
            <w:tcW w:type="dxa" w:w="3360"/>
          </w:tcPr>
          <w:p>
            <w:r/>
            <w:r>
              <w:rPr>
                <w:sz w:val="18"/>
              </w:rPr>
              <w:t>Thousands of simultaneous, individually tailored grooming conversations</w:t>
            </w:r>
          </w:p>
        </w:tc>
      </w:tr>
      <w:tr>
        <w:tc>
          <w:tcPr>
            <w:tcW w:type="dxa" w:w="3360"/>
          </w:tcPr>
          <w:p>
            <w:r/>
            <w:r>
              <w:rPr>
                <w:sz w:val="18"/>
              </w:rPr>
              <w:t>Agentic commerce</w:t>
            </w:r>
          </w:p>
        </w:tc>
        <w:tc>
          <w:tcPr>
            <w:tcW w:type="dxa" w:w="3360"/>
          </w:tcPr>
          <w:p>
            <w:r/>
            <w:r>
              <w:rPr>
                <w:sz w:val="18"/>
              </w:rPr>
              <w:t>Agent impersonation; prompt injection in merchant fields</w:t>
            </w:r>
          </w:p>
        </w:tc>
        <w:tc>
          <w:tcPr>
            <w:tcW w:type="dxa" w:w="3360"/>
          </w:tcPr>
          <w:p>
            <w:r/>
            <w:r>
              <w:rPr>
                <w:sz w:val="18"/>
              </w:rPr>
              <w:t>Autonomous agents transact for cardholders; text fields become an injection surface</w:t>
            </w:r>
          </w:p>
        </w:tc>
      </w:tr>
      <w:tr>
        <w:tc>
          <w:tcPr>
            <w:tcW w:type="dxa" w:w="3360"/>
          </w:tcPr>
          <w:p>
            <w:r/>
            <w:r>
              <w:rPr>
                <w:sz w:val="18"/>
              </w:rPr>
              <w:t>Fraud ring</w:t>
            </w:r>
          </w:p>
        </w:tc>
        <w:tc>
          <w:tcPr>
            <w:tcW w:type="dxa" w:w="3360"/>
          </w:tcPr>
          <w:p>
            <w:r/>
            <w:r>
              <w:rPr>
                <w:sz w:val="18"/>
              </w:rPr>
              <w:t>Coordinated multi-card ring; mule fan-out</w:t>
            </w:r>
          </w:p>
        </w:tc>
        <w:tc>
          <w:tcPr>
            <w:tcW w:type="dxa" w:w="3360"/>
          </w:tcPr>
          <w:p>
            <w:r/>
            <w:r>
              <w:rPr>
                <w:sz w:val="18"/>
              </w:rPr>
              <w:t>Cheap orchestration of many synthetic participants</w:t>
            </w:r>
          </w:p>
        </w:tc>
      </w:tr>
      <w:tr>
        <w:tc>
          <w:tcPr>
            <w:tcW w:type="dxa" w:w="3360"/>
          </w:tcPr>
          <w:p>
            <w:r/>
            <w:r>
              <w:rPr>
                <w:sz w:val="18"/>
              </w:rPr>
              <w:t>Merchant fraud</w:t>
            </w:r>
          </w:p>
        </w:tc>
        <w:tc>
          <w:tcPr>
            <w:tcW w:type="dxa" w:w="3360"/>
          </w:tcPr>
          <w:p>
            <w:r/>
            <w:r>
              <w:rPr>
                <w:sz w:val="18"/>
              </w:rPr>
              <w:t>Fabricated storefront; refund collusion; transaction laundering</w:t>
            </w:r>
          </w:p>
        </w:tc>
        <w:tc>
          <w:tcPr>
            <w:tcW w:type="dxa" w:w="3360"/>
          </w:tcPr>
          <w:p>
            <w:r/>
            <w:r>
              <w:rPr>
                <w:sz w:val="18"/>
              </w:rPr>
              <w:t>Generated storefronts, catalogues and reviews are trivial at scale</w:t>
            </w:r>
          </w:p>
        </w:tc>
      </w:tr>
      <w:tr>
        <w:tc>
          <w:tcPr>
            <w:tcW w:type="dxa" w:w="3360"/>
          </w:tcPr>
          <w:p>
            <w:r/>
            <w:r>
              <w:rPr>
                <w:sz w:val="18"/>
              </w:rPr>
              <w:t>Adaptive evasion</w:t>
            </w:r>
          </w:p>
        </w:tc>
        <w:tc>
          <w:tcPr>
            <w:tcW w:type="dxa" w:w="3360"/>
          </w:tcPr>
          <w:p>
            <w:r/>
            <w:r>
              <w:rPr>
                <w:sz w:val="18"/>
              </w:rPr>
              <w:t>Velocity evasion; adaptive mimicry; SCA-exemption gaming</w:t>
            </w:r>
          </w:p>
        </w:tc>
        <w:tc>
          <w:tcPr>
            <w:tcW w:type="dxa" w:w="3360"/>
          </w:tcPr>
          <w:p>
            <w:r/>
            <w:r>
              <w:rPr>
                <w:sz w:val="18"/>
              </w:rPr>
              <w:t>Models learn the victim's own baseline and stay inside it</w:t>
            </w:r>
          </w:p>
        </w:tc>
      </w:tr>
      <w:tr>
        <w:tc>
          <w:tcPr>
            <w:tcW w:type="dxa" w:w="3360"/>
          </w:tcPr>
          <w:p>
            <w:r/>
            <w:r>
              <w:rPr>
                <w:sz w:val="18"/>
              </w:rPr>
              <w:t>Enumeration</w:t>
            </w:r>
          </w:p>
        </w:tc>
        <w:tc>
          <w:tcPr>
            <w:tcW w:type="dxa" w:w="3360"/>
          </w:tcPr>
          <w:p>
            <w:r/>
            <w:r>
              <w:rPr>
                <w:sz w:val="18"/>
              </w:rPr>
              <w:t>BIN enumeration bursts</w:t>
            </w:r>
          </w:p>
        </w:tc>
        <w:tc>
          <w:tcPr>
            <w:tcW w:type="dxa" w:w="3360"/>
          </w:tcPr>
          <w:p>
            <w:r/>
            <w:r>
              <w:rPr>
                <w:sz w:val="18"/>
              </w:rPr>
              <w:t>Automated, distributed card testing</w:t>
            </w:r>
          </w:p>
        </w:tc>
      </w:tr>
      <w:tr>
        <w:tc>
          <w:tcPr>
            <w:tcW w:type="dxa" w:w="3360"/>
          </w:tcPr>
          <w:p>
            <w:r/>
            <w:r>
              <w:rPr>
                <w:sz w:val="18"/>
              </w:rPr>
              <w:t>First-party fraud</w:t>
            </w:r>
          </w:p>
        </w:tc>
        <w:tc>
          <w:tcPr>
            <w:tcW w:type="dxa" w:w="3360"/>
          </w:tcPr>
          <w:p>
            <w:r/>
            <w:r>
              <w:rPr>
                <w:sz w:val="18"/>
              </w:rPr>
              <w:t>Mandate replay abuse; dispute abuse</w:t>
            </w:r>
          </w:p>
        </w:tc>
        <w:tc>
          <w:tcPr>
            <w:tcW w:type="dxa" w:w="3360"/>
          </w:tcPr>
          <w:p>
            <w:r/>
            <w:r>
              <w:rPr>
                <w:sz w:val="18"/>
              </w:rPr>
              <w:t>Templated, plausible dispute narratives at scale</w:t>
            </w:r>
          </w:p>
        </w:tc>
      </w:tr>
    </w:tbl>
    <w:p>
      <w:pPr>
        <w:spacing w:after="80"/>
      </w:pPr>
    </w:p>
    <w:p>
      <w:pPr>
        <w:spacing w:after="120"/>
      </w:pPr>
      <w:r>
        <w:rPr>
          <w:b w:val="0"/>
          <w:i w:val="0"/>
          <w:color w:val="16202E"/>
          <w:sz w:val="21"/>
        </w:rPr>
        <w:t>Coverage includes all four threats Mastercard AI Garage named publicly: synthetic identities, deepfake KYC, fake merchant storefronts and AI-enabled scams.</w:t>
      </w:r>
    </w:p>
    <w:p>
      <w:pPr>
        <w:spacing w:after="120"/>
      </w:pPr>
      <w:r>
        <w:rPr>
          <w:b w:val="0"/>
          <w:i w:val="0"/>
          <w:color w:val="16202E"/>
          <w:sz w:val="21"/>
        </w:rPr>
        <w:t>The hardest case, deliberately included: APP_SCAM_LLM. The genuine cardholder, on their own device, with real 3-D Secure authentication, willingly authorises the payment. Every credential signal is clean; only the intent is wrong. Most detectors implicitly assume compromised credentials — this one has none.</w:t>
      </w:r>
    </w:p>
    <w:p>
      <w:pPr>
        <w:pStyle w:val="Heading1"/>
      </w:pPr>
      <w:r>
        <w:rPr>
          <w:rFonts w:ascii="Calibri" w:hAnsi="Calibri"/>
          <w:color w:val="16202E"/>
        </w:rPr>
        <w:t>3. How the system generates and simulates those attacks</w:t>
      </w:r>
    </w:p>
    <w:p>
      <w:pPr>
        <w:spacing w:after="120"/>
      </w:pPr>
      <w:r>
        <w:rPr>
          <w:b w:val="0"/>
          <w:i w:val="0"/>
          <w:color w:val="16202E"/>
          <w:sz w:val="21"/>
        </w:rPr>
        <w:t>Environment. ISO-8583-inspired authorization schema: 1,650 tokenised cards, 263 merchants, 44 days of traffic, 90,258 transactions at 3.83% fraud across 75 campaigns. A PAN never exists in this system — card identifiers are tokens. Every record carries synthetic: true.</w:t>
      </w:r>
    </w:p>
    <w:p>
      <w:pPr>
        <w:pStyle w:val="Heading2"/>
      </w:pPr>
      <w:r>
        <w:rPr>
          <w:rFonts w:ascii="Calibri" w:hAnsi="Calibri"/>
          <w:color w:val="0B2B4A"/>
        </w:rPr>
        <w:t>3.1 The feasible-action constraint</w:t>
      </w:r>
    </w:p>
    <w:p>
      <w:pPr>
        <w:spacing w:after="120"/>
      </w:pPr>
      <w:r>
        <w:rPr>
          <w:b w:val="0"/>
          <w:i w:val="0"/>
          <w:color w:val="16202E"/>
          <w:sz w:val="21"/>
        </w:rPr>
        <w:t>The standing criticism of adversarial machine learning on tabular data is that papers perturb features an attacker cannot control, producing impressive numbers and unusable systems. Our generators may move only what an attacker really controls:</w:t>
      </w:r>
    </w:p>
    <w:p>
      <w:pPr>
        <w:pStyle w:val="ListBullet"/>
        <w:spacing w:after="60"/>
      </w:pPr>
      <w:r>
        <w:rPr>
          <w:sz w:val="21"/>
        </w:rPr>
        <w:t>amount, and how it splits across attempts</w:t>
      </w:r>
    </w:p>
    <w:p>
      <w:pPr>
        <w:pStyle w:val="ListBullet"/>
        <w:spacing w:after="60"/>
      </w:pPr>
      <w:r>
        <w:rPr>
          <w:sz w:val="21"/>
        </w:rPr>
        <w:t>timing, inter-arrival cadence, burst shape</w:t>
      </w:r>
    </w:p>
    <w:p>
      <w:pPr>
        <w:pStyle w:val="ListBullet"/>
        <w:spacing w:after="60"/>
      </w:pPr>
      <w:r>
        <w:rPr>
          <w:sz w:val="21"/>
        </w:rPr>
        <w:t>merchant and MCC selection</w:t>
      </w:r>
    </w:p>
    <w:p>
      <w:pPr>
        <w:pStyle w:val="ListBullet"/>
        <w:spacing w:after="60"/>
      </w:pPr>
      <w:r>
        <w:rPr>
          <w:sz w:val="21"/>
        </w:rPr>
        <w:t>device and channel presentation</w:t>
      </w:r>
    </w:p>
    <w:p>
      <w:pPr>
        <w:pStyle w:val="ListBullet"/>
        <w:spacing w:after="60"/>
      </w:pPr>
      <w:r>
        <w:rPr>
          <w:sz w:val="21"/>
        </w:rPr>
        <w:t>sequencing — probe, escalate, cash out</w:t>
      </w:r>
    </w:p>
    <w:p>
      <w:pPr>
        <w:pStyle w:val="ListBullet"/>
        <w:spacing w:after="60"/>
      </w:pPr>
      <w:r>
        <w:rPr>
          <w:sz w:val="21"/>
        </w:rPr>
        <w:t>text in merchant-controlled fields</w:t>
      </w:r>
    </w:p>
    <w:p>
      <w:pPr>
        <w:spacing w:after="120"/>
      </w:pPr>
      <w:r>
        <w:rPr>
          <w:b w:val="0"/>
          <w:i w:val="0"/>
          <w:color w:val="16202E"/>
          <w:sz w:val="21"/>
        </w:rPr>
        <w:t>Held invariant — not the attacker's to change: the victim's own historical baseline, issuer-side risk state, network-assigned identifiers, AVS/CVV results returned by the issuer, another cardholder's genuine behaviour, and any label the defence later assigns.</w:t>
      </w:r>
    </w:p>
    <w:p>
      <w:pPr>
        <w:spacing w:after="120"/>
      </w:pPr>
      <w:r>
        <w:rPr>
          <w:b w:val="0"/>
          <w:i w:val="0"/>
          <w:color w:val="16202E"/>
          <w:sz w:val="21"/>
        </w:rPr>
        <w:t>This costs headline numbers — it is far easier to score well against attacks that cheat by editing issuer-side fields. But an attack requiring a rewrite of the victim's own history is data corruption, not an attack. The constraint is what makes the detection results mean anything operationally.</w:t>
      </w:r>
    </w:p>
    <w:p>
      <w:pPr>
        <w:pStyle w:val="Heading2"/>
      </w:pPr>
      <w:r>
        <w:rPr>
          <w:rFonts w:ascii="Calibri" w:hAnsi="Calibri"/>
          <w:color w:val="0B2B4A"/>
        </w:rPr>
        <w:t>3.2 Fidelity evidence — measured, not asserted</w:t>
      </w:r>
    </w:p>
    <w:p>
      <w:pPr>
        <w:spacing w:after="120"/>
      </w:pPr>
      <w:r>
        <w:rPr>
          <w:b w:val="0"/>
          <w:i w:val="0"/>
          <w:color w:val="16202E"/>
          <w:sz w:val="21"/>
        </w:rPr>
        <w:t>Fidelity is judged instrumentally, so it is measured. 9/9 marginals within published reference bands; max raw-field univariate auc 0.8958, mean attack/legit overlap 0.6557.</w:t>
      </w:r>
    </w:p>
    <w:p>
      <w:pPr>
        <w:spacing w:after="60"/>
      </w:pPr>
      <w:r>
        <w:rPr>
          <w:b/>
          <w:i w:val="0"/>
          <w:color w:val="16202E"/>
          <w:sz w:val="21"/>
        </w:rPr>
        <w:t>Generated marginals against published reference bands:</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520"/>
          </w:tcPr>
          <w:p>
            <w:r/>
            <w:r>
              <w:rPr>
                <w:b/>
                <w:sz w:val="18"/>
              </w:rPr>
              <w:t>Measure</w:t>
            </w:r>
          </w:p>
        </w:tc>
        <w:tc>
          <w:tcPr>
            <w:tcW w:type="dxa" w:w="2520"/>
          </w:tcPr>
          <w:p>
            <w:r/>
            <w:r>
              <w:rPr>
                <w:b/>
                <w:sz w:val="18"/>
              </w:rPr>
              <w:t>Value</w:t>
            </w:r>
          </w:p>
        </w:tc>
        <w:tc>
          <w:tcPr>
            <w:tcW w:type="dxa" w:w="2520"/>
          </w:tcPr>
          <w:p>
            <w:r/>
            <w:r>
              <w:rPr>
                <w:b/>
                <w:sz w:val="18"/>
              </w:rPr>
              <w:t>Reference band</w:t>
            </w:r>
          </w:p>
        </w:tc>
        <w:tc>
          <w:tcPr>
            <w:tcW w:type="dxa" w:w="2520"/>
          </w:tcPr>
          <w:p>
            <w:r/>
            <w:r>
              <w:rPr>
                <w:b/>
                <w:sz w:val="18"/>
              </w:rPr>
              <w:t>In band</w:t>
            </w:r>
          </w:p>
        </w:tc>
      </w:tr>
      <w:tr>
        <w:tc>
          <w:tcPr>
            <w:tcW w:type="dxa" w:w="2520"/>
          </w:tcPr>
          <w:p>
            <w:r/>
            <w:r>
              <w:rPr>
                <w:sz w:val="18"/>
              </w:rPr>
              <w:t>legit baseline fraud bps</w:t>
            </w:r>
          </w:p>
        </w:tc>
        <w:tc>
          <w:tcPr>
            <w:tcW w:type="dxa" w:w="2520"/>
          </w:tcPr>
          <w:p>
            <w:r/>
            <w:r>
              <w:rPr>
                <w:sz w:val="18"/>
              </w:rPr>
              <w:t>0.0</w:t>
            </w:r>
          </w:p>
        </w:tc>
        <w:tc>
          <w:tcPr>
            <w:tcW w:type="dxa" w:w="2520"/>
          </w:tcPr>
          <w:p>
            <w:r/>
            <w:r>
              <w:rPr>
                <w:sz w:val="18"/>
              </w:rPr>
              <w:t>0.0 – 60.0</w:t>
            </w:r>
          </w:p>
        </w:tc>
        <w:tc>
          <w:tcPr>
            <w:tcW w:type="dxa" w:w="2520"/>
          </w:tcPr>
          <w:p>
            <w:r/>
            <w:r>
              <w:rPr>
                <w:sz w:val="18"/>
              </w:rPr>
              <w:t>yes</w:t>
            </w:r>
          </w:p>
        </w:tc>
      </w:tr>
      <w:tr>
        <w:tc>
          <w:tcPr>
            <w:tcW w:type="dxa" w:w="2520"/>
          </w:tcPr>
          <w:p>
            <w:r/>
            <w:r>
              <w:rPr>
                <w:sz w:val="18"/>
              </w:rPr>
              <w:t>cnp share</w:t>
            </w:r>
          </w:p>
        </w:tc>
        <w:tc>
          <w:tcPr>
            <w:tcW w:type="dxa" w:w="2520"/>
          </w:tcPr>
          <w:p>
            <w:r/>
            <w:r>
              <w:rPr>
                <w:sz w:val="18"/>
              </w:rPr>
              <w:t>0.42365</w:t>
            </w:r>
          </w:p>
        </w:tc>
        <w:tc>
          <w:tcPr>
            <w:tcW w:type="dxa" w:w="2520"/>
          </w:tcPr>
          <w:p>
            <w:r/>
            <w:r>
              <w:rPr>
                <w:sz w:val="18"/>
              </w:rPr>
              <w:t>0.3 – 0.6</w:t>
            </w:r>
          </w:p>
        </w:tc>
        <w:tc>
          <w:tcPr>
            <w:tcW w:type="dxa" w:w="2520"/>
          </w:tcPr>
          <w:p>
            <w:r/>
            <w:r>
              <w:rPr>
                <w:sz w:val="18"/>
              </w:rPr>
              <w:t>yes</w:t>
            </w:r>
          </w:p>
        </w:tc>
      </w:tr>
      <w:tr>
        <w:tc>
          <w:tcPr>
            <w:tcW w:type="dxa" w:w="2520"/>
          </w:tcPr>
          <w:p>
            <w:r/>
            <w:r>
              <w:rPr>
                <w:sz w:val="18"/>
              </w:rPr>
              <w:t>cross border share</w:t>
            </w:r>
          </w:p>
        </w:tc>
        <w:tc>
          <w:tcPr>
            <w:tcW w:type="dxa" w:w="2520"/>
          </w:tcPr>
          <w:p>
            <w:r/>
            <w:r>
              <w:rPr>
                <w:sz w:val="18"/>
              </w:rPr>
              <w:t>0.10309</w:t>
            </w:r>
          </w:p>
        </w:tc>
        <w:tc>
          <w:tcPr>
            <w:tcW w:type="dxa" w:w="2520"/>
          </w:tcPr>
          <w:p>
            <w:r/>
            <w:r>
              <w:rPr>
                <w:sz w:val="18"/>
              </w:rPr>
              <w:t>0.03 – 0.2</w:t>
            </w:r>
          </w:p>
        </w:tc>
        <w:tc>
          <w:tcPr>
            <w:tcW w:type="dxa" w:w="2520"/>
          </w:tcPr>
          <w:p>
            <w:r/>
            <w:r>
              <w:rPr>
                <w:sz w:val="18"/>
              </w:rPr>
              <w:t>yes</w:t>
            </w:r>
          </w:p>
        </w:tc>
      </w:tr>
      <w:tr>
        <w:tc>
          <w:tcPr>
            <w:tcW w:type="dxa" w:w="2520"/>
          </w:tcPr>
          <w:p>
            <w:r/>
            <w:r>
              <w:rPr>
                <w:sz w:val="18"/>
              </w:rPr>
              <w:t>night share</w:t>
            </w:r>
          </w:p>
        </w:tc>
        <w:tc>
          <w:tcPr>
            <w:tcW w:type="dxa" w:w="2520"/>
          </w:tcPr>
          <w:p>
            <w:r/>
            <w:r>
              <w:rPr>
                <w:sz w:val="18"/>
              </w:rPr>
              <w:t>0.03422</w:t>
            </w:r>
          </w:p>
        </w:tc>
        <w:tc>
          <w:tcPr>
            <w:tcW w:type="dxa" w:w="2520"/>
          </w:tcPr>
          <w:p>
            <w:r/>
            <w:r>
              <w:rPr>
                <w:sz w:val="18"/>
              </w:rPr>
              <w:t>0.02 – 0.18</w:t>
            </w:r>
          </w:p>
        </w:tc>
        <w:tc>
          <w:tcPr>
            <w:tcW w:type="dxa" w:w="2520"/>
          </w:tcPr>
          <w:p>
            <w:r/>
            <w:r>
              <w:rPr>
                <w:sz w:val="18"/>
              </w:rPr>
              <w:t>yes</w:t>
            </w:r>
          </w:p>
        </w:tc>
      </w:tr>
      <w:tr>
        <w:tc>
          <w:tcPr>
            <w:tcW w:type="dxa" w:w="2520"/>
          </w:tcPr>
          <w:p>
            <w:r/>
            <w:r>
              <w:rPr>
                <w:sz w:val="18"/>
              </w:rPr>
              <w:t>benford mad</w:t>
            </w:r>
          </w:p>
        </w:tc>
        <w:tc>
          <w:tcPr>
            <w:tcW w:type="dxa" w:w="2520"/>
          </w:tcPr>
          <w:p>
            <w:r/>
            <w:r>
              <w:rPr>
                <w:sz w:val="18"/>
              </w:rPr>
              <w:t>0.00101</w:t>
            </w:r>
          </w:p>
        </w:tc>
        <w:tc>
          <w:tcPr>
            <w:tcW w:type="dxa" w:w="2520"/>
          </w:tcPr>
          <w:p>
            <w:r/>
            <w:r>
              <w:rPr>
                <w:sz w:val="18"/>
              </w:rPr>
              <w:t>0.0 – 0.015</w:t>
            </w:r>
          </w:p>
        </w:tc>
        <w:tc>
          <w:tcPr>
            <w:tcW w:type="dxa" w:w="2520"/>
          </w:tcPr>
          <w:p>
            <w:r/>
            <w:r>
              <w:rPr>
                <w:sz w:val="18"/>
              </w:rPr>
              <w:t>yes</w:t>
            </w:r>
          </w:p>
        </w:tc>
      </w:tr>
      <w:tr>
        <w:tc>
          <w:tcPr>
            <w:tcW w:type="dxa" w:w="2520"/>
          </w:tcPr>
          <w:p>
            <w:r/>
            <w:r>
              <w:rPr>
                <w:sz w:val="18"/>
              </w:rPr>
              <w:t>log amount abs skew</w:t>
            </w:r>
          </w:p>
        </w:tc>
        <w:tc>
          <w:tcPr>
            <w:tcW w:type="dxa" w:w="2520"/>
          </w:tcPr>
          <w:p>
            <w:r/>
            <w:r>
              <w:rPr>
                <w:sz w:val="18"/>
              </w:rPr>
              <w:t>0.00471</w:t>
            </w:r>
          </w:p>
        </w:tc>
        <w:tc>
          <w:tcPr>
            <w:tcW w:type="dxa" w:w="2520"/>
          </w:tcPr>
          <w:p>
            <w:r/>
            <w:r>
              <w:rPr>
                <w:sz w:val="18"/>
              </w:rPr>
              <w:t>0.0 – 1.0</w:t>
            </w:r>
          </w:p>
        </w:tc>
        <w:tc>
          <w:tcPr>
            <w:tcW w:type="dxa" w:w="2520"/>
          </w:tcPr>
          <w:p>
            <w:r/>
            <w:r>
              <w:rPr>
                <w:sz w:val="18"/>
              </w:rPr>
              <w:t>yes</w:t>
            </w:r>
          </w:p>
        </w:tc>
      </w:tr>
      <w:tr>
        <w:tc>
          <w:tcPr>
            <w:tcW w:type="dxa" w:w="2520"/>
          </w:tcPr>
          <w:p>
            <w:r/>
            <w:r>
              <w:rPr>
                <w:sz w:val="18"/>
              </w:rPr>
              <w:t>dispersion index</w:t>
            </w:r>
          </w:p>
        </w:tc>
        <w:tc>
          <w:tcPr>
            <w:tcW w:type="dxa" w:w="2520"/>
          </w:tcPr>
          <w:p>
            <w:r/>
            <w:r>
              <w:rPr>
                <w:sz w:val="18"/>
              </w:rPr>
              <w:t>35.22185</w:t>
            </w:r>
          </w:p>
        </w:tc>
        <w:tc>
          <w:tcPr>
            <w:tcW w:type="dxa" w:w="2520"/>
          </w:tcPr>
          <w:p>
            <w:r/>
            <w:r>
              <w:rPr>
                <w:sz w:val="18"/>
              </w:rPr>
              <w:t>1.0 – 400.0</w:t>
            </w:r>
          </w:p>
        </w:tc>
        <w:tc>
          <w:tcPr>
            <w:tcW w:type="dxa" w:w="2520"/>
          </w:tcPr>
          <w:p>
            <w:r/>
            <w:r>
              <w:rPr>
                <w:sz w:val="18"/>
              </w:rPr>
              <w:t>yes</w:t>
            </w:r>
          </w:p>
        </w:tc>
      </w:tr>
      <w:tr>
        <w:tc>
          <w:tcPr>
            <w:tcW w:type="dxa" w:w="2520"/>
          </w:tcPr>
          <w:p>
            <w:r/>
            <w:r>
              <w:rPr>
                <w:sz w:val="18"/>
              </w:rPr>
              <w:t>mcc gini</w:t>
            </w:r>
          </w:p>
        </w:tc>
        <w:tc>
          <w:tcPr>
            <w:tcW w:type="dxa" w:w="2520"/>
          </w:tcPr>
          <w:p>
            <w:r/>
            <w:r>
              <w:rPr>
                <w:sz w:val="18"/>
              </w:rPr>
              <w:t>0.44472</w:t>
            </w:r>
          </w:p>
        </w:tc>
        <w:tc>
          <w:tcPr>
            <w:tcW w:type="dxa" w:w="2520"/>
          </w:tcPr>
          <w:p>
            <w:r/>
            <w:r>
              <w:rPr>
                <w:sz w:val="18"/>
              </w:rPr>
              <w:t>0.25 – 0.85</w:t>
            </w:r>
          </w:p>
        </w:tc>
        <w:tc>
          <w:tcPr>
            <w:tcW w:type="dxa" w:w="2520"/>
          </w:tcPr>
          <w:p>
            <w:r/>
            <w:r>
              <w:rPr>
                <w:sz w:val="18"/>
              </w:rPr>
              <w:t>yes</w:t>
            </w:r>
          </w:p>
        </w:tc>
      </w:tr>
      <w:tr>
        <w:tc>
          <w:tcPr>
            <w:tcW w:type="dxa" w:w="2520"/>
          </w:tcPr>
          <w:p>
            <w:r/>
            <w:r>
              <w:rPr>
                <w:sz w:val="18"/>
              </w:rPr>
              <w:t>mean primary device share</w:t>
            </w:r>
          </w:p>
        </w:tc>
        <w:tc>
          <w:tcPr>
            <w:tcW w:type="dxa" w:w="2520"/>
          </w:tcPr>
          <w:p>
            <w:r/>
            <w:r>
              <w:rPr>
                <w:sz w:val="18"/>
              </w:rPr>
              <w:t>0.97024</w:t>
            </w:r>
          </w:p>
        </w:tc>
        <w:tc>
          <w:tcPr>
            <w:tcW w:type="dxa" w:w="2520"/>
          </w:tcPr>
          <w:p>
            <w:r/>
            <w:r>
              <w:rPr>
                <w:sz w:val="18"/>
              </w:rPr>
              <w:t>0.55 – 1.0</w:t>
            </w:r>
          </w:p>
        </w:tc>
        <w:tc>
          <w:tcPr>
            <w:tcW w:type="dxa" w:w="2520"/>
          </w:tcPr>
          <w:p>
            <w:r/>
            <w:r>
              <w:rPr>
                <w:sz w:val="18"/>
              </w:rPr>
              <w:t>yes</w:t>
            </w:r>
          </w:p>
        </w:tc>
      </w:tr>
    </w:tbl>
    <w:p>
      <w:pPr>
        <w:spacing w:after="80"/>
      </w:pPr>
    </w:p>
    <w:p>
      <w:pPr>
        <w:spacing w:after="120"/>
      </w:pPr>
      <w:r>
        <w:rPr>
          <w:b w:val="0"/>
          <w:i w:val="0"/>
          <w:color w:val="16202E"/>
          <w:sz w:val="21"/>
        </w:rPr>
        <w:t>Amounts obey Benford's law at 0.0010 MAD — inside Nigrini's published 'close conformity' threshold of 0.006 — and we did not tune for it. Bands are public and deliberately wide: sanity bands, not calibration targets.</w:t>
      </w:r>
    </w:p>
    <w:p>
      <w:pPr>
        <w:spacing w:after="60"/>
      </w:pPr>
      <w:r>
        <w:rPr>
          <w:b/>
          <w:i w:val="0"/>
          <w:color w:val="16202E"/>
          <w:sz w:val="21"/>
        </w:rPr>
        <w:t>Non-separability — the anti-'trivially separable' evidence:</w:t>
      </w:r>
    </w:p>
    <w:p>
      <w:pPr>
        <w:spacing w:after="120"/>
      </w:pPr>
      <w:r>
        <w:rPr>
          <w:b w:val="0"/>
          <w:i w:val="0"/>
          <w:color w:val="16202E"/>
          <w:sz w:val="21"/>
        </w:rPr>
        <w:t>If attack traffic came from an obviously different process, any classifier would score ~1.0 and the whole evaluation would be meaningless. Measured on raw authorization fields, with no engineered features — here, low is good.</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tcPr>
          <w:p>
            <w:r/>
            <w:r>
              <w:rPr>
                <w:b/>
                <w:sz w:val="18"/>
              </w:rPr>
              <w:t>Raw field</w:t>
            </w:r>
          </w:p>
        </w:tc>
        <w:tc>
          <w:tcPr>
            <w:tcW w:type="dxa" w:w="3360"/>
          </w:tcPr>
          <w:p>
            <w:r/>
            <w:r>
              <w:rPr>
                <w:b/>
                <w:sz w:val="18"/>
              </w:rPr>
              <w:t>Univariate AUC</w:t>
            </w:r>
          </w:p>
        </w:tc>
        <w:tc>
          <w:tcPr>
            <w:tcW w:type="dxa" w:w="3360"/>
          </w:tcPr>
          <w:p>
            <w:r/>
            <w:r>
              <w:rPr>
                <w:b/>
                <w:sz w:val="18"/>
              </w:rPr>
              <w:t>Attack/legit overlap</w:t>
            </w:r>
          </w:p>
        </w:tc>
      </w:tr>
      <w:tr>
        <w:tc>
          <w:tcPr>
            <w:tcW w:type="dxa" w:w="3360"/>
          </w:tcPr>
          <w:p>
            <w:r/>
            <w:r>
              <w:rPr>
                <w:sz w:val="18"/>
              </w:rPr>
              <w:t>cross_border</w:t>
            </w:r>
          </w:p>
        </w:tc>
        <w:tc>
          <w:tcPr>
            <w:tcW w:type="dxa" w:w="3360"/>
          </w:tcPr>
          <w:p>
            <w:r/>
            <w:r>
              <w:rPr>
                <w:sz w:val="18"/>
              </w:rPr>
              <w:t>0.896</w:t>
            </w:r>
          </w:p>
        </w:tc>
        <w:tc>
          <w:tcPr>
            <w:tcW w:type="dxa" w:w="3360"/>
          </w:tcPr>
          <w:p>
            <w:r/>
            <w:r>
              <w:rPr>
                <w:sz w:val="18"/>
              </w:rPr>
              <w:t>0.208</w:t>
            </w:r>
          </w:p>
        </w:tc>
      </w:tr>
      <w:tr>
        <w:tc>
          <w:tcPr>
            <w:tcW w:type="dxa" w:w="3360"/>
          </w:tcPr>
          <w:p>
            <w:r/>
            <w:r>
              <w:rPr>
                <w:sz w:val="18"/>
              </w:rPr>
              <w:t>card_present</w:t>
            </w:r>
          </w:p>
        </w:tc>
        <w:tc>
          <w:tcPr>
            <w:tcW w:type="dxa" w:w="3360"/>
          </w:tcPr>
          <w:p>
            <w:r/>
            <w:r>
              <w:rPr>
                <w:sz w:val="18"/>
              </w:rPr>
              <w:t>0.788</w:t>
            </w:r>
          </w:p>
        </w:tc>
        <w:tc>
          <w:tcPr>
            <w:tcW w:type="dxa" w:w="3360"/>
          </w:tcPr>
          <w:p>
            <w:r/>
            <w:r>
              <w:rPr>
                <w:sz w:val="18"/>
              </w:rPr>
              <w:t>0.424</w:t>
            </w:r>
          </w:p>
        </w:tc>
      </w:tr>
      <w:tr>
        <w:tc>
          <w:tcPr>
            <w:tcW w:type="dxa" w:w="3360"/>
          </w:tcPr>
          <w:p>
            <w:r/>
            <w:r>
              <w:rPr>
                <w:sz w:val="18"/>
              </w:rPr>
              <w:t>merchant_age_days</w:t>
            </w:r>
          </w:p>
        </w:tc>
        <w:tc>
          <w:tcPr>
            <w:tcW w:type="dxa" w:w="3360"/>
          </w:tcPr>
          <w:p>
            <w:r/>
            <w:r>
              <w:rPr>
                <w:sz w:val="18"/>
              </w:rPr>
              <w:t>0.706</w:t>
            </w:r>
          </w:p>
        </w:tc>
        <w:tc>
          <w:tcPr>
            <w:tcW w:type="dxa" w:w="3360"/>
          </w:tcPr>
          <w:p>
            <w:r/>
            <w:r>
              <w:rPr>
                <w:sz w:val="18"/>
              </w:rPr>
              <w:t>0.550</w:t>
            </w:r>
          </w:p>
        </w:tc>
      </w:tr>
      <w:tr>
        <w:tc>
          <w:tcPr>
            <w:tcW w:type="dxa" w:w="3360"/>
          </w:tcPr>
          <w:p>
            <w:r/>
            <w:r>
              <w:rPr>
                <w:sz w:val="18"/>
              </w:rPr>
              <w:t>hour_of_day</w:t>
            </w:r>
          </w:p>
        </w:tc>
        <w:tc>
          <w:tcPr>
            <w:tcW w:type="dxa" w:w="3360"/>
          </w:tcPr>
          <w:p>
            <w:r/>
            <w:r>
              <w:rPr>
                <w:sz w:val="18"/>
              </w:rPr>
              <w:t>0.651</w:t>
            </w:r>
          </w:p>
        </w:tc>
        <w:tc>
          <w:tcPr>
            <w:tcW w:type="dxa" w:w="3360"/>
          </w:tcPr>
          <w:p>
            <w:r/>
            <w:r>
              <w:rPr>
                <w:sz w:val="18"/>
              </w:rPr>
              <w:t>0.667</w:t>
            </w:r>
          </w:p>
        </w:tc>
      </w:tr>
      <w:tr>
        <w:tc>
          <w:tcPr>
            <w:tcW w:type="dxa" w:w="3360"/>
          </w:tcPr>
          <w:p>
            <w:r/>
            <w:r>
              <w:rPr>
                <w:sz w:val="18"/>
              </w:rPr>
              <w:t>amount</w:t>
            </w:r>
          </w:p>
        </w:tc>
        <w:tc>
          <w:tcPr>
            <w:tcW w:type="dxa" w:w="3360"/>
          </w:tcPr>
          <w:p>
            <w:r/>
            <w:r>
              <w:rPr>
                <w:sz w:val="18"/>
              </w:rPr>
              <w:t>0.559</w:t>
            </w:r>
          </w:p>
        </w:tc>
        <w:tc>
          <w:tcPr>
            <w:tcW w:type="dxa" w:w="3360"/>
          </w:tcPr>
          <w:p>
            <w:r/>
            <w:r>
              <w:rPr>
                <w:sz w:val="18"/>
              </w:rPr>
              <w:t>0.860</w:t>
            </w:r>
          </w:p>
        </w:tc>
      </w:tr>
      <w:tr>
        <w:tc>
          <w:tcPr>
            <w:tcW w:type="dxa" w:w="3360"/>
          </w:tcPr>
          <w:p>
            <w:r/>
            <w:r>
              <w:rPr>
                <w:sz w:val="18"/>
              </w:rPr>
              <w:t>network_token_used</w:t>
            </w:r>
          </w:p>
        </w:tc>
        <w:tc>
          <w:tcPr>
            <w:tcW w:type="dxa" w:w="3360"/>
          </w:tcPr>
          <w:p>
            <w:r/>
            <w:r>
              <w:rPr>
                <w:sz w:val="18"/>
              </w:rPr>
              <w:t>0.552</w:t>
            </w:r>
          </w:p>
        </w:tc>
        <w:tc>
          <w:tcPr>
            <w:tcW w:type="dxa" w:w="3360"/>
          </w:tcPr>
          <w:p>
            <w:r/>
            <w:r>
              <w:rPr>
                <w:sz w:val="18"/>
              </w:rPr>
              <w:t>0.895</w:t>
            </w:r>
          </w:p>
        </w:tc>
      </w:tr>
      <w:tr>
        <w:tc>
          <w:tcPr>
            <w:tcW w:type="dxa" w:w="3360"/>
          </w:tcPr>
          <w:p>
            <w:r/>
            <w:r>
              <w:rPr>
                <w:sz w:val="18"/>
              </w:rPr>
              <w:t>is_recurring</w:t>
            </w:r>
          </w:p>
        </w:tc>
        <w:tc>
          <w:tcPr>
            <w:tcW w:type="dxa" w:w="3360"/>
          </w:tcPr>
          <w:p>
            <w:r/>
            <w:r>
              <w:rPr>
                <w:sz w:val="18"/>
              </w:rPr>
              <w:t>0.507</w:t>
            </w:r>
          </w:p>
        </w:tc>
        <w:tc>
          <w:tcPr>
            <w:tcW w:type="dxa" w:w="3360"/>
          </w:tcPr>
          <w:p>
            <w:r/>
            <w:r>
              <w:rPr>
                <w:sz w:val="18"/>
              </w:rPr>
              <w:t>0.986</w:t>
            </w:r>
          </w:p>
        </w:tc>
      </w:tr>
    </w:tbl>
    <w:p>
      <w:pPr>
        <w:spacing w:after="80"/>
      </w:pPr>
    </w:p>
    <w:p>
      <w:pPr>
        <w:spacing w:after="120"/>
      </w:pPr>
      <w:r>
        <w:rPr>
          <w:b w:val="0"/>
          <w:i w:val="0"/>
          <w:color w:val="16202E"/>
          <w:sz w:val="21"/>
        </w:rPr>
        <w:t>Max raw-field AUC 0.8958, mean overlap 0.6557. The amount row matters most: at AUC 0.559 the generator plainly does not take the usual shortcut of making fraud large — the failure mode that renders most synthetic fraud corpora trivially separable. Cross-border is the highest single field, and that is realistic rather than an artefact: cross-border genuinely carries elevated fraud rates in live portfolios.</w:t>
      </w:r>
    </w:p>
    <w:p>
      <w:pPr>
        <w:pStyle w:val="Heading2"/>
      </w:pPr>
      <w:r>
        <w:rPr>
          <w:rFonts w:ascii="Calibri" w:hAnsi="Calibri"/>
          <w:color w:val="0B2B4A"/>
        </w:rPr>
        <w:t>3.3 Safety</w:t>
      </w:r>
    </w:p>
    <w:p>
      <w:pPr>
        <w:spacing w:after="120"/>
      </w:pPr>
      <w:r>
        <w:rPr>
          <w:b w:val="0"/>
          <w:i w:val="0"/>
          <w:color w:val="C2410C"/>
          <w:sz w:val="21"/>
        </w:rPr>
        <w:t>The simulator has no network client at all. This is enforced by an AST-level test that parses every simulator module and fails the build if a networking import, subprocess, or dynamic execution appears. Competition Rules §3(b) require that adversarial testing does not target live systems, payment infrastructure or third parties — met in code, not promised in prose.</w:t>
      </w:r>
    </w:p>
    <w:p>
      <w:pPr>
        <w:pStyle w:val="Heading1"/>
      </w:pPr>
      <w:r>
        <w:rPr>
          <w:rFonts w:ascii="Calibri" w:hAnsi="Calibri"/>
          <w:color w:val="16202E"/>
        </w:rPr>
        <w:t>4. The detection and mitigation model, with efficacy results</w:t>
      </w:r>
    </w:p>
    <w:p>
      <w:pPr>
        <w:spacing w:after="120"/>
      </w:pPr>
      <w:r>
        <w:rPr>
          <w:b w:val="0"/>
          <w:i w:val="0"/>
          <w:color w:val="16202E"/>
          <w:sz w:val="21"/>
        </w:rPr>
        <w:t>Three-stage cascade: 39 deterministic rule signals → HistGradientBoostingClassifier → graph structure on the riskiest 20% of traffic → arbiter → isotonic calibration. 57 strictly causal features across four families: velocity, deviation from the account's own baseline, graph, and verification coherence. No feature sees the label or the future — the test suite proves it by recomputing features on a truncated prefix and requiring identical values.</w:t>
      </w:r>
    </w:p>
    <w:p>
      <w:pPr>
        <w:spacing w:after="120"/>
      </w:pPr>
      <w:r>
        <w:rPr>
          <w:b w:val="0"/>
          <w:i w:val="0"/>
          <w:color w:val="16202E"/>
          <w:sz w:val="21"/>
        </w:rPr>
        <w:t>The expensive graph stage is gated by an explicit compute budget (the riskiest 20%) rather than a score threshold, because a threshold lets cost spike exactly when an attack floods the high-risk band. A budget cannot.</w:t>
      </w:r>
    </w:p>
    <w:p>
      <w:pPr>
        <w:pStyle w:val="Heading2"/>
      </w:pPr>
      <w:r>
        <w:rPr>
          <w:rFonts w:ascii="Calibri" w:hAnsi="Calibri"/>
          <w:color w:val="0B2B4A"/>
        </w:rPr>
        <w:t>4.1 Methodology</w:t>
      </w:r>
    </w:p>
    <w:p>
      <w:pPr>
        <w:spacing w:after="120"/>
      </w:pPr>
      <w:r>
        <w:rPr>
          <w:b w:val="0"/>
          <w:i w:val="0"/>
          <w:color w:val="16202E"/>
          <w:sz w:val="21"/>
        </w:rPr>
        <w:t>temporal with delay block — train 58,667, test 27,078, with 5% of the timeline discarded between them. Test prevalence 2.98%. Chargeback labels arrive weeks after the transaction, so a random split would leak the future into the past and produce a score that cannot be reproduced in production.</w:t>
      </w:r>
    </w:p>
    <w:p>
      <w:pPr>
        <w:pStyle w:val="Heading2"/>
      </w:pPr>
      <w:r>
        <w:rPr>
          <w:rFonts w:ascii="Calibri" w:hAnsi="Calibri"/>
          <w:color w:val="0B2B4A"/>
        </w:rPr>
        <w:t>4.2 Headline results</w:t>
      </w:r>
    </w:p>
    <w:tbl>
      <w:tblPr>
        <w:tblStyle w:val="LightGrid-Accent1"/>
        <w:tblW w:type="auto" w:w="0"/>
        <w:jc w:val="center"/>
        <w:tblLook w:firstColumn="1" w:firstRow="1" w:lastColumn="0" w:lastRow="0" w:noHBand="0" w:noVBand="1" w:val="04A0"/>
      </w:tblPr>
      <w:tblGrid>
        <w:gridCol w:w="5040"/>
        <w:gridCol w:w="5040"/>
      </w:tblGrid>
      <w:tr>
        <w:tc>
          <w:tcPr>
            <w:tcW w:type="dxa" w:w="5040"/>
          </w:tcPr>
          <w:p>
            <w:r/>
            <w:r>
              <w:rPr>
                <w:b/>
                <w:sz w:val="18"/>
              </w:rPr>
              <w:t>Metric</w:t>
            </w:r>
          </w:p>
        </w:tc>
        <w:tc>
          <w:tcPr>
            <w:tcW w:type="dxa" w:w="5040"/>
          </w:tcPr>
          <w:p>
            <w:r/>
            <w:r>
              <w:rPr>
                <w:b/>
                <w:sz w:val="18"/>
              </w:rPr>
              <w:t>Value</w:t>
            </w:r>
          </w:p>
        </w:tc>
      </w:tr>
      <w:tr>
        <w:tc>
          <w:tcPr>
            <w:tcW w:type="dxa" w:w="5040"/>
          </w:tcPr>
          <w:p>
            <w:r/>
            <w:r>
              <w:rPr>
                <w:sz w:val="18"/>
              </w:rPr>
              <w:t>PR-AUC</w:t>
            </w:r>
          </w:p>
        </w:tc>
        <w:tc>
          <w:tcPr>
            <w:tcW w:type="dxa" w:w="5040"/>
          </w:tcPr>
          <w:p>
            <w:r/>
            <w:r>
              <w:rPr>
                <w:sz w:val="18"/>
              </w:rPr>
              <w:t>0.9435  (95% CI 0.931 – 0.957, bootstrapped)</w:t>
            </w:r>
          </w:p>
        </w:tc>
      </w:tr>
      <w:tr>
        <w:tc>
          <w:tcPr>
            <w:tcW w:type="dxa" w:w="5040"/>
          </w:tcPr>
          <w:p>
            <w:r/>
            <w:r>
              <w:rPr>
                <w:sz w:val="18"/>
              </w:rPr>
              <w:t>ROC-AUC</w:t>
            </w:r>
          </w:p>
        </w:tc>
        <w:tc>
          <w:tcPr>
            <w:tcW w:type="dxa" w:w="5040"/>
          </w:tcPr>
          <w:p>
            <w:r/>
            <w:r>
              <w:rPr>
                <w:sz w:val="18"/>
              </w:rPr>
              <w:t>0.9894  (for comparability; optimistic under imbalance)</w:t>
            </w:r>
          </w:p>
        </w:tc>
      </w:tr>
      <w:tr>
        <w:tc>
          <w:tcPr>
            <w:tcW w:type="dxa" w:w="5040"/>
          </w:tcPr>
          <w:p>
            <w:r/>
            <w:r>
              <w:rPr>
                <w:sz w:val="18"/>
              </w:rPr>
              <w:t>Best-F1 operating point</w:t>
            </w:r>
          </w:p>
        </w:tc>
        <w:tc>
          <w:tcPr>
            <w:tcW w:type="dxa" w:w="5040"/>
          </w:tcPr>
          <w:p>
            <w:r/>
            <w:r>
              <w:rPr>
                <w:sz w:val="18"/>
              </w:rPr>
              <w:t>F1 0.929 — precision 0.972 / recall 0.891</w:t>
            </w:r>
          </w:p>
        </w:tc>
      </w:tr>
      <w:tr>
        <w:tc>
          <w:tcPr>
            <w:tcW w:type="dxa" w:w="5040"/>
          </w:tcPr>
          <w:p>
            <w:r/>
            <w:r>
              <w:rPr>
                <w:sz w:val="18"/>
              </w:rPr>
              <w:t>False-positive (insult) rate</w:t>
            </w:r>
          </w:p>
        </w:tc>
        <w:tc>
          <w:tcPr>
            <w:tcW w:type="dxa" w:w="5040"/>
          </w:tcPr>
          <w:p>
            <w:r/>
            <w:r>
              <w:rPr>
                <w:sz w:val="18"/>
              </w:rPr>
              <w:t>0.00080  (21 FP against 26,251 legitimate)</w:t>
            </w:r>
          </w:p>
        </w:tc>
      </w:tr>
      <w:tr>
        <w:tc>
          <w:tcPr>
            <w:tcW w:type="dxa" w:w="5040"/>
          </w:tcPr>
          <w:p>
            <w:r/>
            <w:r>
              <w:rPr>
                <w:sz w:val="18"/>
              </w:rPr>
              <w:t>Confusion matrix</w:t>
            </w:r>
          </w:p>
        </w:tc>
        <w:tc>
          <w:tcPr>
            <w:tcW w:type="dxa" w:w="5040"/>
          </w:tcPr>
          <w:p>
            <w:r/>
            <w:r>
              <w:rPr>
                <w:sz w:val="18"/>
              </w:rPr>
              <w:t>TP 718 · FP 21 · FN 88 · TN 26,251</w:t>
            </w:r>
          </w:p>
        </w:tc>
      </w:tr>
      <w:tr>
        <w:tc>
          <w:tcPr>
            <w:tcW w:type="dxa" w:w="5040"/>
          </w:tcPr>
          <w:p>
            <w:r/>
            <w:r>
              <w:rPr>
                <w:sz w:val="18"/>
              </w:rPr>
              <w:t>Value detection rate</w:t>
            </w:r>
          </w:p>
        </w:tc>
        <w:tc>
          <w:tcPr>
            <w:tcW w:type="dxa" w:w="5040"/>
          </w:tcPr>
          <w:p>
            <w:r/>
            <w:r>
              <w:rPr>
                <w:sz w:val="18"/>
              </w:rPr>
              <w:t>0.941 — share of attempted fraud value stopped</w:t>
            </w:r>
          </w:p>
        </w:tc>
      </w:tr>
      <w:tr>
        <w:tc>
          <w:tcPr>
            <w:tcW w:type="dxa" w:w="5040"/>
          </w:tcPr>
          <w:p>
            <w:r/>
            <w:r>
              <w:rPr>
                <w:sz w:val="18"/>
              </w:rPr>
              <w:t>Calibration</w:t>
            </w:r>
          </w:p>
        </w:tc>
        <w:tc>
          <w:tcPr>
            <w:tcW w:type="dxa" w:w="5040"/>
          </w:tcPr>
          <w:p>
            <w:r/>
            <w:r>
              <w:rPr>
                <w:sz w:val="18"/>
              </w:rPr>
              <w:t>ECE 0.00378 (10-bin) · Brier 0.00445 · isotonic regression on a held-out temporal slice</w:t>
            </w:r>
          </w:p>
        </w:tc>
      </w:tr>
      <w:tr>
        <w:tc>
          <w:tcPr>
            <w:tcW w:type="dxa" w:w="5040"/>
          </w:tcPr>
          <w:p>
            <w:r/>
            <w:r>
              <w:rPr>
                <w:sz w:val="18"/>
              </w:rPr>
              <w:t>Decision latency</w:t>
            </w:r>
          </w:p>
        </w:tc>
        <w:tc>
          <w:tcPr>
            <w:tcW w:type="dxa" w:w="5040"/>
          </w:tcPr>
          <w:p>
            <w:r/>
            <w:r>
              <w:rPr>
                <w:sz w:val="18"/>
              </w:rPr>
              <w:t>p50 13.65 ms · p95 16.23 ms · p99 18.79 ms (inline path)</w:t>
            </w:r>
          </w:p>
        </w:tc>
      </w:tr>
      <w:tr>
        <w:tc>
          <w:tcPr>
            <w:tcW w:type="dxa" w:w="5040"/>
          </w:tcPr>
          <w:p>
            <w:r/>
            <w:r>
              <w:rPr>
                <w:sz w:val="18"/>
              </w:rPr>
              <w:t>Zero-day recall</w:t>
            </w:r>
          </w:p>
        </w:tc>
        <w:tc>
          <w:tcPr>
            <w:tcW w:type="dxa" w:w="5040"/>
          </w:tcPr>
          <w:p>
            <w:r/>
            <w:r>
              <w:rPr>
                <w:sz w:val="18"/>
              </w:rPr>
              <w:t>0.718 on 6 vectors never trained on</w:t>
            </w:r>
          </w:p>
        </w:tc>
      </w:tr>
    </w:tbl>
    <w:p>
      <w:pPr>
        <w:spacing w:after="80"/>
      </w:pPr>
    </w:p>
    <w:p>
      <w:pPr>
        <w:spacing w:after="120"/>
      </w:pPr>
      <w:r>
        <w:rPr>
          <w:b w:val="0"/>
          <w:i w:val="0"/>
          <w:color w:val="16202E"/>
          <w:sz w:val="21"/>
        </w:rPr>
        <w:t>PR-AUC is the headline because at 2.98% prevalence a model that blocks nothing scores 97.0% accuracy. Accuracy is meaningless here.</w:t>
      </w:r>
    </w:p>
    <w:p>
      <w:pPr>
        <w:pStyle w:val="Heading2"/>
      </w:pPr>
      <w:r>
        <w:rPr>
          <w:rFonts w:ascii="Calibri" w:hAnsi="Calibri"/>
          <w:color w:val="0B2B4A"/>
        </w:rPr>
        <w:t>4.3 Three operating points</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520"/>
          </w:tcPr>
          <w:p>
            <w:r/>
            <w:r>
              <w:rPr>
                <w:b/>
                <w:sz w:val="18"/>
              </w:rPr>
              <w:t>Operating point</w:t>
            </w:r>
          </w:p>
        </w:tc>
        <w:tc>
          <w:tcPr>
            <w:tcW w:type="dxa" w:w="2520"/>
          </w:tcPr>
          <w:p>
            <w:r/>
            <w:r>
              <w:rPr>
                <w:b/>
                <w:sz w:val="18"/>
              </w:rPr>
              <w:t>Precision</w:t>
            </w:r>
          </w:p>
        </w:tc>
        <w:tc>
          <w:tcPr>
            <w:tcW w:type="dxa" w:w="2520"/>
          </w:tcPr>
          <w:p>
            <w:r/>
            <w:r>
              <w:rPr>
                <w:b/>
                <w:sz w:val="18"/>
              </w:rPr>
              <w:t>Recall</w:t>
            </w:r>
          </w:p>
        </w:tc>
        <w:tc>
          <w:tcPr>
            <w:tcW w:type="dxa" w:w="2520"/>
          </w:tcPr>
          <w:p>
            <w:r/>
            <w:r>
              <w:rPr>
                <w:b/>
                <w:sz w:val="18"/>
              </w:rPr>
              <w:t>Notes</w:t>
            </w:r>
          </w:p>
        </w:tc>
      </w:tr>
      <w:tr>
        <w:tc>
          <w:tcPr>
            <w:tcW w:type="dxa" w:w="2520"/>
          </w:tcPr>
          <w:p>
            <w:r/>
            <w:r>
              <w:rPr>
                <w:sz w:val="18"/>
              </w:rPr>
              <w:t>Best-F1</w:t>
            </w:r>
          </w:p>
        </w:tc>
        <w:tc>
          <w:tcPr>
            <w:tcW w:type="dxa" w:w="2520"/>
          </w:tcPr>
          <w:p>
            <w:r/>
            <w:r>
              <w:rPr>
                <w:sz w:val="18"/>
              </w:rPr>
              <w:t>0.972</w:t>
            </w:r>
          </w:p>
        </w:tc>
        <w:tc>
          <w:tcPr>
            <w:tcW w:type="dxa" w:w="2520"/>
          </w:tcPr>
          <w:p>
            <w:r/>
            <w:r>
              <w:rPr>
                <w:sz w:val="18"/>
              </w:rPr>
              <w:t>0.891</w:t>
            </w:r>
          </w:p>
        </w:tc>
        <w:tc>
          <w:tcPr>
            <w:tcW w:type="dxa" w:w="2520"/>
          </w:tcPr>
          <w:p>
            <w:r/>
            <w:r>
              <w:rPr>
                <w:sz w:val="18"/>
              </w:rPr>
              <w:t>F1 0.929</w:t>
            </w:r>
          </w:p>
        </w:tc>
      </w:tr>
      <w:tr>
        <w:tc>
          <w:tcPr>
            <w:tcW w:type="dxa" w:w="2520"/>
          </w:tcPr>
          <w:p>
            <w:r/>
            <w:r>
              <w:rPr>
                <w:sz w:val="18"/>
              </w:rPr>
              <w:t>Capacity-constrained (1% review budget)</w:t>
            </w:r>
          </w:p>
        </w:tc>
        <w:tc>
          <w:tcPr>
            <w:tcW w:type="dxa" w:w="2520"/>
          </w:tcPr>
          <w:p>
            <w:r/>
            <w:r>
              <w:rPr>
                <w:sz w:val="18"/>
              </w:rPr>
              <w:t>0.993</w:t>
            </w:r>
          </w:p>
        </w:tc>
        <w:tc>
          <w:tcPr>
            <w:tcW w:type="dxa" w:w="2520"/>
          </w:tcPr>
          <w:p>
            <w:r/>
            <w:r>
              <w:rPr>
                <w:sz w:val="18"/>
              </w:rPr>
              <w:t>0.334</w:t>
            </w:r>
          </w:p>
        </w:tc>
        <w:tc>
          <w:tcPr>
            <w:tcW w:type="dxa" w:w="2520"/>
          </w:tcPr>
          <w:p>
            <w:r/>
            <w:r>
              <w:rPr>
                <w:sz w:val="18"/>
              </w:rPr>
              <w:t>271 alerts; ceiling 0.336</w:t>
            </w:r>
          </w:p>
        </w:tc>
      </w:tr>
      <w:tr>
        <w:tc>
          <w:tcPr>
            <w:tcW w:type="dxa" w:w="2520"/>
          </w:tcPr>
          <w:p>
            <w:r/>
            <w:r>
              <w:rPr>
                <w:sz w:val="18"/>
              </w:rPr>
              <w:t>Prevalence-matched</w:t>
            </w:r>
          </w:p>
        </w:tc>
        <w:tc>
          <w:tcPr>
            <w:tcW w:type="dxa" w:w="2520"/>
          </w:tcPr>
          <w:p>
            <w:r/>
            <w:r>
              <w:rPr>
                <w:sz w:val="18"/>
              </w:rPr>
              <w:t>0.909</w:t>
            </w:r>
          </w:p>
        </w:tc>
        <w:tc>
          <w:tcPr>
            <w:tcW w:type="dxa" w:w="2520"/>
          </w:tcPr>
          <w:p>
            <w:r/>
            <w:r>
              <w:rPr>
                <w:sz w:val="18"/>
              </w:rPr>
              <w:t>0.909</w:t>
            </w:r>
          </w:p>
        </w:tc>
        <w:tc>
          <w:tcPr>
            <w:tcW w:type="dxa" w:w="2520"/>
          </w:tcPr>
          <w:p>
            <w:r/>
            <w:r>
              <w:rPr>
                <w:sz w:val="18"/>
              </w:rPr>
              <w:t>806 alerts; not budget-capped</w:t>
            </w:r>
          </w:p>
        </w:tc>
      </w:tr>
    </w:tbl>
    <w:p>
      <w:pPr>
        <w:spacing w:after="80"/>
      </w:pPr>
    </w:p>
    <w:p>
      <w:pPr>
        <w:spacing w:after="120"/>
      </w:pPr>
      <w:r>
        <w:rPr>
          <w:b w:val="0"/>
          <w:i w:val="0"/>
          <w:color w:val="16202E"/>
          <w:sz w:val="21"/>
        </w:rPr>
        <w:t>Read the ceiling before the recall. At a 1% alert budget and 2.98% prevalence, the maximum recall any detector could achieve is 0.336. We reach 0.334 — 99.3% of the mathematical ceiling. If a hospital has 10 beds and 30 patients, treating 10 is a bed shortage, not a doctor failure.</w:t>
      </w:r>
    </w:p>
    <w:p>
      <w:pPr>
        <w:pStyle w:val="Heading2"/>
      </w:pPr>
      <w:r>
        <w:rPr>
          <w:rFonts w:ascii="Calibri" w:hAnsi="Calibri"/>
          <w:color w:val="0B2B4A"/>
        </w:rPr>
        <w:t>4.4 Zero-day generalisation — the novelty evidence</w:t>
      </w:r>
    </w:p>
    <w:p>
      <w:pPr>
        <w:spacing w:after="120"/>
      </w:pPr>
      <w:r>
        <w:rPr>
          <w:b w:val="0"/>
          <w:i w:val="0"/>
          <w:color w:val="16202E"/>
          <w:sz w:val="21"/>
        </w:rPr>
        <w:t>6 vectors removed from training entirely, then scored at a threshold calibrated on seen traffic only, with no retuning. Aggregate 0.718 across 975 transactions.</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2520"/>
          </w:tcPr>
          <w:p>
            <w:r/>
            <w:r>
              <w:rPr>
                <w:b/>
                <w:sz w:val="18"/>
              </w:rPr>
              <w:t>Held-out vector</w:t>
            </w:r>
          </w:p>
        </w:tc>
        <w:tc>
          <w:tcPr>
            <w:tcW w:type="dxa" w:w="2520"/>
          </w:tcPr>
          <w:p>
            <w:r/>
            <w:r>
              <w:rPr>
                <w:b/>
                <w:sz w:val="18"/>
              </w:rPr>
              <w:t>n</w:t>
            </w:r>
          </w:p>
        </w:tc>
        <w:tc>
          <w:tcPr>
            <w:tcW w:type="dxa" w:w="2520"/>
          </w:tcPr>
          <w:p>
            <w:r/>
            <w:r>
              <w:rPr>
                <w:b/>
                <w:sz w:val="18"/>
              </w:rPr>
              <w:t>Recall</w:t>
            </w:r>
          </w:p>
        </w:tc>
        <w:tc>
          <w:tcPr>
            <w:tcW w:type="dxa" w:w="2520"/>
          </w:tcPr>
          <w:p>
            <w:r/>
            <w:r>
              <w:rPr>
                <w:b/>
                <w:sz w:val="18"/>
              </w:rPr>
              <w:t>Mean risk</w:t>
            </w:r>
          </w:p>
        </w:tc>
      </w:tr>
      <w:tr>
        <w:tc>
          <w:tcPr>
            <w:tcW w:type="dxa" w:w="2520"/>
          </w:tcPr>
          <w:p>
            <w:r/>
            <w:r>
              <w:rPr>
                <w:sz w:val="18"/>
              </w:rPr>
              <w:t>BIN_ENUMERATION_BURST</w:t>
            </w:r>
          </w:p>
        </w:tc>
        <w:tc>
          <w:tcPr>
            <w:tcW w:type="dxa" w:w="2520"/>
          </w:tcPr>
          <w:p>
            <w:r/>
            <w:r>
              <w:rPr>
                <w:sz w:val="18"/>
              </w:rPr>
              <w:t>300</w:t>
            </w:r>
          </w:p>
        </w:tc>
        <w:tc>
          <w:tcPr>
            <w:tcW w:type="dxa" w:w="2520"/>
          </w:tcPr>
          <w:p>
            <w:r/>
            <w:r>
              <w:rPr>
                <w:sz w:val="18"/>
              </w:rPr>
              <w:t>1.000</w:t>
            </w:r>
          </w:p>
        </w:tc>
        <w:tc>
          <w:tcPr>
            <w:tcW w:type="dxa" w:w="2520"/>
          </w:tcPr>
          <w:p>
            <w:r/>
            <w:r>
              <w:rPr>
                <w:sz w:val="18"/>
              </w:rPr>
              <w:t>1.000</w:t>
            </w:r>
          </w:p>
        </w:tc>
      </w:tr>
      <w:tr>
        <w:tc>
          <w:tcPr>
            <w:tcW w:type="dxa" w:w="2520"/>
          </w:tcPr>
          <w:p>
            <w:r/>
            <w:r>
              <w:rPr>
                <w:sz w:val="18"/>
              </w:rPr>
              <w:t>SYNTH_ID_BUSTOUT</w:t>
            </w:r>
          </w:p>
        </w:tc>
        <w:tc>
          <w:tcPr>
            <w:tcW w:type="dxa" w:w="2520"/>
          </w:tcPr>
          <w:p>
            <w:r/>
            <w:r>
              <w:rPr>
                <w:sz w:val="18"/>
              </w:rPr>
              <w:t>168</w:t>
            </w:r>
          </w:p>
        </w:tc>
        <w:tc>
          <w:tcPr>
            <w:tcW w:type="dxa" w:w="2520"/>
          </w:tcPr>
          <w:p>
            <w:r/>
            <w:r>
              <w:rPr>
                <w:sz w:val="18"/>
              </w:rPr>
              <w:t>0.982</w:t>
            </w:r>
          </w:p>
        </w:tc>
        <w:tc>
          <w:tcPr>
            <w:tcW w:type="dxa" w:w="2520"/>
          </w:tcPr>
          <w:p>
            <w:r/>
            <w:r>
              <w:rPr>
                <w:sz w:val="18"/>
              </w:rPr>
              <w:t>0.999</w:t>
            </w:r>
          </w:p>
        </w:tc>
      </w:tr>
      <w:tr>
        <w:tc>
          <w:tcPr>
            <w:tcW w:type="dxa" w:w="2520"/>
          </w:tcPr>
          <w:p>
            <w:r/>
            <w:r>
              <w:rPr>
                <w:sz w:val="18"/>
              </w:rPr>
              <w:t>ATO_CREDENTIAL_STUFF</w:t>
            </w:r>
          </w:p>
        </w:tc>
        <w:tc>
          <w:tcPr>
            <w:tcW w:type="dxa" w:w="2520"/>
          </w:tcPr>
          <w:p>
            <w:r/>
            <w:r>
              <w:rPr>
                <w:sz w:val="18"/>
              </w:rPr>
              <w:t>117</w:t>
            </w:r>
          </w:p>
        </w:tc>
        <w:tc>
          <w:tcPr>
            <w:tcW w:type="dxa" w:w="2520"/>
          </w:tcPr>
          <w:p>
            <w:r/>
            <w:r>
              <w:rPr>
                <w:sz w:val="18"/>
              </w:rPr>
              <w:t>0.974</w:t>
            </w:r>
          </w:p>
        </w:tc>
        <w:tc>
          <w:tcPr>
            <w:tcW w:type="dxa" w:w="2520"/>
          </w:tcPr>
          <w:p>
            <w:r/>
            <w:r>
              <w:rPr>
                <w:sz w:val="18"/>
              </w:rPr>
              <w:t>0.997</w:t>
            </w:r>
          </w:p>
        </w:tc>
      </w:tr>
      <w:tr>
        <w:tc>
          <w:tcPr>
            <w:tcW w:type="dxa" w:w="2520"/>
          </w:tcPr>
          <w:p>
            <w:r/>
            <w:r>
              <w:rPr>
                <w:sz w:val="18"/>
              </w:rPr>
              <w:t>APP_SCAM_LLM</w:t>
            </w:r>
          </w:p>
        </w:tc>
        <w:tc>
          <w:tcPr>
            <w:tcW w:type="dxa" w:w="2520"/>
          </w:tcPr>
          <w:p>
            <w:r/>
            <w:r>
              <w:rPr>
                <w:sz w:val="18"/>
              </w:rPr>
              <w:t>30</w:t>
            </w:r>
          </w:p>
        </w:tc>
        <w:tc>
          <w:tcPr>
            <w:tcW w:type="dxa" w:w="2520"/>
          </w:tcPr>
          <w:p>
            <w:r/>
            <w:r>
              <w:rPr>
                <w:sz w:val="18"/>
              </w:rPr>
              <w:t>0.800</w:t>
            </w:r>
          </w:p>
        </w:tc>
        <w:tc>
          <w:tcPr>
            <w:tcW w:type="dxa" w:w="2520"/>
          </w:tcPr>
          <w:p>
            <w:r/>
            <w:r>
              <w:rPr>
                <w:sz w:val="18"/>
              </w:rPr>
              <w:t>0.988</w:t>
            </w:r>
          </w:p>
        </w:tc>
      </w:tr>
      <w:tr>
        <w:tc>
          <w:tcPr>
            <w:tcW w:type="dxa" w:w="2520"/>
          </w:tcPr>
          <w:p>
            <w:r/>
            <w:r>
              <w:rPr>
                <w:sz w:val="18"/>
              </w:rPr>
              <w:t>ROMANCE_PIG_BUTCHERING</w:t>
            </w:r>
          </w:p>
        </w:tc>
        <w:tc>
          <w:tcPr>
            <w:tcW w:type="dxa" w:w="2520"/>
          </w:tcPr>
          <w:p>
            <w:r/>
            <w:r>
              <w:rPr>
                <w:sz w:val="18"/>
              </w:rPr>
              <w:t>144</w:t>
            </w:r>
          </w:p>
        </w:tc>
        <w:tc>
          <w:tcPr>
            <w:tcW w:type="dxa" w:w="2520"/>
          </w:tcPr>
          <w:p>
            <w:r/>
            <w:r>
              <w:rPr>
                <w:sz w:val="18"/>
              </w:rPr>
              <w:t>0.500</w:t>
            </w:r>
          </w:p>
        </w:tc>
        <w:tc>
          <w:tcPr>
            <w:tcW w:type="dxa" w:w="2520"/>
          </w:tcPr>
          <w:p>
            <w:r/>
            <w:r>
              <w:rPr>
                <w:sz w:val="18"/>
              </w:rPr>
              <w:t>0.931</w:t>
            </w:r>
          </w:p>
        </w:tc>
      </w:tr>
      <w:tr>
        <w:tc>
          <w:tcPr>
            <w:tcW w:type="dxa" w:w="2520"/>
          </w:tcPr>
          <w:p>
            <w:r/>
            <w:r>
              <w:rPr>
                <w:sz w:val="18"/>
              </w:rPr>
              <w:t>AGENT_IMPERSONATION</w:t>
            </w:r>
          </w:p>
        </w:tc>
        <w:tc>
          <w:tcPr>
            <w:tcW w:type="dxa" w:w="2520"/>
          </w:tcPr>
          <w:p>
            <w:r/>
            <w:r>
              <w:rPr>
                <w:sz w:val="18"/>
              </w:rPr>
              <w:t>216</w:t>
            </w:r>
          </w:p>
        </w:tc>
        <w:tc>
          <w:tcPr>
            <w:tcW w:type="dxa" w:w="2520"/>
          </w:tcPr>
          <w:p>
            <w:r/>
            <w:r>
              <w:rPr>
                <w:sz w:val="18"/>
              </w:rPr>
              <w:t>0.116</w:t>
            </w:r>
          </w:p>
        </w:tc>
        <w:tc>
          <w:tcPr>
            <w:tcW w:type="dxa" w:w="2520"/>
          </w:tcPr>
          <w:p>
            <w:r/>
            <w:r>
              <w:rPr>
                <w:sz w:val="18"/>
              </w:rPr>
              <w:t>0.866</w:t>
            </w:r>
          </w:p>
        </w:tc>
      </w:tr>
    </w:tbl>
    <w:p>
      <w:pPr>
        <w:spacing w:after="80"/>
      </w:pPr>
    </w:p>
    <w:p>
      <w:pPr>
        <w:spacing w:after="120"/>
      </w:pPr>
      <w:r>
        <w:rPr>
          <w:b w:val="0"/>
          <w:i w:val="0"/>
          <w:color w:val="16202E"/>
          <w:sz w:val="21"/>
        </w:rPr>
        <w:t>Recall on attacks the model trained on measures memorisation. This measures whether a causal feature layer transfers to fraud that did not exist when the model was fit.</w:t>
      </w:r>
    </w:p>
    <w:p>
      <w:pPr>
        <w:pStyle w:val="Heading2"/>
      </w:pPr>
      <w:r>
        <w:rPr>
          <w:rFonts w:ascii="Calibri" w:hAnsi="Calibri"/>
          <w:color w:val="0B2B4A"/>
        </w:rPr>
        <w:t>4.5 Explainability</w:t>
      </w:r>
    </w:p>
    <w:p>
      <w:pPr>
        <w:spacing w:after="120"/>
      </w:pPr>
      <w:r>
        <w:rPr>
          <w:b w:val="0"/>
          <w:i w:val="0"/>
          <w:color w:val="16202E"/>
          <w:sz w:val="21"/>
        </w:rPr>
        <w:t>A declined payment may legally require a reason, and model governance expects decisions to be reconstructable. Every alert carries four things:</w:t>
      </w:r>
    </w:p>
    <w:p>
      <w:pPr>
        <w:pStyle w:val="ListBullet"/>
        <w:spacing w:after="60"/>
      </w:pPr>
      <w:r>
        <w:rPr>
          <w:b/>
          <w:sz w:val="21"/>
        </w:rPr>
        <w:t xml:space="preserve">Decision — </w:t>
      </w:r>
      <w:r>
        <w:rPr>
          <w:sz w:val="21"/>
        </w:rPr>
        <w:t>calibrated risk, band, and recommended action (allow / review / step up / block), alongside the payment's own verification attributes.</w:t>
      </w:r>
    </w:p>
    <w:p>
      <w:pPr>
        <w:pStyle w:val="ListBullet"/>
        <w:spacing w:after="60"/>
      </w:pPr>
      <w:r>
        <w:rPr>
          <w:b/>
          <w:sz w:val="21"/>
        </w:rPr>
        <w:t xml:space="preserve">Exact score decomposition — </w:t>
      </w:r>
      <w:r>
        <w:rPr>
          <w:sz w:val="21"/>
        </w:rPr>
        <w:t>additive contributions to the arbiter's log-odds. Not estimates: the terms sum to the score, and the test suite verifies the reconciliation against the model's own decision function.</w:t>
      </w:r>
    </w:p>
    <w:p>
      <w:pPr>
        <w:pStyle w:val="ListBullet"/>
        <w:spacing w:after="60"/>
      </w:pPr>
      <w:r>
        <w:rPr>
          <w:b/>
          <w:sz w:val="21"/>
        </w:rPr>
        <w:t xml:space="preserve">Reason codes — </w:t>
      </w:r>
      <w:r>
        <w:rPr>
          <w:sz w:val="21"/>
        </w:rPr>
        <w:t>ranked, in analyst language rather than feature names.</w:t>
      </w:r>
    </w:p>
    <w:p>
      <w:pPr>
        <w:pStyle w:val="ListBullet"/>
        <w:spacing w:after="60"/>
      </w:pPr>
      <w:r>
        <w:rPr>
          <w:b/>
          <w:sz w:val="21"/>
        </w:rPr>
        <w:t xml:space="preserve">Counterfactual — </w:t>
      </w:r>
      <w:r>
        <w:rPr>
          <w:sz w:val="21"/>
        </w:rPr>
        <w:t>what would have to change for the payment to score benign.</w:t>
      </w:r>
    </w:p>
    <w:p>
      <w:pPr>
        <w:spacing w:after="120"/>
      </w:pPr>
      <w:r>
        <w:rPr>
          <w:b w:val="0"/>
          <w:i w:val="0"/>
          <w:color w:val="16202E"/>
          <w:sz w:val="21"/>
        </w:rPr>
        <w:t>Honest boundary: per-row attribution inside the gradient-boosted component is not claimed. Its contribution appears as a single exact term and its feature importance is reported globally and labelled as global. SHAP could not be installed (numba fails on Python 3.14), and shipping an approximate explainer while calling it attribution would be worse than naming the limit.</w:t>
      </w:r>
    </w:p>
    <w:p>
      <w:pPr>
        <w:pStyle w:val="Heading1"/>
      </w:pPr>
      <w:r>
        <w:rPr>
          <w:rFonts w:ascii="Calibri" w:hAnsi="Calibri"/>
          <w:color w:val="16202E"/>
        </w:rPr>
        <w:t>5. Where it fails</w:t>
      </w:r>
    </w:p>
    <w:p>
      <w:pPr>
        <w:spacing w:after="120"/>
      </w:pPr>
      <w:r>
        <w:rPr>
          <w:b w:val="0"/>
          <w:i w:val="0"/>
          <w:color w:val="16202E"/>
          <w:sz w:val="21"/>
        </w:rPr>
        <w:t>Per-attack recall at the capacity-constrained operating point, worst first:</w:t>
      </w:r>
    </w:p>
    <w:tbl>
      <w:tblPr>
        <w:tblStyle w:val="LightGrid-Accent1"/>
        <w:tblW w:type="auto" w:w="0"/>
        <w:jc w:val="center"/>
        <w:tblLook w:firstColumn="1" w:firstRow="1" w:lastColumn="0" w:lastRow="0" w:noHBand="0" w:noVBand="1" w:val="04A0"/>
      </w:tblPr>
      <w:tblGrid>
        <w:gridCol w:w="2016"/>
        <w:gridCol w:w="2016"/>
        <w:gridCol w:w="2016"/>
        <w:gridCol w:w="2016"/>
        <w:gridCol w:w="2016"/>
      </w:tblGrid>
      <w:tr>
        <w:tc>
          <w:tcPr>
            <w:tcW w:type="dxa" w:w="2016"/>
          </w:tcPr>
          <w:p>
            <w:r/>
            <w:r>
              <w:rPr>
                <w:b/>
                <w:sz w:val="18"/>
              </w:rPr>
              <w:t>Vector</w:t>
            </w:r>
          </w:p>
        </w:tc>
        <w:tc>
          <w:tcPr>
            <w:tcW w:type="dxa" w:w="2016"/>
          </w:tcPr>
          <w:p>
            <w:r/>
            <w:r>
              <w:rPr>
                <w:b/>
                <w:sz w:val="18"/>
              </w:rPr>
              <w:t>n</w:t>
            </w:r>
          </w:p>
        </w:tc>
        <w:tc>
          <w:tcPr>
            <w:tcW w:type="dxa" w:w="2016"/>
          </w:tcPr>
          <w:p>
            <w:r/>
            <w:r>
              <w:rPr>
                <w:b/>
                <w:sz w:val="18"/>
              </w:rPr>
              <w:t>Recall @1%</w:t>
            </w:r>
          </w:p>
        </w:tc>
        <w:tc>
          <w:tcPr>
            <w:tcW w:type="dxa" w:w="2016"/>
          </w:tcPr>
          <w:p>
            <w:r/>
            <w:r>
              <w:rPr>
                <w:b/>
                <w:sz w:val="18"/>
              </w:rPr>
              <w:t>Mean risk</w:t>
            </w:r>
          </w:p>
        </w:tc>
        <w:tc>
          <w:tcPr>
            <w:tcW w:type="dxa" w:w="2016"/>
          </w:tcPr>
          <w:p>
            <w:r/>
            <w:r>
              <w:rPr>
                <w:b/>
                <w:sz w:val="18"/>
              </w:rPr>
              <w:t>Hard by design</w:t>
            </w:r>
          </w:p>
        </w:tc>
      </w:tr>
      <w:tr>
        <w:tc>
          <w:tcPr>
            <w:tcW w:type="dxa" w:w="2016"/>
          </w:tcPr>
          <w:p>
            <w:r/>
            <w:r>
              <w:rPr>
                <w:sz w:val="18"/>
              </w:rPr>
              <w:t>REFUND_ABUSE_COLLUSION</w:t>
            </w:r>
          </w:p>
        </w:tc>
        <w:tc>
          <w:tcPr>
            <w:tcW w:type="dxa" w:w="2016"/>
          </w:tcPr>
          <w:p>
            <w:r/>
            <w:r>
              <w:rPr>
                <w:sz w:val="18"/>
              </w:rPr>
              <w:t>2</w:t>
            </w:r>
          </w:p>
        </w:tc>
        <w:tc>
          <w:tcPr>
            <w:tcW w:type="dxa" w:w="2016"/>
          </w:tcPr>
          <w:p>
            <w:r/>
            <w:r>
              <w:rPr>
                <w:sz w:val="18"/>
              </w:rPr>
              <w:t>0.000</w:t>
            </w:r>
          </w:p>
        </w:tc>
        <w:tc>
          <w:tcPr>
            <w:tcW w:type="dxa" w:w="2016"/>
          </w:tcPr>
          <w:p>
            <w:r/>
            <w:r>
              <w:rPr>
                <w:sz w:val="18"/>
              </w:rPr>
              <w:t>0.846</w:t>
            </w:r>
          </w:p>
        </w:tc>
        <w:tc>
          <w:tcPr>
            <w:tcW w:type="dxa" w:w="2016"/>
          </w:tcPr>
          <w:p>
            <w:r/>
            <w:r>
              <w:rPr>
                <w:sz w:val="18"/>
              </w:rPr>
              <w:t>no</w:t>
            </w:r>
          </w:p>
        </w:tc>
      </w:tr>
      <w:tr>
        <w:tc>
          <w:tcPr>
            <w:tcW w:type="dxa" w:w="2016"/>
          </w:tcPr>
          <w:p>
            <w:r/>
            <w:r>
              <w:rPr>
                <w:sz w:val="18"/>
              </w:rPr>
              <w:t>ADAPTIVE_MIMICRY</w:t>
            </w:r>
          </w:p>
        </w:tc>
        <w:tc>
          <w:tcPr>
            <w:tcW w:type="dxa" w:w="2016"/>
          </w:tcPr>
          <w:p>
            <w:r/>
            <w:r>
              <w:rPr>
                <w:sz w:val="18"/>
              </w:rPr>
              <w:t>68</w:t>
            </w:r>
          </w:p>
        </w:tc>
        <w:tc>
          <w:tcPr>
            <w:tcW w:type="dxa" w:w="2016"/>
          </w:tcPr>
          <w:p>
            <w:r/>
            <w:r>
              <w:rPr>
                <w:sz w:val="18"/>
              </w:rPr>
              <w:t>0.015</w:t>
            </w:r>
          </w:p>
        </w:tc>
        <w:tc>
          <w:tcPr>
            <w:tcW w:type="dxa" w:w="2016"/>
          </w:tcPr>
          <w:p>
            <w:r/>
            <w:r>
              <w:rPr>
                <w:sz w:val="18"/>
              </w:rPr>
              <w:t>0.224</w:t>
            </w:r>
          </w:p>
        </w:tc>
        <w:tc>
          <w:tcPr>
            <w:tcW w:type="dxa" w:w="2016"/>
          </w:tcPr>
          <w:p>
            <w:r/>
            <w:r>
              <w:rPr>
                <w:sz w:val="18"/>
              </w:rPr>
              <w:t>yes</w:t>
            </w:r>
          </w:p>
        </w:tc>
      </w:tr>
      <w:tr>
        <w:tc>
          <w:tcPr>
            <w:tcW w:type="dxa" w:w="2016"/>
          </w:tcPr>
          <w:p>
            <w:r/>
            <w:r>
              <w:rPr>
                <w:sz w:val="18"/>
              </w:rPr>
              <w:t>SIM_SWAP_OTP</w:t>
            </w:r>
          </w:p>
        </w:tc>
        <w:tc>
          <w:tcPr>
            <w:tcW w:type="dxa" w:w="2016"/>
          </w:tcPr>
          <w:p>
            <w:r/>
            <w:r>
              <w:rPr>
                <w:sz w:val="18"/>
              </w:rPr>
              <w:t>24</w:t>
            </w:r>
          </w:p>
        </w:tc>
        <w:tc>
          <w:tcPr>
            <w:tcW w:type="dxa" w:w="2016"/>
          </w:tcPr>
          <w:p>
            <w:r/>
            <w:r>
              <w:rPr>
                <w:sz w:val="18"/>
              </w:rPr>
              <w:t>0.042</w:t>
            </w:r>
          </w:p>
        </w:tc>
        <w:tc>
          <w:tcPr>
            <w:tcW w:type="dxa" w:w="2016"/>
          </w:tcPr>
          <w:p>
            <w:r/>
            <w:r>
              <w:rPr>
                <w:sz w:val="18"/>
              </w:rPr>
              <w:t>0.272</w:t>
            </w:r>
          </w:p>
        </w:tc>
        <w:tc>
          <w:tcPr>
            <w:tcW w:type="dxa" w:w="2016"/>
          </w:tcPr>
          <w:p>
            <w:r/>
            <w:r>
              <w:rPr>
                <w:sz w:val="18"/>
              </w:rPr>
              <w:t>yes</w:t>
            </w:r>
          </w:p>
        </w:tc>
      </w:tr>
      <w:tr>
        <w:tc>
          <w:tcPr>
            <w:tcW w:type="dxa" w:w="2016"/>
          </w:tcPr>
          <w:p>
            <w:r/>
            <w:r>
              <w:rPr>
                <w:sz w:val="18"/>
              </w:rPr>
              <w:t>DEEPFAKE_KYC_ONBOARD</w:t>
            </w:r>
          </w:p>
        </w:tc>
        <w:tc>
          <w:tcPr>
            <w:tcW w:type="dxa" w:w="2016"/>
          </w:tcPr>
          <w:p>
            <w:r/>
            <w:r>
              <w:rPr>
                <w:sz w:val="18"/>
              </w:rPr>
              <w:t>40</w:t>
            </w:r>
          </w:p>
        </w:tc>
        <w:tc>
          <w:tcPr>
            <w:tcW w:type="dxa" w:w="2016"/>
          </w:tcPr>
          <w:p>
            <w:r/>
            <w:r>
              <w:rPr>
                <w:sz w:val="18"/>
              </w:rPr>
              <w:t>0.825</w:t>
            </w:r>
          </w:p>
        </w:tc>
        <w:tc>
          <w:tcPr>
            <w:tcW w:type="dxa" w:w="2016"/>
          </w:tcPr>
          <w:p>
            <w:r/>
            <w:r>
              <w:rPr>
                <w:sz w:val="18"/>
              </w:rPr>
              <w:t>0.984</w:t>
            </w:r>
          </w:p>
        </w:tc>
        <w:tc>
          <w:tcPr>
            <w:tcW w:type="dxa" w:w="2016"/>
          </w:tcPr>
          <w:p>
            <w:r/>
            <w:r>
              <w:rPr>
                <w:sz w:val="18"/>
              </w:rPr>
              <w:t>no</w:t>
            </w:r>
          </w:p>
        </w:tc>
      </w:tr>
      <w:tr>
        <w:tc>
          <w:tcPr>
            <w:tcW w:type="dxa" w:w="2016"/>
          </w:tcPr>
          <w:p>
            <w:r/>
            <w:r>
              <w:rPr>
                <w:sz w:val="18"/>
              </w:rPr>
              <w:t>TRA_THRESHOLD_GAMING</w:t>
            </w:r>
          </w:p>
        </w:tc>
        <w:tc>
          <w:tcPr>
            <w:tcW w:type="dxa" w:w="2016"/>
          </w:tcPr>
          <w:p>
            <w:r/>
            <w:r>
              <w:rPr>
                <w:sz w:val="18"/>
              </w:rPr>
              <w:t>48</w:t>
            </w:r>
          </w:p>
        </w:tc>
        <w:tc>
          <w:tcPr>
            <w:tcW w:type="dxa" w:w="2016"/>
          </w:tcPr>
          <w:p>
            <w:r/>
            <w:r>
              <w:rPr>
                <w:sz w:val="18"/>
              </w:rPr>
              <w:t>0.854</w:t>
            </w:r>
          </w:p>
        </w:tc>
        <w:tc>
          <w:tcPr>
            <w:tcW w:type="dxa" w:w="2016"/>
          </w:tcPr>
          <w:p>
            <w:r/>
            <w:r>
              <w:rPr>
                <w:sz w:val="18"/>
              </w:rPr>
              <w:t>0.995</w:t>
            </w:r>
          </w:p>
        </w:tc>
        <w:tc>
          <w:tcPr>
            <w:tcW w:type="dxa" w:w="2016"/>
          </w:tcPr>
          <w:p>
            <w:r/>
            <w:r>
              <w:rPr>
                <w:sz w:val="18"/>
              </w:rPr>
              <w:t>yes</w:t>
            </w:r>
          </w:p>
        </w:tc>
      </w:tr>
    </w:tbl>
    <w:p>
      <w:pPr>
        <w:spacing w:after="80"/>
      </w:pPr>
    </w:p>
    <w:p>
      <w:pPr>
        <w:spacing w:after="120"/>
      </w:pPr>
      <w:r>
        <w:rPr>
          <w:b w:val="0"/>
          <w:i w:val="0"/>
          <w:color w:val="16202E"/>
          <w:sz w:val="21"/>
        </w:rPr>
        <w:t>The one genuine model failure is ADAPTIVE_MIMICRY: recall 0.015 and, crucially, a mean risk of only 0.224. The low mean risk is what makes this a real miss rather than a queue-capacity artefact — the model genuinely does not find it suspicious. The attack learns the victim's own baseline and stays inside it, which defeats deviation-based features by construction. It is corroborated independently by the fidelity measurement, where mimicry is among the vectors overlapping legitimate traffic most. This is the row we would fix first.</w:t>
      </w:r>
    </w:p>
    <w:p>
      <w:pPr>
        <w:spacing w:after="120"/>
      </w:pPr>
      <w:r>
        <w:rPr>
          <w:b w:val="0"/>
          <w:i w:val="0"/>
          <w:color w:val="16202E"/>
          <w:sz w:val="21"/>
        </w:rPr>
        <w:t>REFUND_ABUSE_COLLUSION shows 0.000 on n = 2 transactions in this split — noise, not a measurement.</w:t>
      </w:r>
    </w:p>
    <w:p>
      <w:pPr>
        <w:spacing w:after="120"/>
      </w:pPr>
      <w:r>
        <w:rPr>
          <w:b w:val="0"/>
          <w:i w:val="0"/>
          <w:color w:val="5A6A7E"/>
          <w:sz w:val="19"/>
        </w:rPr>
        <w:t>Synthetic fraud prevalence here is 3.83%, deliberately higher than the ~0.1-1% seen in live card portfolios (PSD2 RTS Annex reference bands are 1-13 bps; Stripe reports ~1 in 1,000). A higher rate is required to train and evaluate 25 distinct attack vectors on a synthetic corpus. Threshold-dependent metrics (precision, alert-rate recall, insult rate) are prevalence-sensitive and would shift in a live portfolio; PR-AUC, calibration and latency are the more transferable figures.</w:t>
      </w:r>
    </w:p>
    <w:p>
      <w:pPr>
        <w:pStyle w:val="Heading1"/>
      </w:pPr>
      <w:r>
        <w:rPr>
          <w:rFonts w:ascii="Calibri" w:hAnsi="Calibri"/>
          <w:color w:val="16202E"/>
        </w:rPr>
        <w:t>6. Real-world feasibility in live payments</w:t>
      </w:r>
    </w:p>
    <w:tbl>
      <w:tblPr>
        <w:tblStyle w:val="LightGrid-Accent1"/>
        <w:tblW w:type="auto" w:w="0"/>
        <w:jc w:val="center"/>
        <w:tblLook w:firstColumn="1" w:firstRow="1" w:lastColumn="0" w:lastRow="0" w:noHBand="0" w:noVBand="1" w:val="04A0"/>
      </w:tblPr>
      <w:tblGrid>
        <w:gridCol w:w="5040"/>
        <w:gridCol w:w="5040"/>
      </w:tblGrid>
      <w:tr>
        <w:tc>
          <w:tcPr>
            <w:tcW w:type="dxa" w:w="5040"/>
          </w:tcPr>
          <w:p>
            <w:r/>
            <w:r>
              <w:rPr>
                <w:b/>
                <w:sz w:val="18"/>
              </w:rPr>
              <w:t>Constraint</w:t>
            </w:r>
          </w:p>
        </w:tc>
        <w:tc>
          <w:tcPr>
            <w:tcW w:type="dxa" w:w="5040"/>
          </w:tcPr>
          <w:p>
            <w:r/>
            <w:r>
              <w:rPr>
                <w:b/>
                <w:sz w:val="18"/>
              </w:rPr>
              <w:t>Design consequence</w:t>
            </w:r>
          </w:p>
        </w:tc>
      </w:tr>
      <w:tr>
        <w:tc>
          <w:tcPr>
            <w:tcW w:type="dxa" w:w="5040"/>
          </w:tcPr>
          <w:p>
            <w:r/>
            <w:r>
              <w:rPr>
                <w:sz w:val="18"/>
              </w:rPr>
              <w:t>Latency budget</w:t>
            </w:r>
          </w:p>
        </w:tc>
        <w:tc>
          <w:tcPr>
            <w:tcW w:type="dxa" w:w="5040"/>
          </w:tcPr>
          <w:p>
            <w:r/>
            <w:r>
              <w:rPr>
                <w:sz w:val="18"/>
              </w:rPr>
              <w:t>p99 18.8 ms inline, achieved by budgeting the graph stage to the riskiest 20% of traffic rather than gating on a score threshold.</w:t>
            </w:r>
          </w:p>
        </w:tc>
      </w:tr>
      <w:tr>
        <w:tc>
          <w:tcPr>
            <w:tcW w:type="dxa" w:w="5040"/>
          </w:tcPr>
          <w:p>
            <w:r/>
            <w:r>
              <w:rPr>
                <w:sz w:val="18"/>
              </w:rPr>
              <w:t>Review capacity</w:t>
            </w:r>
          </w:p>
        </w:tc>
        <w:tc>
          <w:tcPr>
            <w:tcW w:type="dxa" w:w="5040"/>
          </w:tcPr>
          <w:p>
            <w:r/>
            <w:r>
              <w:rPr>
                <w:sz w:val="18"/>
              </w:rPr>
              <w:t>Operating points reported against what an analyst team can actually work, not only the point that flatters the model. A queue nobody can work is not a control.</w:t>
            </w:r>
          </w:p>
        </w:tc>
      </w:tr>
      <w:tr>
        <w:tc>
          <w:tcPr>
            <w:tcW w:type="dxa" w:w="5040"/>
          </w:tcPr>
          <w:p>
            <w:r/>
            <w:r>
              <w:rPr>
                <w:sz w:val="18"/>
              </w:rPr>
              <w:t>Auditability</w:t>
            </w:r>
          </w:p>
        </w:tc>
        <w:tc>
          <w:tcPr>
            <w:tcW w:type="dxa" w:w="5040"/>
          </w:tcPr>
          <w:p>
            <w:r/>
            <w:r>
              <w:rPr>
                <w:sz w:val="18"/>
              </w:rPr>
              <w:t>Append-only SQLite trail of every environment change, campaign and analyst action. Model governance expects decisions to be reconstructable.</w:t>
            </w:r>
          </w:p>
        </w:tc>
      </w:tr>
      <w:tr>
        <w:tc>
          <w:tcPr>
            <w:tcW w:type="dxa" w:w="5040"/>
          </w:tcPr>
          <w:p>
            <w:r/>
            <w:r>
              <w:rPr>
                <w:sz w:val="18"/>
              </w:rPr>
              <w:t>Deployability</w:t>
            </w:r>
          </w:p>
        </w:tc>
        <w:tc>
          <w:tcPr>
            <w:tcW w:type="dxa" w:w="5040"/>
          </w:tcPr>
          <w:p>
            <w:r/>
            <w:r>
              <w:rPr>
                <w:sz w:val="18"/>
              </w:rPr>
              <w:t>No GPU, no AGPL, no external service on the decision path. The LLM narrates; it never makes the block decision.</w:t>
            </w:r>
          </w:p>
        </w:tc>
      </w:tr>
      <w:tr>
        <w:tc>
          <w:tcPr>
            <w:tcW w:type="dxa" w:w="5040"/>
          </w:tcPr>
          <w:p>
            <w:r/>
            <w:r>
              <w:rPr>
                <w:sz w:val="18"/>
              </w:rPr>
              <w:t>Scalability</w:t>
            </w:r>
          </w:p>
        </w:tc>
        <w:tc>
          <w:tcPr>
            <w:tcW w:type="dxa" w:w="5040"/>
          </w:tcPr>
          <w:p>
            <w:r/>
            <w:r>
              <w:rPr>
                <w:sz w:val="18"/>
              </w:rPr>
              <w:t>Stateless scoring behind FastAPI; feature build 0.085 ms/row batched and would be incremental in production. Horizontal scaling is the only axis needed.</w:t>
            </w:r>
          </w:p>
        </w:tc>
      </w:tr>
      <w:tr>
        <w:tc>
          <w:tcPr>
            <w:tcW w:type="dxa" w:w="5040"/>
          </w:tcPr>
          <w:p>
            <w:r/>
            <w:r>
              <w:rPr>
                <w:sz w:val="18"/>
              </w:rPr>
              <w:t>Commercial fit</w:t>
            </w:r>
          </w:p>
        </w:tc>
        <w:tc>
          <w:tcPr>
            <w:tcW w:type="dxa" w:w="5040"/>
          </w:tcPr>
          <w:p>
            <w:r/>
            <w:r>
              <w:rPr>
                <w:sz w:val="18"/>
              </w:rPr>
              <w:t>Sits beside an existing issuer/PSP fraud stack as a red-team and evaluation harness — it stress-tests controls the bank already owns and names which of their own rules are blind.</w:t>
            </w:r>
          </w:p>
        </w:tc>
      </w:tr>
    </w:tbl>
    <w:p>
      <w:pPr>
        <w:spacing w:after="80"/>
      </w:pPr>
    </w:p>
    <w:p>
      <w:pPr>
        <w:spacing w:after="120"/>
      </w:pPr>
      <w:r>
        <w:rPr>
          <w:b w:val="0"/>
          <w:i w:val="0"/>
          <w:color w:val="16202E"/>
          <w:sz w:val="21"/>
        </w:rPr>
        <w:t>Positioning. This extends Mastercard's own published direction rather than proposing a new category: Threat Scan simulates known attacks against issuers, and AI Garage has published on adversarial fraud generation. Aegis generates novel attacks instead of replaying known ones, constrains them to be feasible, and wires them into a continuous, per-signal-graded loop.</w:t>
      </w:r>
    </w:p>
    <w:p>
      <w:pPr>
        <w:pStyle w:val="Heading1"/>
      </w:pPr>
      <w:r>
        <w:rPr>
          <w:rFonts w:ascii="Calibri" w:hAnsi="Calibri"/>
          <w:color w:val="16202E"/>
        </w:rPr>
        <w:t>7. The working prototype</w:t>
      </w:r>
    </w:p>
    <w:p>
      <w:pPr>
        <w:spacing w:after="120"/>
      </w:pPr>
      <w:r>
        <w:rPr>
          <w:b w:val="0"/>
          <w:i w:val="0"/>
          <w:color w:val="16202E"/>
          <w:sz w:val="21"/>
        </w:rPr>
        <w:t>A seven-panel React command centre, grouped into red team and blue team. The prototype runs locally in two commands; full instructions are in the repository README, and eight full-page captures are included under artifacts/screenshots/.</w:t>
      </w:r>
    </w:p>
    <w:tbl>
      <w:tblPr>
        <w:tblStyle w:val="LightGrid-Accent1"/>
        <w:tblW w:type="auto" w:w="0"/>
        <w:jc w:val="center"/>
        <w:tblLook w:firstColumn="1" w:firstRow="1" w:lastColumn="0" w:lastRow="0" w:noHBand="0" w:noVBand="1" w:val="04A0"/>
      </w:tblPr>
      <w:tblGrid>
        <w:gridCol w:w="3360"/>
        <w:gridCol w:w="3360"/>
        <w:gridCol w:w="3360"/>
      </w:tblGrid>
      <w:tr>
        <w:tc>
          <w:tcPr>
            <w:tcW w:type="dxa" w:w="3360"/>
          </w:tcPr>
          <w:p>
            <w:r/>
            <w:r>
              <w:rPr>
                <w:b/>
                <w:sz w:val="18"/>
              </w:rPr>
              <w:t>Panel</w:t>
            </w:r>
          </w:p>
        </w:tc>
        <w:tc>
          <w:tcPr>
            <w:tcW w:type="dxa" w:w="3360"/>
          </w:tcPr>
          <w:p>
            <w:r/>
            <w:r>
              <w:rPr>
                <w:b/>
                <w:sz w:val="18"/>
              </w:rPr>
              <w:t>Side</w:t>
            </w:r>
          </w:p>
        </w:tc>
        <w:tc>
          <w:tcPr>
            <w:tcW w:type="dxa" w:w="3360"/>
          </w:tcPr>
          <w:p>
            <w:r/>
            <w:r>
              <w:rPr>
                <w:b/>
                <w:sz w:val="18"/>
              </w:rPr>
              <w:t>Shows</w:t>
            </w:r>
          </w:p>
        </w:tc>
      </w:tr>
      <w:tr>
        <w:tc>
          <w:tcPr>
            <w:tcW w:type="dxa" w:w="3360"/>
          </w:tcPr>
          <w:p>
            <w:r/>
            <w:r>
              <w:rPr>
                <w:sz w:val="18"/>
              </w:rPr>
              <w:t>Overview</w:t>
            </w:r>
          </w:p>
        </w:tc>
        <w:tc>
          <w:tcPr>
            <w:tcW w:type="dxa" w:w="3360"/>
          </w:tcPr>
          <w:p>
            <w:r/>
            <w:r>
              <w:rPr>
                <w:sz w:val="18"/>
              </w:rPr>
              <w:t>—</w:t>
            </w:r>
          </w:p>
        </w:tc>
        <w:tc>
          <w:tcPr>
            <w:tcW w:type="dxa" w:w="3360"/>
          </w:tcPr>
          <w:p>
            <w:r/>
            <w:r>
              <w:rPr>
                <w:sz w:val="18"/>
              </w:rPr>
              <w:t>Verified metrics, alert-band distribution, the closed-loop diagram</w:t>
            </w:r>
          </w:p>
        </w:tc>
      </w:tr>
      <w:tr>
        <w:tc>
          <w:tcPr>
            <w:tcW w:type="dxa" w:w="3360"/>
          </w:tcPr>
          <w:p>
            <w:r/>
            <w:r>
              <w:rPr>
                <w:sz w:val="18"/>
              </w:rPr>
              <w:t>Attack Simulator</w:t>
            </w:r>
          </w:p>
        </w:tc>
        <w:tc>
          <w:tcPr>
            <w:tcW w:type="dxa" w:w="3360"/>
          </w:tcPr>
          <w:p>
            <w:r/>
            <w:r>
              <w:rPr>
                <w:sz w:val="18"/>
              </w:rPr>
              <w:t>Red</w:t>
            </w:r>
          </w:p>
        </w:tc>
        <w:tc>
          <w:tcPr>
            <w:tcW w:type="dxa" w:w="3360"/>
          </w:tcPr>
          <w:p>
            <w:r/>
            <w:r>
              <w:rPr>
                <w:sz w:val="18"/>
              </w:rPr>
              <w:t>25 vectors with MITRE ATLAS mapping and expected detection signals declared before launch</w:t>
            </w:r>
          </w:p>
        </w:tc>
      </w:tr>
      <w:tr>
        <w:tc>
          <w:tcPr>
            <w:tcW w:type="dxa" w:w="3360"/>
          </w:tcPr>
          <w:p>
            <w:r/>
            <w:r>
              <w:rPr>
                <w:sz w:val="18"/>
              </w:rPr>
              <w:t>Live Stream</w:t>
            </w:r>
          </w:p>
        </w:tc>
        <w:tc>
          <w:tcPr>
            <w:tcW w:type="dxa" w:w="3360"/>
          </w:tcPr>
          <w:p>
            <w:r/>
            <w:r>
              <w:rPr>
                <w:sz w:val="18"/>
              </w:rPr>
              <w:t>Blue</w:t>
            </w:r>
          </w:p>
        </w:tc>
        <w:tc>
          <w:tcPr>
            <w:tcW w:type="dxa" w:w="3360"/>
          </w:tcPr>
          <w:p>
            <w:r/>
            <w:r>
              <w:rPr>
                <w:sz w:val="18"/>
              </w:rPr>
              <w:t>Scored authorization feed with recommended actions</w:t>
            </w:r>
          </w:p>
        </w:tc>
      </w:tr>
      <w:tr>
        <w:tc>
          <w:tcPr>
            <w:tcW w:type="dxa" w:w="3360"/>
          </w:tcPr>
          <w:p>
            <w:r/>
            <w:r>
              <w:rPr>
                <w:sz w:val="18"/>
              </w:rPr>
              <w:t>Investigate</w:t>
            </w:r>
          </w:p>
        </w:tc>
        <w:tc>
          <w:tcPr>
            <w:tcW w:type="dxa" w:w="3360"/>
          </w:tcPr>
          <w:p>
            <w:r/>
            <w:r>
              <w:rPr>
                <w:sz w:val="18"/>
              </w:rPr>
              <w:t>Blue</w:t>
            </w:r>
          </w:p>
        </w:tc>
        <w:tc>
          <w:tcPr>
            <w:tcW w:type="dxa" w:w="3360"/>
          </w:tcPr>
          <w:p>
            <w:r/>
            <w:r>
              <w:rPr>
                <w:sz w:val="18"/>
              </w:rPr>
              <w:t>Exact score decomposition, reason codes, counterfactual</w:t>
            </w:r>
          </w:p>
        </w:tc>
      </w:tr>
      <w:tr>
        <w:tc>
          <w:tcPr>
            <w:tcW w:type="dxa" w:w="3360"/>
          </w:tcPr>
          <w:p>
            <w:r/>
            <w:r>
              <w:rPr>
                <w:sz w:val="18"/>
              </w:rPr>
              <w:t>Fraud Network</w:t>
            </w:r>
          </w:p>
        </w:tc>
        <w:tc>
          <w:tcPr>
            <w:tcW w:type="dxa" w:w="3360"/>
          </w:tcPr>
          <w:p>
            <w:r/>
            <w:r>
              <w:rPr>
                <w:sz w:val="18"/>
              </w:rPr>
              <w:t>Blue</w:t>
            </w:r>
          </w:p>
        </w:tc>
        <w:tc>
          <w:tcPr>
            <w:tcW w:type="dxa" w:w="3360"/>
          </w:tcPr>
          <w:p>
            <w:r/>
            <w:r>
              <w:rPr>
                <w:sz w:val="18"/>
              </w:rPr>
              <w:t>Shared-infrastructure graph — one device linked to 31 cards</w:t>
            </w:r>
          </w:p>
        </w:tc>
      </w:tr>
      <w:tr>
        <w:tc>
          <w:tcPr>
            <w:tcW w:type="dxa" w:w="3360"/>
          </w:tcPr>
          <w:p>
            <w:r/>
            <w:r>
              <w:rPr>
                <w:sz w:val="18"/>
              </w:rPr>
              <w:t>Performance</w:t>
            </w:r>
          </w:p>
        </w:tc>
        <w:tc>
          <w:tcPr>
            <w:tcW w:type="dxa" w:w="3360"/>
          </w:tcPr>
          <w:p>
            <w:r/>
            <w:r>
              <w:rPr>
                <w:sz w:val="18"/>
              </w:rPr>
              <w:t>Blue</w:t>
            </w:r>
          </w:p>
        </w:tc>
        <w:tc>
          <w:tcPr>
            <w:tcW w:type="dxa" w:w="3360"/>
          </w:tcPr>
          <w:p>
            <w:r/>
            <w:r>
              <w:rPr>
                <w:sz w:val="18"/>
              </w:rPr>
              <w:t>Three operating points, calibration, per-attack recall worst-first</w:t>
            </w:r>
          </w:p>
        </w:tc>
      </w:tr>
      <w:tr>
        <w:tc>
          <w:tcPr>
            <w:tcW w:type="dxa" w:w="3360"/>
          </w:tcPr>
          <w:p>
            <w:r/>
            <w:r>
              <w:rPr>
                <w:sz w:val="18"/>
              </w:rPr>
              <w:t>Audit Trail</w:t>
            </w:r>
          </w:p>
        </w:tc>
        <w:tc>
          <w:tcPr>
            <w:tcW w:type="dxa" w:w="3360"/>
          </w:tcPr>
          <w:p>
            <w:r/>
            <w:r>
              <w:rPr>
                <w:sz w:val="18"/>
              </w:rPr>
              <w:t>—</w:t>
            </w:r>
          </w:p>
        </w:tc>
        <w:tc>
          <w:tcPr>
            <w:tcW w:type="dxa" w:w="3360"/>
          </w:tcPr>
          <w:p>
            <w:r/>
            <w:r>
              <w:rPr>
                <w:sz w:val="18"/>
              </w:rPr>
              <w:t>Append-only log for model governance</w:t>
            </w:r>
          </w:p>
        </w:tc>
      </w:tr>
    </w:tbl>
    <w:p>
      <w:pPr>
        <w:spacing w:after="80"/>
      </w:pPr>
    </w:p>
    <w:p>
      <w:pPr>
        <w:pStyle w:val="Heading2"/>
      </w:pPr>
      <w:r>
        <w:rPr>
          <w:rFonts w:ascii="Calibri" w:hAnsi="Calibri"/>
          <w:color w:val="0B2B4A"/>
        </w:rPr>
        <w:t>7.1 Reproduce from a clean checkout</w:t>
      </w:r>
    </w:p>
    <w:p>
      <w:pPr>
        <w:spacing w:after="20"/>
      </w:pPr>
      <w:r>
        <w:rPr>
          <w:rFonts w:ascii="Consolas" w:hAnsi="Consolas"/>
          <w:sz w:val="18"/>
        </w:rPr>
        <w:t>python3 -m venv .venv &amp;&amp; .venv/bin/pip install -r requirements.txt</w:t>
      </w:r>
    </w:p>
    <w:p>
      <w:pPr>
        <w:spacing w:after="20"/>
      </w:pPr>
      <w:r>
        <w:rPr>
          <w:rFonts w:ascii="Consolas" w:hAnsi="Consolas"/>
          <w:sz w:val="18"/>
        </w:rPr>
        <w:t>cd frontend &amp;&amp; npm install &amp;&amp; cd ..</w:t>
      </w:r>
    </w:p>
    <w:p>
      <w:pPr>
        <w:spacing w:after="20"/>
      </w:pPr>
      <w:r>
        <w:rPr>
          <w:rFonts w:ascii="Consolas" w:hAnsi="Consolas"/>
          <w:sz w:val="18"/>
        </w:rPr>
        <w:t>.venv/bin/python -m backend.app.evaluate      # regenerates all metrics</w:t>
      </w:r>
    </w:p>
    <w:p>
      <w:pPr>
        <w:spacing w:after="20"/>
      </w:pPr>
      <w:r>
        <w:rPr>
          <w:rFonts w:ascii="Consolas" w:hAnsi="Consolas"/>
          <w:sz w:val="18"/>
        </w:rPr>
        <w:t>./scripts/verify.sh --full                    # 113 tests + browser smoke test</w:t>
      </w:r>
    </w:p>
    <w:p>
      <w:pPr>
        <w:spacing w:after="20"/>
      </w:pPr>
      <w:r>
        <w:rPr>
          <w:rFonts w:ascii="Consolas" w:hAnsi="Consolas"/>
          <w:sz w:val="18"/>
        </w:rPr>
        <w:t>.venv/bin/uvicorn backend.app.api:app --port 8000    # terminal 1</w:t>
      </w:r>
    </w:p>
    <w:p>
      <w:pPr>
        <w:spacing w:after="20"/>
      </w:pPr>
      <w:r>
        <w:rPr>
          <w:rFonts w:ascii="Consolas" w:hAnsi="Consolas"/>
          <w:sz w:val="18"/>
        </w:rPr>
        <w:t>cd frontend &amp;&amp; npm run dev                           # terminal 2</w:t>
      </w:r>
    </w:p>
    <w:p>
      <w:pPr>
        <w:spacing w:after="160"/>
      </w:pPr>
      <w:r>
        <w:rPr>
          <w:b w:val="0"/>
          <w:i w:val="0"/>
          <w:color w:val="16202E"/>
          <w:sz w:val="21"/>
        </w:rPr>
        <w:t>Then open http://localhost:5173 and click Start environment.</w:t>
      </w:r>
    </w:p>
    <w:p>
      <w:pPr>
        <w:spacing w:after="120"/>
      </w:pPr>
      <w:r>
        <w:rPr>
          <w:b w:val="0"/>
          <w:i w:val="0"/>
          <w:color w:val="16202E"/>
          <w:sz w:val="21"/>
        </w:rPr>
        <w:t>Verification: 113 tests across 4 suites, 6 module self-checks, a secrets and licence compliance scan, a metrics-staleness guard, a docs-agree-with-metrics guard, TypeScript typecheck, production build, and a Playwright browser test that drives the real demo path end to end — all behind one command.</w:t>
      </w:r>
    </w:p>
    <w:p>
      <w:pPr>
        <w:pStyle w:val="Heading1"/>
      </w:pPr>
      <w:r>
        <w:rPr>
          <w:rFonts w:ascii="Calibri" w:hAnsi="Calibri"/>
          <w:color w:val="16202E"/>
        </w:rPr>
        <w:t>8. Competition compliance</w:t>
      </w:r>
    </w:p>
    <w:tbl>
      <w:tblPr>
        <w:tblStyle w:val="LightGrid-Accent1"/>
        <w:tblW w:type="auto" w:w="0"/>
        <w:jc w:val="center"/>
        <w:tblLook w:firstColumn="1" w:firstRow="1" w:lastColumn="0" w:lastRow="0" w:noHBand="0" w:noVBand="1" w:val="04A0"/>
      </w:tblPr>
      <w:tblGrid>
        <w:gridCol w:w="5040"/>
        <w:gridCol w:w="5040"/>
      </w:tblGrid>
      <w:tr>
        <w:tc>
          <w:tcPr>
            <w:tcW w:type="dxa" w:w="5040"/>
          </w:tcPr>
          <w:p>
            <w:r/>
            <w:r>
              <w:rPr>
                <w:b/>
                <w:sz w:val="18"/>
              </w:rPr>
              <w:t>Requirement</w:t>
            </w:r>
          </w:p>
        </w:tc>
        <w:tc>
          <w:tcPr>
            <w:tcW w:type="dxa" w:w="5040"/>
          </w:tcPr>
          <w:p>
            <w:r/>
            <w:r>
              <w:rPr>
                <w:b/>
                <w:sz w:val="18"/>
              </w:rPr>
              <w:t>How it is met</w:t>
            </w:r>
          </w:p>
        </w:tc>
      </w:tr>
      <w:tr>
        <w:tc>
          <w:tcPr>
            <w:tcW w:type="dxa" w:w="5040"/>
          </w:tcPr>
          <w:p>
            <w:r/>
            <w:r>
              <w:rPr>
                <w:sz w:val="18"/>
              </w:rPr>
              <w:t>Synthetic data only; no real cardholder data, PII or production payment data (Rules §3a)</w:t>
            </w:r>
          </w:p>
        </w:tc>
        <w:tc>
          <w:tcPr>
            <w:tcW w:type="dxa" w:w="5040"/>
          </w:tcPr>
          <w:p>
            <w:r/>
            <w:r>
              <w:rPr>
                <w:sz w:val="18"/>
              </w:rPr>
              <w:t>100% self-generated. No PAN exists. Enforced by tests for PAN-like patterns, Luhn validity, personal names and untruncated IPs.</w:t>
            </w:r>
          </w:p>
        </w:tc>
      </w:tr>
      <w:tr>
        <w:tc>
          <w:tcPr>
            <w:tcW w:type="dxa" w:w="5040"/>
          </w:tcPr>
          <w:p>
            <w:r/>
            <w:r>
              <w:rPr>
                <w:sz w:val="18"/>
              </w:rPr>
              <w:t>Adversarial testing must not target live systems (Rules §3b)</w:t>
            </w:r>
          </w:p>
        </w:tc>
        <w:tc>
          <w:tcPr>
            <w:tcW w:type="dxa" w:w="5040"/>
          </w:tcPr>
          <w:p>
            <w:r/>
            <w:r>
              <w:rPr>
                <w:sz w:val="18"/>
              </w:rPr>
              <w:t>The simulator has no network client; an AST-level test fails the build if one appears.</w:t>
            </w:r>
          </w:p>
        </w:tc>
      </w:tr>
      <w:tr>
        <w:tc>
          <w:tcPr>
            <w:tcW w:type="dxa" w:w="5040"/>
          </w:tcPr>
          <w:p>
            <w:r/>
            <w:r>
              <w:rPr>
                <w:sz w:val="18"/>
              </w:rPr>
              <w:t>Responsible AI and security practices (Rules §3c)</w:t>
            </w:r>
          </w:p>
        </w:tc>
        <w:tc>
          <w:tcPr>
            <w:tcW w:type="dxa" w:w="5040"/>
          </w:tcPr>
          <w:p>
            <w:r/>
            <w:r>
              <w:rPr>
                <w:sz w:val="18"/>
              </w:rPr>
              <w:t>docs/security.md; a test asserts the taxonomy contains no operational fraud instructions — it describes behaviour to detect, not recipes to reproduce.</w:t>
            </w:r>
          </w:p>
        </w:tc>
      </w:tr>
      <w:tr>
        <w:tc>
          <w:tcPr>
            <w:tcW w:type="dxa" w:w="5040"/>
          </w:tcPr>
          <w:p>
            <w:r/>
            <w:r>
              <w:rPr>
                <w:sz w:val="18"/>
              </w:rPr>
              <w:t>OSI-approved permissive dependencies only (Foundational §6c)</w:t>
            </w:r>
          </w:p>
        </w:tc>
        <w:tc>
          <w:tcPr>
            <w:tcW w:type="dxa" w:w="5040"/>
          </w:tcPr>
          <w:p>
            <w:r/>
            <w:r>
              <w:rPr>
                <w:sz w:val="18"/>
              </w:rPr>
              <w:t>All 42 Python and 121 npm packages audited: MIT / BSD / Apache-2.0 / ISC / MPL-2.0. Zero AGPL, GPL or SSPL.</w:t>
            </w:r>
          </w:p>
        </w:tc>
      </w:tr>
      <w:tr>
        <w:tc>
          <w:tcPr>
            <w:tcW w:type="dxa" w:w="5040"/>
          </w:tcPr>
          <w:p>
            <w:r/>
            <w:r>
              <w:rPr>
                <w:sz w:val="18"/>
              </w:rPr>
              <w:t>Public GitHub repository named after the team (host submission guide, Step 4)</w:t>
            </w:r>
          </w:p>
        </w:tc>
        <w:tc>
          <w:tcPr>
            <w:tcW w:type="dxa" w:w="5040"/>
          </w:tcPr>
          <w:p>
            <w:r/>
            <w:r>
              <w:rPr>
                <w:sz w:val="18"/>
              </w:rPr>
              <w:t>https://github.com/Deven-Kulthia/ThreatForge</w:t>
            </w:r>
          </w:p>
        </w:tc>
      </w:tr>
    </w:tbl>
    <w:p>
      <w:pPr>
        <w:spacing w:after="80"/>
      </w:pPr>
    </w:p>
    <w:p>
      <w:pPr>
        <w:spacing w:after="120"/>
      </w:pPr>
      <w:r>
        <w:rPr>
          <w:b w:val="0"/>
          <w:i/>
          <w:color w:val="5A6A7E"/>
          <w:sz w:val="17"/>
        </w:rPr>
        <w:t>Document generated from artifacts/metrics.json (evaluation run 2026-08-17T19:03:48Z).</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6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