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A5A5A"/>
          <w:sz w:val="19"/>
        </w:rPr>
        <w:t>SYSTEM DESIGN — TECHNICAL ASSIGNMENT REPORT</w:t>
      </w:r>
    </w:p>
    <w:p>
      <w:pPr>
        <w:spacing w:before="80" w:after="80"/>
      </w:pPr>
      <w:r>
        <w:rPr>
          <w:b/>
          <w:color w:val="000000"/>
          <w:sz w:val="40"/>
        </w:rPr>
        <w:t>Contour-Based Farm Pond Siting and Catchment Analysis API</w:t>
      </w:r>
    </w:p>
    <w:p>
      <w:pPr>
        <w:spacing w:after="320"/>
      </w:pPr>
      <w:r>
        <w:rPr>
          <w:i/>
          <w:color w:val="464646"/>
          <w:sz w:val="24"/>
        </w:rPr>
        <w:t>System Architecture, Hydrological Modeling, Verification, and Deployment</w:t>
      </w:r>
    </w:p>
    <w:p>
      <w:pPr>
        <w:spacing w:after="240"/>
        <w:pBdr>
          <w:bottom w:val="single" w:sz="12" w:space="1" w:color="000000"/>
        </w:pBdr>
      </w:pPr>
    </w:p>
    <w:p>
      <w:pPr>
        <w:pStyle w:val="Heading1"/>
        <w:spacing w:before="280" w:after="120"/>
      </w:pPr>
      <w:r>
        <w:rPr>
          <w:color w:val="000000"/>
        </w:rPr>
        <w:t>1. Executive Overview &amp; Deployment Information</w:t>
      </w:r>
    </w:p>
    <w:p>
      <w:pPr>
        <w:spacing w:line="276" w:lineRule="auto" w:after="160"/>
      </w:pPr>
      <w:r>
        <w:t>This report presents the design, mathematical formulation, algorithmic implementation, and production deployment of the Contour-Based Farm Pond Catchment Analysis API. The backend service accepts contour elevation maps in standard KML and compressed KMZ formats under variable name 'contour_map', reconstructs a metric Digital Elevation Model (DEM), conducts hydrological surface runoff modeling, identifies optimal farm pond outlet locations based on multi-criteria terrain heuristics, and delineates the upstream contributing watershed boundary as topologically valid WGS84 GeoJSON polygons.</w:t>
      </w:r>
    </w:p>
    <w:tbl>
      <w:tblPr>
        <w:tblW w:type="auto" w:w="0"/>
        <w:jc w:val="center"/>
        <w:tblLayout w:type="fixed"/>
        <w:tblLook w:firstColumn="1" w:firstRow="1" w:lastColumn="0" w:lastRow="0" w:noHBand="0" w:noVBand="1" w:val="04A0"/>
        <w:tblBorders>
          <w:top w:val="single" w:sz="6" w:space="0" w:color="999999"/>
          <w:bottom w:val="single" w:sz="6" w:space="0" w:color="999999"/>
          <w:insideH w:val="single" w:sz="4" w:space="0" w:color="999999"/>
          <w:insideV w:val="none"/>
          <w:left w:val="none"/>
          <w:right w:val="none"/>
        </w:tblBorders>
      </w:tblPr>
      <w:tblGrid>
        <w:gridCol w:w="4680"/>
        <w:gridCol w:w="4680"/>
      </w:tblGrid>
      <w:tr>
        <w:tc>
          <w:tcPr>
            <w:tcW w:type="dxa" w:w="3312"/>
            <w:shd w:fill="E5E5E5"/>
            <w:tcMar>
              <w:top w:w="120" w:type="dxa"/>
              <w:bottom w:w="120" w:type="dxa"/>
              <w:left w:w="150" w:type="dxa"/>
              <w:right w:w="150" w:type="dxa"/>
            </w:tcMar>
          </w:tcPr>
          <w:p>
            <w:r>
              <w:rPr>
                <w:b/>
                <w:color w:val="000000"/>
              </w:rPr>
              <w:t>Deliverable / Metric</w:t>
            </w:r>
          </w:p>
        </w:tc>
        <w:tc>
          <w:tcPr>
            <w:tcW w:type="dxa" w:w="6048"/>
            <w:shd w:fill="E5E5E5"/>
            <w:tcMar>
              <w:top w:w="120" w:type="dxa"/>
              <w:bottom w:w="120" w:type="dxa"/>
              <w:left w:w="150" w:type="dxa"/>
              <w:right w:w="150" w:type="dxa"/>
            </w:tcMar>
          </w:tcPr>
          <w:p>
            <w:r>
              <w:rPr>
                <w:b/>
                <w:color w:val="000000"/>
              </w:rPr>
              <w:t>Details &amp; Verified Endpoint URL</w:t>
            </w:r>
          </w:p>
        </w:tc>
      </w:tr>
      <w:tr>
        <w:tc>
          <w:tcPr>
            <w:tcW w:type="dxa" w:w="3312"/>
            <w:shd w:fill="F9F9F9"/>
            <w:tcMar>
              <w:top w:w="100" w:type="dxa"/>
              <w:bottom w:w="100" w:type="dxa"/>
              <w:left w:w="150" w:type="dxa"/>
              <w:right w:w="150" w:type="dxa"/>
            </w:tcMar>
          </w:tcPr>
          <w:p>
            <w:r>
              <w:rPr>
                <w:b/>
              </w:rPr>
              <w:t>GitHub Repository Link</w:t>
            </w:r>
          </w:p>
        </w:tc>
        <w:tc>
          <w:tcPr>
            <w:tcW w:type="dxa" w:w="6048"/>
            <w:shd w:fill="F9F9F9"/>
            <w:tcMar>
              <w:top w:w="100" w:type="dxa"/>
              <w:bottom w:w="100" w:type="dxa"/>
              <w:left w:w="150" w:type="dxa"/>
              <w:right w:w="150" w:type="dxa"/>
            </w:tcMar>
          </w:tcPr>
          <w:p>
            <w:r>
              <w:t>https://github.com/Devendar9989/pond-planning.git</w:t>
            </w:r>
          </w:p>
        </w:tc>
      </w:tr>
      <w:tr>
        <w:tc>
          <w:tcPr>
            <w:tcW w:type="dxa" w:w="3312"/>
            <w:shd w:fill="FFFFFF"/>
            <w:tcMar>
              <w:top w:w="100" w:type="dxa"/>
              <w:bottom w:w="100" w:type="dxa"/>
              <w:left w:w="150" w:type="dxa"/>
              <w:right w:w="150" w:type="dxa"/>
            </w:tcMar>
          </w:tcPr>
          <w:p>
            <w:r>
              <w:rPr>
                <w:b/>
              </w:rPr>
              <w:t>Working API Route (POST)</w:t>
            </w:r>
          </w:p>
        </w:tc>
        <w:tc>
          <w:tcPr>
            <w:tcW w:type="dxa" w:w="6048"/>
            <w:shd w:fill="FFFFFF"/>
            <w:tcMar>
              <w:top w:w="100" w:type="dxa"/>
              <w:bottom w:w="100" w:type="dxa"/>
              <w:left w:w="150" w:type="dxa"/>
              <w:right w:w="150" w:type="dxa"/>
            </w:tcMar>
          </w:tcPr>
          <w:p>
            <w:r>
              <w:t>http://10.1.75.51:3241/analyzeContour</w:t>
            </w:r>
          </w:p>
        </w:tc>
      </w:tr>
      <w:tr>
        <w:tc>
          <w:tcPr>
            <w:tcW w:type="dxa" w:w="3312"/>
            <w:shd w:fill="F9F9F9"/>
            <w:tcMar>
              <w:top w:w="100" w:type="dxa"/>
              <w:bottom w:w="100" w:type="dxa"/>
              <w:left w:w="150" w:type="dxa"/>
              <w:right w:w="150" w:type="dxa"/>
            </w:tcMar>
          </w:tcPr>
          <w:p>
            <w:r>
              <w:rPr>
                <w:b/>
              </w:rPr>
              <w:t>Health Check Endpoint (GET)</w:t>
            </w:r>
          </w:p>
        </w:tc>
        <w:tc>
          <w:tcPr>
            <w:tcW w:type="dxa" w:w="6048"/>
            <w:shd w:fill="F9F9F9"/>
            <w:tcMar>
              <w:top w:w="100" w:type="dxa"/>
              <w:bottom w:w="100" w:type="dxa"/>
              <w:left w:w="150" w:type="dxa"/>
              <w:right w:w="150" w:type="dxa"/>
            </w:tcMar>
          </w:tcPr>
          <w:p>
            <w:r>
              <w:t>http://10.1.75.51:3241/health</w:t>
            </w:r>
          </w:p>
        </w:tc>
      </w:tr>
      <w:tr>
        <w:tc>
          <w:tcPr>
            <w:tcW w:type="dxa" w:w="3312"/>
            <w:shd w:fill="FFFFFF"/>
            <w:tcMar>
              <w:top w:w="100" w:type="dxa"/>
              <w:bottom w:w="100" w:type="dxa"/>
              <w:left w:w="150" w:type="dxa"/>
              <w:right w:w="150" w:type="dxa"/>
            </w:tcMar>
          </w:tcPr>
          <w:p>
            <w:r>
              <w:rPr>
                <w:b/>
              </w:rPr>
              <w:t>Primary Upload Variable Name</w:t>
            </w:r>
          </w:p>
        </w:tc>
        <w:tc>
          <w:tcPr>
            <w:tcW w:type="dxa" w:w="6048"/>
            <w:shd w:fill="FFFFFF"/>
            <w:tcMar>
              <w:top w:w="100" w:type="dxa"/>
              <w:bottom w:w="100" w:type="dxa"/>
              <w:left w:w="150" w:type="dxa"/>
              <w:right w:w="150" w:type="dxa"/>
            </w:tcMar>
          </w:tcPr>
          <w:p>
            <w:r>
              <w:t>contour_map (fallback: file)</w:t>
            </w:r>
          </w:p>
        </w:tc>
      </w:tr>
      <w:tr>
        <w:tc>
          <w:tcPr>
            <w:tcW w:type="dxa" w:w="3312"/>
            <w:shd w:fill="F9F9F9"/>
            <w:tcMar>
              <w:top w:w="100" w:type="dxa"/>
              <w:bottom w:w="100" w:type="dxa"/>
              <w:left w:w="150" w:type="dxa"/>
              <w:right w:w="150" w:type="dxa"/>
            </w:tcMar>
          </w:tcPr>
          <w:p>
            <w:r>
              <w:rPr>
                <w:b/>
              </w:rPr>
              <w:t>Interactive OpenAPI Documentation</w:t>
            </w:r>
          </w:p>
        </w:tc>
        <w:tc>
          <w:tcPr>
            <w:tcW w:type="dxa" w:w="6048"/>
            <w:shd w:fill="F9F9F9"/>
            <w:tcMar>
              <w:top w:w="100" w:type="dxa"/>
              <w:bottom w:w="100" w:type="dxa"/>
              <w:left w:w="150" w:type="dxa"/>
              <w:right w:w="150" w:type="dxa"/>
            </w:tcMar>
          </w:tcPr>
          <w:p>
            <w:r>
              <w:t>http://10.1.75.51:3241/docs</w:t>
            </w:r>
          </w:p>
        </w:tc>
      </w:tr>
      <w:tr>
        <w:tc>
          <w:tcPr>
            <w:tcW w:type="dxa" w:w="3312"/>
            <w:shd w:fill="FFFFFF"/>
            <w:tcMar>
              <w:top w:w="100" w:type="dxa"/>
              <w:bottom w:w="100" w:type="dxa"/>
              <w:left w:w="150" w:type="dxa"/>
              <w:right w:w="150" w:type="dxa"/>
            </w:tcMar>
          </w:tcPr>
          <w:p>
            <w:r>
              <w:rPr>
                <w:b/>
              </w:rPr>
              <w:t>Remote Server Repository Path</w:t>
            </w:r>
          </w:p>
        </w:tc>
        <w:tc>
          <w:tcPr>
            <w:tcW w:type="dxa" w:w="6048"/>
            <w:shd w:fill="FFFFFF"/>
            <w:tcMar>
              <w:top w:w="100" w:type="dxa"/>
              <w:bottom w:w="100" w:type="dxa"/>
              <w:left w:w="150" w:type="dxa"/>
              <w:right w:w="150" w:type="dxa"/>
            </w:tcMar>
          </w:tcPr>
          <w:p>
            <w:r>
              <w:t>/home/student/pond_panning (10.1.75.51:2241)</w:t>
            </w:r>
          </w:p>
        </w:tc>
      </w:tr>
      <w:tr>
        <w:tc>
          <w:tcPr>
            <w:tcW w:type="dxa" w:w="3312"/>
            <w:shd w:fill="F9F9F9"/>
            <w:tcMar>
              <w:top w:w="100" w:type="dxa"/>
              <w:bottom w:w="100" w:type="dxa"/>
              <w:left w:w="150" w:type="dxa"/>
              <w:right w:w="150" w:type="dxa"/>
            </w:tcMar>
          </w:tcPr>
          <w:p>
            <w:r>
              <w:rPr>
                <w:b/>
              </w:rPr>
              <w:t>Deployment Architecture</w:t>
            </w:r>
          </w:p>
        </w:tc>
        <w:tc>
          <w:tcPr>
            <w:tcW w:type="dxa" w:w="6048"/>
            <w:shd w:fill="F9F9F9"/>
            <w:tcMar>
              <w:top w:w="100" w:type="dxa"/>
              <w:bottom w:w="100" w:type="dxa"/>
              <w:left w:w="150" w:type="dxa"/>
              <w:right w:w="150" w:type="dxa"/>
            </w:tcMar>
          </w:tcPr>
          <w:p>
            <w:r>
              <w:t>Endless Auto-Restarting Watchdog Daemon (run_daemon.sh)</w:t>
            </w:r>
          </w:p>
        </w:tc>
      </w:tr>
      <w:tr>
        <w:tc>
          <w:tcPr>
            <w:tcW w:type="dxa" w:w="3312"/>
            <w:shd w:fill="FFFFFF"/>
            <w:tcMar>
              <w:top w:w="100" w:type="dxa"/>
              <w:bottom w:w="100" w:type="dxa"/>
              <w:left w:w="150" w:type="dxa"/>
              <w:right w:w="150" w:type="dxa"/>
            </w:tcMar>
          </w:tcPr>
          <w:p>
            <w:r>
              <w:rPr>
                <w:b/>
              </w:rPr>
              <w:t>Automated Test Suite</w:t>
            </w:r>
          </w:p>
        </w:tc>
        <w:tc>
          <w:tcPr>
            <w:tcW w:type="dxa" w:w="6048"/>
            <w:shd w:fill="FFFFFF"/>
            <w:tcMar>
              <w:top w:w="100" w:type="dxa"/>
              <w:bottom w:w="100" w:type="dxa"/>
              <w:left w:w="150" w:type="dxa"/>
              <w:right w:w="150" w:type="dxa"/>
            </w:tcMar>
          </w:tcPr>
          <w:p>
            <w:r>
              <w:t>23 unit, integration, and topographic scenario tests (pytest)</w:t>
            </w:r>
          </w:p>
        </w:tc>
      </w:tr>
    </w:tbl>
    <w:p>
      <w:pPr>
        <w:spacing w:after="200"/>
      </w:pPr>
    </w:p>
    <w:p>
      <w:pPr>
        <w:pStyle w:val="Heading1"/>
        <w:spacing w:before="280" w:after="120"/>
      </w:pPr>
      <w:r>
        <w:rPr>
          <w:color w:val="000000"/>
        </w:rPr>
        <w:t>2. Catchment Estimation &amp; Hydrological Approach</w:t>
      </w:r>
    </w:p>
    <w:p>
      <w:pPr>
        <w:pStyle w:val="Heading2"/>
      </w:pPr>
      <w:r>
        <w:t>2.1 Layer 1 — Namespace-Agnostic KML/KMZ Parsing</w:t>
      </w:r>
    </w:p>
    <w:p>
      <w:pPr>
        <w:spacing w:line="276" w:lineRule="auto" w:after="160"/>
      </w:pPr>
      <w:r>
        <w:t>The parser module (app/parser/kml_parser.py) handles arbitrary XML structures without prior assumptions about namespaces or element attributes. It transparently unpacks KMZ zip archives in memory, evaluates elements using local-name() XPath matching, and extracts elevation data from Placemark names, descriptions, or ExtendedData attributes. Polylines are extracted with full vertex precision, unique elevation levels are sorted to compute dynamic contour intervals, and a structured ContourDataset is emitted.</w:t>
      </w:r>
    </w:p>
    <w:p>
      <w:pPr>
        <w:pStyle w:val="Heading2"/>
      </w:pPr>
      <w:r>
        <w:t>2.2 Layer 2 — Dynamic UTM Projection &amp; Metric DEM Construction</w:t>
      </w:r>
    </w:p>
    <w:p>
      <w:pPr>
        <w:spacing w:line="276" w:lineRule="auto" w:after="160"/>
      </w:pPr>
      <w:r>
        <w:t>The DEM builder (app/dem/dem_builder.py) automatically computes the local Universal Transverse Mercator (UTM) zone from the dataset's geographic centroid and reprojects all vertices from WGS84 geographic coordinates (EPSG:4326) into metric UTM coordinates (pyproj). Contour polylines are densified along segments to prevent rasterization gaps. A 2D regular grid is interpolated using scipy.interpolate.griddata (linear interpolation) with nearest-neighbor convex hull perimeter filling to guarantee a continuous elevation matrix.</w:t>
        <w:br/>
        <w:br/>
        <w:t>Memory Safety Guard Rail: To protect the 512MB RAM ceiling, if the requested resolution results in a grid cell count exceeding MAX_GRID_CELLS (150,000 cells), the builder dynamically auto-coarsens the resolution using the formula target_res = sqrt((width_m * height_m) / MAX_GRID_CELLS) and flags resolution_auto_adjusted = True.</w:t>
      </w:r>
    </w:p>
    <w:p>
      <w:pPr>
        <w:pStyle w:val="Heading2"/>
      </w:pPr>
      <w:r>
        <w:t>2.3 Layer 3 — Pure-NumPy Hydrological Terrain Analysis</w:t>
      </w:r>
    </w:p>
    <w:p>
      <w:pPr>
        <w:spacing w:line="276" w:lineRule="auto" w:after="160"/>
      </w:pPr>
      <w:r>
        <w:t>The hydrology engine (app/terrain/hydrology.py) executes four core computational operations:</w:t>
        <w:br/>
        <w:t>1. Priority-Flood Depression Filling: Implements the Barnes et al. (2014) Priority-Flood algorithm using a priority queue (heapq) initialized with perimeter boundary cells. The algorithm processes cells inward in O(N log N) time, raising depression pits to the lowest pour-point elevation and guaranteeing monotonic drainage outward.</w:t>
        <w:br/>
        <w:t>2. Terrain Gradient &amp; Slope: Computes 2nd-order central difference gradients in X and Y to determine slope angle, magnitude, and percentage slope for every cell.</w:t>
        <w:br/>
        <w:t>3. D8 Flow Direction Matrix: For each cell, the steepest downward gradient among its 8 adjacent neighbors is evaluated, accounting for orthogonal (1.0) and diagonal (sqrt(2)) metric distances. Flat plateaus are resolved using a distance-transform breadth-first search (BFS) towards downward spill outlets.</w:t>
        <w:br/>
        <w:t>4. O(N) Topological Flow Accumulation: Rather than relying on recursive flood fills which risk call-stack overflow on large grids, the engine computes in-degrees (number of upstream tributaries flowing into each cell) and traverses the directed acyclic flow graph in O(N) linear time from ridge lines (in-degree = 0) downward.</w:t>
      </w:r>
    </w:p>
    <w:p>
      <w:pPr>
        <w:pStyle w:val="Heading2"/>
      </w:pPr>
      <w:r>
        <w:t>2.4 Layer 4 — Multi-Criteria Farm Pond Siting &amp; Watershed Tracing</w:t>
      </w:r>
    </w:p>
    <w:p>
      <w:pPr>
        <w:spacing w:line="276" w:lineRule="auto" w:after="160"/>
      </w:pPr>
      <w:r>
        <w:t>The pond selector (app/pond/selector.py) and catchment delineator (app/pond/catchment.py) execute the siting and geometry generation:</w:t>
        <w:br/>
        <w:t>• Multi-Criteria Siting Heuristic: Farm ponds require sufficient runoff volume, reasonable excavation cost, and embankment stability. Candidate cells are filtered with an interior margin buffer (excluding border artifacts) and ranked using a multi-criteria scoring function:</w:t>
        <w:br/>
        <w:t xml:space="preserve">      Score = (norm_accum * 0.70) + (norm_slope_score * 0.30) + norm_depression</w:t>
        <w:br/>
        <w:t>where logarithmic flow accumulation norm_accum rewards large contributing areas, norm_slope_score penalizes steep unstable slopes (&gt;8–15%), and norm_depression boosts naturally concave storage hollows.</w:t>
        <w:br/>
        <w:t>• Reverse-D8 BFS Watershed Tracing: From the selected pond outlet cell, an upstream queue traverses all connected tributary cells in reverse flow direction, producing a binary catchment mask.</w:t>
        <w:br/>
        <w:t>• Vector Boundary Polygonization: The binary catchment mask is converted to raster cell bounding boxes, dissolved into a unified geometry via Shapely unary_union, topologically simplified with half-pixel tolerance, and reprojected into WGS84 coordinates to produce a closed GeoJSON Polygon.</w:t>
      </w:r>
    </w:p>
    <w:p>
      <w:pPr>
        <w:pStyle w:val="Heading1"/>
        <w:spacing w:before="280" w:after="120"/>
      </w:pPr>
      <w:r>
        <w:rPr>
          <w:color w:val="000000"/>
        </w:rPr>
        <w:t>3. Demonstration on Provided Map (contours_1m.kml)</w:t>
      </w:r>
    </w:p>
    <w:p>
      <w:pPr>
        <w:spacing w:before="160" w:after="40"/>
      </w:pPr>
      <w:r>
        <w:rPr>
          <w:b/>
        </w:rPr>
        <w:t>Live Execution Command (using required variable name 'contour_map'):</w:t>
      </w:r>
    </w:p>
    <w:p>
      <w:pPr>
        <w:spacing w:after="120"/>
        <w:ind w:left="288"/>
      </w:pPr>
      <w:r>
        <w:rPr>
          <w:rFonts w:ascii="Consolas" w:hAnsi="Consolas"/>
          <w:sz w:val="19"/>
        </w:rPr>
        <w:t>curl -X POST "http://10.1.75.51:3241/analyzeContour" -F "contour_map=@contours_1m.kml" -F "resolution_m=10.0"</w:t>
      </w:r>
    </w:p>
    <w:p>
      <w:pPr>
        <w:spacing w:after="40"/>
      </w:pPr>
      <w:r>
        <w:rPr>
          <w:b/>
        </w:rPr>
        <w:t>Actual Live JSON Response Payload:</w:t>
      </w:r>
    </w:p>
    <w:p>
      <w:pPr>
        <w:spacing w:after="160"/>
        <w:ind w:left="288"/>
      </w:pPr>
      <w:r>
        <w:rPr>
          <w:rFonts w:ascii="Consolas" w:hAnsi="Consolas"/>
          <w:sz w:val="18"/>
        </w:rPr>
        <w:t>{</w:t>
        <w:br/>
        <w:t xml:space="preserve">  "contour_interval_m": 1.0,</w:t>
        <w:br/>
        <w:t xml:space="preserve">  "elevation_range_m": [267.0, 298.0],</w:t>
        <w:br/>
        <w:t xml:space="preserve">  "total_contour_lines": 2710,</w:t>
        <w:br/>
        <w:t xml:space="preserve">  "grid_resolution_m": 10.0,</w:t>
        <w:br/>
        <w:t xml:space="preserve">  "grid_shape": [264, 326],</w:t>
        <w:br/>
        <w:t xml:space="preserve">  "resolution_auto_adjusted": false,</w:t>
        <w:br/>
        <w:t xml:space="preserve">  "pond_site": {</w:t>
        <w:br/>
        <w:t xml:space="preserve">    "lat": 21.251833,</w:t>
        <w:br/>
        <w:t xml:space="preserve">    "lon": 81.296571,</w:t>
        <w:br/>
        <w:t xml:space="preserve">    "elevation_m": 270.0,</w:t>
        <w:br/>
        <w:t xml:space="preserve">    "flow_accumulation_cells": 310</w:t>
        <w:br/>
        <w:t xml:space="preserve">  },</w:t>
        <w:br/>
        <w:t xml:space="preserve">  "catchment": {</w:t>
        <w:br/>
        <w:t xml:space="preserve">    "area_m2": 44300.0,</w:t>
        <w:br/>
        <w:t xml:space="preserve">    "area_hectares": 4.43,</w:t>
        <w:br/>
        <w:t xml:space="preserve">    "mean_slope_pct": 4.8,</w:t>
        <w:br/>
        <w:t xml:space="preserve">    "max_slope_pct": 28.62,</w:t>
        <w:br/>
        <w:t xml:space="preserve">    "min_elevation_m": 270.0,</w:t>
        <w:br/>
        <w:t xml:space="preserve">    "max_elevation_m": 293.0,</w:t>
        <w:br/>
        <w:t xml:space="preserve">    "relief_m": 23.0,</w:t>
        <w:br/>
        <w:t xml:space="preserve">    "watershed_cell_count": 443,</w:t>
        <w:br/>
        <w:t xml:space="preserve">    "boundary_geojson": {</w:t>
        <w:br/>
        <w:t xml:space="preserve">      "type": "Polygon",</w:t>
        <w:br/>
        <w:t xml:space="preserve">      "coordinates": [[[81.295562, 21.25179], [81.295562, 21.25206], [81.295466, 21.25206], ...]]</w:t>
        <w:br/>
        <w:t xml:space="preserve">    }</w:t>
        <w:br/>
        <w:t xml:space="preserve">  },</w:t>
        <w:br/>
        <w:t xml:space="preserve">  "processing_time_ms": 10533</w:t>
        <w:br/>
        <w:t>}</w:t>
      </w:r>
    </w:p>
    <w:p>
      <w:pPr>
        <w:pStyle w:val="Heading1"/>
        <w:spacing w:before="280" w:after="120"/>
      </w:pPr>
      <w:r>
        <w:rPr>
          <w:color w:val="000000"/>
        </w:rPr>
        <w:t>4. Systematic Assignment Evaluation</w:t>
      </w:r>
    </w:p>
    <w:p>
      <w:pPr>
        <w:pStyle w:val="Heading2"/>
      </w:pPr>
      <w:r>
        <w:t>4.1 Working API Endpoint &amp; Parameter Support</w:t>
      </w:r>
    </w:p>
    <w:p>
      <w:pPr>
        <w:spacing w:line="276" w:lineRule="auto" w:after="160"/>
      </w:pPr>
      <w:r>
        <w:t>The service is actively deployed and accessible at http://10.1.75.51:3241/analyzeContour. It explicitly accepts contour map uploads under the primary variable name 'contour_map' (as well as 'file' as a backward-compatible fallback). It streams multipart/form-data uploads with disk tempfile buffering to prevent in-memory duplication, featuring strict Pydantic schemas and structured error codes (400 for corrupt/missing files, 422 for flat terrain, and 500 for internal errors).</w:t>
      </w:r>
    </w:p>
    <w:p>
      <w:pPr>
        <w:pStyle w:val="Heading2"/>
      </w:pPr>
      <w:r>
        <w:t>4.2 Code Extensibility to Future Phases</w:t>
      </w:r>
    </w:p>
    <w:p>
      <w:pPr>
        <w:spacing w:line="276" w:lineRule="auto" w:after="160"/>
      </w:pPr>
      <w:r>
        <w:t>The system is engineered for long-term extensibility across multiple dimensions:</w:t>
        <w:br/>
        <w:t>• Generalized Coordinate Systems: Supports arbitrary global locations via dynamic UTM EPSG calculation (verified on Northern and Southern Hemisphere test cases).</w:t>
        <w:br/>
        <w:t>• Arbitrary Contour Intervals: Automatically detects non-uniform intervals (0.5m, 1m, 5m, 10m, etc.) without parameter tweaking.</w:t>
        <w:br/>
        <w:t>• Swappable Siting Heuristics: The pond selector interface accepts arbitrary scoring weights and can be extended to multi-pond cascading systems or soil-infiltration layers.</w:t>
        <w:br/>
        <w:t>• Pluggable Export Formats: The geometry generator can emit Shapefiles, GeoTIFF DEMs, or GeoJSON without modifying core terrain analysis modules.</w:t>
      </w:r>
    </w:p>
    <w:p>
      <w:pPr>
        <w:pStyle w:val="Heading2"/>
      </w:pPr>
      <w:r>
        <w:t>4.3 Comprehensive Documentation</w:t>
      </w:r>
    </w:p>
    <w:p>
      <w:pPr>
        <w:spacing w:line="276" w:lineRule="auto" w:after="160"/>
      </w:pPr>
      <w:r>
        <w:t>The project features complete inline docstrings across all modules, an extensive README.md, full OpenAPI/Swagger interactive UI at /docs, and step-by-step deployment scripts for automated Linux installations.</w:t>
      </w:r>
    </w:p>
    <w:p>
      <w:pPr>
        <w:pStyle w:val="Heading2"/>
      </w:pPr>
      <w:r>
        <w:t>4.4 Catchment Identification &amp; Estimation Accuracy</w:t>
      </w:r>
    </w:p>
    <w:p>
      <w:pPr>
        <w:spacing w:line="276" w:lineRule="auto" w:after="160"/>
      </w:pPr>
      <w:r>
        <w:t>Hydrological validity is proven through pure-NumPy priority-flood depression filling, D8 steepest descent routing, and in-degree topological flow accumulation. Delineated watersheds strictly adhere to topographic ridge divides, as verified across both real-world survey maps and synthetic test scenarios.</w:t>
      </w:r>
    </w:p>
    <w:p>
      <w:pPr>
        <w:pStyle w:val="Heading1"/>
        <w:spacing w:before="280" w:after="120"/>
      </w:pPr>
      <w:r>
        <w:rPr>
          <w:color w:val="000000"/>
        </w:rPr>
        <w:t>5. API Endpoint Documentation</w:t>
      </w:r>
    </w:p>
    <w:p>
      <w:pPr>
        <w:pStyle w:val="Heading2"/>
      </w:pPr>
      <w:r>
        <w:t>5.1 POST /analyzeContour</w:t>
      </w:r>
    </w:p>
    <w:p>
      <w:pPr>
        <w:spacing w:line="276" w:lineRule="auto" w:after="120"/>
      </w:pPr>
      <w:r>
        <w:rPr>
          <w:i/>
        </w:rPr>
        <w:t>Analyzes uploaded contour map, identifies optimal pond outlet site, and delineates upstream catchment boundary.</w:t>
        <w:br/>
      </w:r>
      <w:r>
        <w:rPr>
          <w:b/>
        </w:rPr>
        <w:t xml:space="preserve">• Content-Type: </w:t>
      </w:r>
      <w:r>
        <w:t>multipart/form-data</w:t>
        <w:br/>
      </w:r>
      <w:r>
        <w:rPr>
          <w:b/>
        </w:rPr>
        <w:t>• Request Parameters:</w:t>
        <w:br/>
      </w:r>
      <w:r>
        <w:t xml:space="preserve">   - contour_map (UploadFile, required): .kml or .kmz contour map file (primary variable name).</w:t>
        <w:br/>
      </w:r>
      <w:r>
        <w:t xml:space="preserve">   - file (UploadFile, optional fallback): Alternative parameter name for .kml/.kmz contour map.</w:t>
        <w:br/>
      </w:r>
      <w:r>
        <w:t xml:space="preserve">   - resolution_m (float, optional, default: 10.0): Target DEM cell size in meters.</w:t>
        <w:br/>
      </w:r>
      <w:r>
        <w:t xml:space="preserve">   - min_catchment_area_m2 (float, optional, default: 500.0): Minimum required catchment threshold.</w:t>
        <w:br/>
      </w:r>
    </w:p>
    <w:p>
      <w:pPr>
        <w:pStyle w:val="Heading2"/>
      </w:pPr>
      <w:r>
        <w:t>5.2 GET /health</w:t>
      </w:r>
    </w:p>
    <w:p>
      <w:pPr>
        <w:spacing w:line="276" w:lineRule="auto" w:after="160"/>
      </w:pPr>
      <w:r>
        <w:rPr>
          <w:i/>
        </w:rPr>
        <w:t>Health check and uptime monitoring endpoint.</w:t>
        <w:br/>
      </w:r>
      <w:r>
        <w:rPr>
          <w:b/>
        </w:rPr>
        <w:t xml:space="preserve">• Response: </w:t>
      </w:r>
      <w:r>
        <w:t>{"status": "ok"}</w:t>
      </w:r>
    </w:p>
    <w:p>
      <w:pPr>
        <w:pStyle w:val="Heading1"/>
        <w:spacing w:before="280" w:after="120"/>
      </w:pPr>
      <w:r>
        <w:rPr>
          <w:color w:val="000000"/>
        </w:rPr>
        <w:t>6. AI Citation &amp; Tool Acknowledgements</w:t>
      </w:r>
    </w:p>
    <w:p>
      <w:pPr>
        <w:spacing w:line="276" w:lineRule="auto" w:after="160"/>
      </w:pPr>
      <w:r>
        <w:t>AI Assistance Disclosure: This project was designed, developed, and evaluated with the pair-programming assistance of Google DeepMind's Antigravity Advanced Agentic AI (powered by the Gemini 3.7 model architecture). The AI assistant was utilized for architectural scaffolding, pure-NumPy hydrological algorithm implementation (Priority-Flood and D8 topological sorting), automated test suite construction (pytest), and remote Linux deployment configuration on the target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