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546"/>
      </w:tblGrid>
      <w:tr>
        <w:tc>
          <w:tcPr>
            <w:tcW w:type="dxa" w:w="10545"/>
            <w:shd w:val="clear" w:fill="0F2A4A"/>
            <w:vAlign w:val="center"/>
          </w:tcPr>
          <w:p>
            <w:pPr>
              <w:spacing w:before="120" w:after="0"/>
              <w:jc w:val="left"/>
            </w:pPr>
            <w:r>
              <w:rPr>
                <w:b/>
                <w:color w:val="FFFFFF"/>
                <w:sz w:val="32"/>
              </w:rPr>
              <w:t>Marketplace Ledger — Build vs Buy</w:t>
            </w:r>
          </w:p>
          <w:p>
            <w:pPr>
              <w:spacing w:after="120"/>
            </w:pPr>
            <w:r>
              <w:rPr>
                <w:color w:val="BCD3EC"/>
                <w:sz w:val="17"/>
              </w:rPr>
              <w:t>Decision note for go-ahead   •   Recommendation: build the ledger in-house as the system of record   •   June 2026</w:t>
            </w:r>
          </w:p>
        </w:tc>
      </w:tr>
    </w:tbl>
    <w:p>
      <w:pPr>
        <w:spacing w:before="140" w:after="80"/>
        <w:pBdr>
          <w:bottom w:val="single" w:sz="8" w:color="E2E8F0"/>
        </w:pBdr>
      </w:pPr>
      <w:r>
        <w:rPr>
          <w:b/>
          <w:color w:val="FFFFFF"/>
          <w:sz w:val="20"/>
          <w:shd w:val="clear" w:fill="0F2A4A"/>
        </w:rPr>
        <w:t xml:space="preserve"> 1 </w:t>
      </w:r>
      <w:r>
        <w:rPr>
          <w:b/>
          <w:color w:val="0F2A4A"/>
          <w:sz w:val="22"/>
        </w:rPr>
        <w:t xml:space="preserve">  How money flows today (current process)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109"/>
        <w:gridCol w:w="2109"/>
        <w:gridCol w:w="2109"/>
        <w:gridCol w:w="2109"/>
        <w:gridCol w:w="2109"/>
      </w:tblGrid>
      <w:tr>
        <w:tc>
          <w:tcPr>
            <w:tcW w:type="dxa" w:w="2721"/>
            <w:shd w:val="clear" w:fill="EAF2FB"/>
            <w:tcBorders>
              <w:top w:val="single" w:sz="8" w:color="6F9FD0"/>
              <w:bottom w:val="single" w:sz="8" w:color="6F9FD0"/>
              <w:left w:val="single" w:sz="8" w:color="6F9FD0"/>
              <w:right w:val="single" w:sz="8" w:color="6F9FD0"/>
            </w:tcBorders>
            <w:vAlign w:val="center"/>
          </w:tcPr>
          <w:p>
            <w:pPr>
              <w:spacing w:before="40" w:after="40"/>
              <w:jc w:val="center"/>
            </w:pPr>
            <w:r>
              <w:rPr>
                <w:b/>
                <w:color w:val="1E293B"/>
                <w:sz w:val="15"/>
              </w:rPr>
              <w:t>LSP (customer)</w:t>
            </w:r>
            <w:r>
              <w:rPr>
                <w:b w:val="0"/>
                <w:color w:val="334155"/>
                <w:sz w:val="15"/>
              </w:rPr>
            </w:r>
          </w:p>
          <w:p>
            <w:pPr>
              <w:spacing w:before="0" w:after="40"/>
              <w:jc w:val="center"/>
            </w:pPr>
            <w:r>
              <w:rPr>
                <w:b w:val="0"/>
                <w:color w:val="334155"/>
                <w:sz w:val="15"/>
              </w:rPr>
              <w:t>Books the trip and owes us freight</w:t>
            </w:r>
          </w:p>
        </w:tc>
        <w:tc>
          <w:tcPr>
            <w:tcW w:type="dxa" w:w="1587"/>
            <w:vAlign w:val="center"/>
            <w:shd w:val="clear" w:fill="FFFFFF"/>
          </w:tcPr>
          <w:p>
            <w:pPr>
              <w:spacing w:before="40" w:after="0"/>
              <w:jc w:val="center"/>
            </w:pPr>
            <w:r>
              <w:rPr>
                <w:b/>
                <w:color w:val="1F5C31"/>
                <w:sz w:val="13"/>
                <w:shd w:val="clear" w:fill="E2F3E6"/>
              </w:rPr>
              <w:t xml:space="preserve"> Money IN — Receivable (AR) </w:t>
            </w:r>
          </w:p>
          <w:p>
            <w:pPr>
              <w:spacing w:after="40"/>
              <w:jc w:val="center"/>
            </w:pPr>
            <w:r>
              <w:rPr>
                <w:b/>
                <w:color w:val="64748B"/>
                <w:sz w:val="24"/>
              </w:rPr>
              <w:t>→</w:t>
            </w:r>
          </w:p>
        </w:tc>
        <w:tc>
          <w:tcPr>
            <w:tcW w:type="dxa" w:w="2948"/>
            <w:shd w:val="clear" w:fill="F1F5F9"/>
            <w:tcBorders>
              <w:top w:val="single" w:sz="8" w:color="94A3B8"/>
              <w:bottom w:val="single" w:sz="8" w:color="94A3B8"/>
              <w:left w:val="single" w:sz="8" w:color="94A3B8"/>
              <w:right w:val="single" w:sz="8" w:color="94A3B8"/>
            </w:tcBorders>
            <w:vAlign w:val="center"/>
          </w:tcPr>
          <w:p>
            <w:pPr>
              <w:spacing w:before="40" w:after="40"/>
              <w:jc w:val="center"/>
            </w:pPr>
            <w:r>
              <w:rPr>
                <w:b/>
                <w:color w:val="1E293B"/>
                <w:sz w:val="15"/>
              </w:rPr>
              <w:t>Freight Tiger (marketplace)</w:t>
            </w:r>
            <w:r>
              <w:rPr>
                <w:b w:val="0"/>
                <w:color w:val="334155"/>
                <w:sz w:val="15"/>
              </w:rPr>
            </w:r>
          </w:p>
          <w:p>
            <w:pPr>
              <w:spacing w:before="0" w:after="40"/>
              <w:jc w:val="center"/>
            </w:pPr>
            <w:r>
              <w:rPr>
                <w:b w:val="0"/>
                <w:color w:val="334155"/>
                <w:sz w:val="15"/>
              </w:rPr>
              <w:t>Sits in the middle — collects from LSP, pays FO, keeps the margin</w:t>
            </w:r>
          </w:p>
        </w:tc>
        <w:tc>
          <w:tcPr>
            <w:tcW w:type="dxa" w:w="1587"/>
            <w:vAlign w:val="center"/>
            <w:shd w:val="clear" w:fill="FFFFFF"/>
          </w:tcPr>
          <w:p>
            <w:pPr>
              <w:spacing w:before="40" w:after="0"/>
              <w:jc w:val="center"/>
            </w:pPr>
            <w:r>
              <w:rPr>
                <w:b/>
                <w:color w:val="7A3306"/>
                <w:sz w:val="13"/>
                <w:shd w:val="clear" w:fill="FDEBD7"/>
              </w:rPr>
              <w:t xml:space="preserve"> Money OUT — Payable (AP) </w:t>
            </w:r>
          </w:p>
          <w:p>
            <w:pPr>
              <w:spacing w:after="40"/>
              <w:jc w:val="center"/>
            </w:pPr>
            <w:r>
              <w:rPr>
                <w:b/>
                <w:color w:val="64748B"/>
                <w:sz w:val="24"/>
              </w:rPr>
              <w:t>→</w:t>
            </w:r>
          </w:p>
        </w:tc>
        <w:tc>
          <w:tcPr>
            <w:tcW w:type="dxa" w:w="2721"/>
            <w:shd w:val="clear" w:fill="EAF2FB"/>
            <w:tcBorders>
              <w:top w:val="single" w:sz="8" w:color="6F9FD0"/>
              <w:bottom w:val="single" w:sz="8" w:color="6F9FD0"/>
              <w:left w:val="single" w:sz="8" w:color="6F9FD0"/>
              <w:right w:val="single" w:sz="8" w:color="6F9FD0"/>
            </w:tcBorders>
            <w:vAlign w:val="center"/>
          </w:tcPr>
          <w:p>
            <w:pPr>
              <w:spacing w:before="40" w:after="40"/>
              <w:jc w:val="center"/>
            </w:pPr>
            <w:r>
              <w:rPr>
                <w:b/>
                <w:color w:val="1E293B"/>
                <w:sz w:val="15"/>
              </w:rPr>
              <w:t>Fleet Owner (vendor)</w:t>
            </w:r>
            <w:r>
              <w:rPr>
                <w:b w:val="0"/>
                <w:color w:val="334155"/>
                <w:sz w:val="15"/>
              </w:rPr>
            </w:r>
          </w:p>
          <w:p>
            <w:pPr>
              <w:spacing w:before="0" w:after="40"/>
              <w:jc w:val="center"/>
            </w:pPr>
            <w:r>
              <w:rPr>
                <w:b w:val="0"/>
                <w:color w:val="334155"/>
                <w:sz w:val="15"/>
              </w:rPr>
              <w:t>Runs the trip and is owed the payout</w:t>
            </w:r>
          </w:p>
        </w:tc>
      </w:tr>
    </w:tbl>
    <w:p>
      <w:pPr>
        <w:spacing w:before="40" w:after="80"/>
        <w:jc w:val="center"/>
      </w:pPr>
      <w:r>
        <w:rPr>
          <w:i/>
          <w:color w:val="64748B"/>
          <w:sz w:val="15"/>
        </w:rPr>
        <w:t>Today both sides are mixed into the same trip fields — there is no separate “money in” (AR) vs “money out” (AP) view, so margin is invisible.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172"/>
        <w:gridCol w:w="1172"/>
        <w:gridCol w:w="1172"/>
        <w:gridCol w:w="1172"/>
        <w:gridCol w:w="1172"/>
        <w:gridCol w:w="1172"/>
        <w:gridCol w:w="1172"/>
        <w:gridCol w:w="1172"/>
        <w:gridCol w:w="1172"/>
      </w:tblGrid>
      <w:tr>
        <w:tc>
          <w:tcPr>
            <w:tcW w:type="dxa" w:w="1871"/>
            <w:shd w:val="clear" w:fill="F1F5F9"/>
            <w:tcBorders>
              <w:top w:val="single" w:sz="8" w:color="94A3B8"/>
              <w:bottom w:val="single" w:sz="8" w:color="94A3B8"/>
              <w:left w:val="single" w:sz="8" w:color="94A3B8"/>
              <w:right w:val="single" w:sz="8" w:color="94A3B8"/>
            </w:tcBorders>
            <w:vAlign w:val="center"/>
          </w:tcPr>
          <w:p>
            <w:pPr>
              <w:spacing w:before="40" w:after="40"/>
              <w:jc w:val="center"/>
            </w:pPr>
            <w:r>
              <w:rPr>
                <w:b/>
                <w:color w:val="1E293B"/>
                <w:sz w:val="15"/>
              </w:rPr>
              <w:t>Trip created</w:t>
            </w:r>
            <w:r>
              <w:rPr>
                <w:b w:val="0"/>
                <w:color w:val="334155"/>
                <w:sz w:val="15"/>
              </w:rPr>
            </w:r>
          </w:p>
          <w:p>
            <w:pPr>
              <w:spacing w:before="0" w:after="40"/>
              <w:jc w:val="center"/>
            </w:pPr>
            <w:r>
              <w:rPr>
                <w:b w:val="0"/>
                <w:color w:val="334155"/>
                <w:sz w:val="15"/>
              </w:rPr>
              <w:t>Ops team sets up the trip in CRM</w:t>
            </w:r>
          </w:p>
        </w:tc>
        <w:tc>
          <w:tcPr>
            <w:tcW w:type="dxa" w:w="283"/>
            <w:vAlign w:val="center"/>
          </w:tcPr>
          <w:p>
            <w:pPr>
              <w:spacing w:before="40" w:after="40"/>
              <w:jc w:val="center"/>
            </w:pPr>
            <w:r>
              <w:rPr>
                <w:b/>
                <w:color w:val="64748B"/>
                <w:sz w:val="24"/>
              </w:rPr>
              <w:t>→</w:t>
            </w:r>
          </w:p>
        </w:tc>
        <w:tc>
          <w:tcPr>
            <w:tcW w:type="dxa" w:w="1984"/>
            <w:shd w:val="clear" w:fill="FEF2F2"/>
            <w:tcBorders>
              <w:top w:val="single" w:sz="8" w:color="EF9A9A"/>
              <w:bottom w:val="single" w:sz="8" w:color="EF9A9A"/>
              <w:left w:val="single" w:sz="8" w:color="EF9A9A"/>
              <w:right w:val="single" w:sz="8" w:color="EF9A9A"/>
            </w:tcBorders>
            <w:vAlign w:val="center"/>
          </w:tcPr>
          <w:p>
            <w:pPr>
              <w:spacing w:before="40" w:after="40"/>
              <w:jc w:val="center"/>
            </w:pPr>
            <w:r>
              <w:rPr>
                <w:b/>
                <w:color w:val="1E293B"/>
                <w:sz w:val="15"/>
              </w:rPr>
              <w:t>Amounts typed into trip fields</w:t>
            </w:r>
            <w:r>
              <w:rPr>
                <w:b w:val="0"/>
                <w:color w:val="334155"/>
                <w:sz w:val="15"/>
              </w:rPr>
            </w:r>
          </w:p>
          <w:p>
            <w:pPr>
              <w:spacing w:before="0" w:after="40"/>
              <w:jc w:val="center"/>
            </w:pPr>
            <w:r>
              <w:rPr>
                <w:b w:val="0"/>
                <w:color w:val="334155"/>
                <w:sz w:val="15"/>
              </w:rPr>
              <w:t>Freight, charges, deductions — each edit overwrites the old value</w:t>
            </w:r>
          </w:p>
        </w:tc>
        <w:tc>
          <w:tcPr>
            <w:tcW w:type="dxa" w:w="283"/>
            <w:vAlign w:val="center"/>
          </w:tcPr>
          <w:p>
            <w:pPr>
              <w:spacing w:before="40" w:after="40"/>
              <w:jc w:val="center"/>
            </w:pPr>
            <w:r>
              <w:rPr>
                <w:b/>
                <w:color w:val="64748B"/>
                <w:sz w:val="24"/>
              </w:rPr>
              <w:t>→</w:t>
            </w:r>
          </w:p>
        </w:tc>
        <w:tc>
          <w:tcPr>
            <w:tcW w:type="dxa" w:w="1984"/>
            <w:shd w:val="clear" w:fill="FEF2F2"/>
            <w:tcBorders>
              <w:top w:val="single" w:sz="8" w:color="EF9A9A"/>
              <w:bottom w:val="single" w:sz="8" w:color="EF9A9A"/>
              <w:left w:val="single" w:sz="8" w:color="EF9A9A"/>
              <w:right w:val="single" w:sz="8" w:color="EF9A9A"/>
            </w:tcBorders>
            <w:vAlign w:val="center"/>
          </w:tcPr>
          <w:p>
            <w:pPr>
              <w:spacing w:before="40" w:after="40"/>
              <w:jc w:val="center"/>
            </w:pPr>
            <w:r>
              <w:rPr>
                <w:b/>
                <w:color w:val="1E293B"/>
                <w:sz w:val="15"/>
              </w:rPr>
              <w:t>Payments recorded one-to-one</w:t>
            </w:r>
            <w:r>
              <w:rPr>
                <w:b w:val="0"/>
                <w:color w:val="334155"/>
                <w:sz w:val="15"/>
              </w:rPr>
            </w:r>
          </w:p>
          <w:p>
            <w:pPr>
              <w:spacing w:before="0" w:after="40"/>
              <w:jc w:val="center"/>
            </w:pPr>
            <w:r>
              <w:rPr>
                <w:b w:val="0"/>
                <w:color w:val="334155"/>
                <w:sz w:val="15"/>
              </w:rPr>
              <w:t>One payment must match one charge; no part-payment or wallet</w:t>
            </w:r>
          </w:p>
        </w:tc>
        <w:tc>
          <w:tcPr>
            <w:tcW w:type="dxa" w:w="283"/>
            <w:vAlign w:val="center"/>
          </w:tcPr>
          <w:p>
            <w:pPr>
              <w:spacing w:before="40" w:after="40"/>
              <w:jc w:val="center"/>
            </w:pPr>
            <w:r>
              <w:rPr>
                <w:b/>
                <w:color w:val="64748B"/>
                <w:sz w:val="24"/>
              </w:rPr>
              <w:t>→</w:t>
            </w:r>
          </w:p>
        </w:tc>
        <w:tc>
          <w:tcPr>
            <w:tcW w:type="dxa" w:w="1984"/>
            <w:shd w:val="clear" w:fill="FEF2F2"/>
            <w:tcBorders>
              <w:top w:val="single" w:sz="8" w:color="EF9A9A"/>
              <w:bottom w:val="single" w:sz="8" w:color="EF9A9A"/>
              <w:left w:val="single" w:sz="8" w:color="EF9A9A"/>
              <w:right w:val="single" w:sz="8" w:color="EF9A9A"/>
            </w:tcBorders>
            <w:vAlign w:val="center"/>
          </w:tcPr>
          <w:p>
            <w:pPr>
              <w:spacing w:before="40" w:after="40"/>
              <w:jc w:val="center"/>
            </w:pPr>
            <w:r>
              <w:rPr>
                <w:b/>
                <w:color w:val="1E293B"/>
                <w:sz w:val="15"/>
              </w:rPr>
              <w:t>Finance cleans up manually</w:t>
            </w:r>
            <w:r>
              <w:rPr>
                <w:b w:val="0"/>
                <w:color w:val="334155"/>
                <w:sz w:val="15"/>
              </w:rPr>
            </w:r>
          </w:p>
          <w:p>
            <w:pPr>
              <w:spacing w:before="0" w:after="40"/>
              <w:jc w:val="center"/>
            </w:pPr>
            <w:r>
              <w:rPr>
                <w:b w:val="0"/>
                <w:color w:val="334155"/>
                <w:sz w:val="15"/>
              </w:rPr>
              <w:t>Payments matched to trips in spreadsheets; Bill of Supply &amp; TDS by hand</w:t>
            </w:r>
          </w:p>
        </w:tc>
        <w:tc>
          <w:tcPr>
            <w:tcW w:type="dxa" w:w="283"/>
            <w:vAlign w:val="center"/>
          </w:tcPr>
          <w:p>
            <w:pPr>
              <w:spacing w:before="40" w:after="40"/>
              <w:jc w:val="center"/>
            </w:pPr>
            <w:r>
              <w:rPr>
                <w:b/>
                <w:color w:val="64748B"/>
                <w:sz w:val="24"/>
              </w:rPr>
              <w:t>→</w:t>
            </w:r>
          </w:p>
        </w:tc>
        <w:tc>
          <w:tcPr>
            <w:tcW w:type="dxa" w:w="1871"/>
            <w:shd w:val="clear" w:fill="F1F5F9"/>
            <w:tcBorders>
              <w:top w:val="single" w:sz="8" w:color="94A3B8"/>
              <w:bottom w:val="single" w:sz="8" w:color="94A3B8"/>
              <w:left w:val="single" w:sz="8" w:color="94A3B8"/>
              <w:right w:val="single" w:sz="8" w:color="94A3B8"/>
            </w:tcBorders>
            <w:vAlign w:val="center"/>
          </w:tcPr>
          <w:p>
            <w:pPr>
              <w:spacing w:before="40" w:after="40"/>
              <w:jc w:val="center"/>
            </w:pPr>
            <w:r>
              <w:rPr>
                <w:b/>
                <w:color w:val="1E293B"/>
                <w:sz w:val="15"/>
              </w:rPr>
              <w:t>Reports cleaned manually</w:t>
            </w:r>
            <w:r>
              <w:rPr>
                <w:b w:val="0"/>
                <w:color w:val="334155"/>
                <w:sz w:val="15"/>
              </w:rPr>
            </w:r>
          </w:p>
          <w:p>
            <w:pPr>
              <w:spacing w:before="0" w:after="40"/>
              <w:jc w:val="center"/>
            </w:pPr>
            <w:r>
              <w:rPr>
                <w:b w:val="0"/>
                <w:color w:val="334155"/>
                <w:sz w:val="15"/>
              </w:rPr>
              <w:t>Metabase data corrected before use</w:t>
            </w:r>
          </w:p>
        </w:tc>
      </w:tr>
    </w:tbl>
    <w:p>
      <w:pPr>
        <w:spacing w:after="40"/>
      </w:pPr>
      <w:r>
        <w:rPr>
          <w:sz w:val="4"/>
        </w:r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546"/>
      </w:tblGrid>
      <w:tr>
        <w:tc>
          <w:tcPr>
            <w:tcW w:type="dxa" w:w="9921"/>
            <w:shd w:val="clear" w:fill="B3392F"/>
            <w:vAlign w:val="center"/>
          </w:tcPr>
          <w:p>
            <w:pPr>
              <w:spacing w:before="60" w:after="60"/>
              <w:jc w:val="center"/>
            </w:pPr>
            <w:r>
              <w:rPr>
                <w:b/>
                <w:color w:val="FFFFFF"/>
                <w:sz w:val="17"/>
              </w:rPr>
              <w:t xml:space="preserve">Result: </w:t>
            </w:r>
            <w:r>
              <w:rPr>
                <w:b w:val="0"/>
                <w:color w:val="FFFFFF"/>
                <w:sz w:val="17"/>
              </w:rPr>
              <w:t>500+ finance hours every month on manual work  •  disputed balances we cannot defend  •  payments are our #1 support-ticket driver</w:t>
            </w:r>
          </w:p>
        </w:tc>
      </w:tr>
    </w:tbl>
    <w:p>
      <w:pPr>
        <w:spacing w:before="140" w:after="80"/>
        <w:pBdr>
          <w:bottom w:val="single" w:sz="8" w:color="E2E8F0"/>
        </w:pBdr>
      </w:pPr>
      <w:r>
        <w:rPr>
          <w:b/>
          <w:color w:val="FFFFFF"/>
          <w:sz w:val="20"/>
          <w:shd w:val="clear" w:fill="0F2A4A"/>
        </w:rPr>
        <w:t xml:space="preserve"> 2 </w:t>
      </w:r>
      <w:r>
        <w:rPr>
          <w:b/>
          <w:color w:val="0F2A4A"/>
          <w:sz w:val="22"/>
        </w:rPr>
        <w:t xml:space="preserve">  Gaps in the current process and system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73"/>
        <w:gridCol w:w="5273"/>
      </w:tblGrid>
      <w:tr>
        <w:tc>
          <w:tcPr>
            <w:tcW w:type="dxa" w:w="5216"/>
            <w:shd w:val="clear" w:fill="FFF7F0"/>
            <w:tcBorders>
              <w:top w:val="single" w:sz="6" w:color="F0CDAA"/>
              <w:bottom w:val="single" w:sz="6" w:color="F0CDAA"/>
              <w:left w:val="single" w:sz="6" w:color="F0CDAA"/>
              <w:right w:val="single" w:sz="6" w:color="F0CDAA"/>
            </w:tcBorders>
            <w:vAlign w:val="center"/>
          </w:tcPr>
          <w:p>
            <w:pPr>
              <w:spacing w:before="60" w:after="60"/>
              <w:jc w:val="left"/>
            </w:pPr>
            <w:r>
              <w:rPr>
                <w:b/>
                <w:color w:val="9A4E0E"/>
                <w:sz w:val="17"/>
              </w:rPr>
              <w:t>No history.</w:t>
            </w:r>
            <w:r>
              <w:rPr>
                <w:b w:val="0"/>
                <w:color w:val="1E293B"/>
                <w:sz w:val="17"/>
              </w:rPr>
              <w:t xml:space="preserve"> Edits overwrite old values, so we cannot show what a balance was on a given date. When a payment is disputed, we have nothing to point to.</w:t>
            </w:r>
          </w:p>
        </w:tc>
        <w:tc>
          <w:tcPr>
            <w:tcW w:type="dxa" w:w="5216"/>
            <w:shd w:val="clear" w:fill="FFF7F0"/>
            <w:tcBorders>
              <w:top w:val="single" w:sz="6" w:color="F0CDAA"/>
              <w:bottom w:val="single" w:sz="6" w:color="F0CDAA"/>
              <w:left w:val="single" w:sz="6" w:color="F0CDAA"/>
              <w:right w:val="single" w:sz="6" w:color="F0CDAA"/>
            </w:tcBorders>
            <w:vAlign w:val="center"/>
          </w:tcPr>
          <w:p>
            <w:pPr>
              <w:spacing w:before="60" w:after="60"/>
              <w:jc w:val="left"/>
            </w:pPr>
            <w:r>
              <w:rPr>
                <w:b/>
                <w:color w:val="9A4E0E"/>
                <w:sz w:val="17"/>
              </w:rPr>
              <w:t>Balances drift.</w:t>
            </w:r>
            <w:r>
              <w:rPr>
                <w:b w:val="0"/>
                <w:color w:val="1E293B"/>
                <w:sz w:val="17"/>
              </w:rPr>
              <w:t xml:space="preserve"> Totals across a trip stop adding up over time, creating reconciliation mismatches between us, fleet owners and LSPs.</w:t>
            </w:r>
          </w:p>
        </w:tc>
      </w:tr>
      <w:tr>
        <w:tc>
          <w:tcPr>
            <w:tcW w:type="dxa" w:w="5216"/>
            <w:shd w:val="clear" w:fill="FFF7F0"/>
            <w:tcBorders>
              <w:top w:val="single" w:sz="6" w:color="F0CDAA"/>
              <w:bottom w:val="single" w:sz="6" w:color="F0CDAA"/>
              <w:left w:val="single" w:sz="6" w:color="F0CDAA"/>
              <w:right w:val="single" w:sz="6" w:color="F0CDAA"/>
            </w:tcBorders>
            <w:vAlign w:val="center"/>
          </w:tcPr>
          <w:p>
            <w:pPr>
              <w:spacing w:before="60" w:after="60"/>
              <w:jc w:val="left"/>
            </w:pPr>
            <w:r>
              <w:rPr>
                <w:b/>
                <w:color w:val="9A4E0E"/>
                <w:sz w:val="17"/>
              </w:rPr>
              <w:t>Rigid payments.</w:t>
            </w:r>
            <w:r>
              <w:rPr>
                <w:b w:val="0"/>
                <w:color w:val="1E293B"/>
                <w:sz w:val="17"/>
              </w:rPr>
              <w:t xml:space="preserve"> One payment cannot settle many charges, be paid in parts, or sit in a wallet. Overpayments and cancelled-trip advances have no clean home.</w:t>
            </w:r>
          </w:p>
        </w:tc>
        <w:tc>
          <w:tcPr>
            <w:tcW w:type="dxa" w:w="5216"/>
            <w:shd w:val="clear" w:fill="FFF7F0"/>
            <w:tcBorders>
              <w:top w:val="single" w:sz="6" w:color="F0CDAA"/>
              <w:bottom w:val="single" w:sz="6" w:color="F0CDAA"/>
              <w:left w:val="single" w:sz="6" w:color="F0CDAA"/>
              <w:right w:val="single" w:sz="6" w:color="F0CDAA"/>
            </w:tcBorders>
            <w:vAlign w:val="center"/>
          </w:tcPr>
          <w:p>
            <w:pPr>
              <w:spacing w:before="60" w:after="60"/>
              <w:jc w:val="left"/>
            </w:pPr>
            <w:r>
              <w:rPr>
                <w:b/>
                <w:color w:val="9A4E0E"/>
                <w:sz w:val="17"/>
              </w:rPr>
              <w:t>No clear per-party picture.</w:t>
            </w:r>
            <w:r>
              <w:rPr>
                <w:b w:val="0"/>
                <w:color w:val="1E293B"/>
                <w:sz w:val="17"/>
              </w:rPr>
              <w:t xml:space="preserve"> We can’t reliably see what each LSP owes us, what we owe each fleet owner, or our margin per trip.</w:t>
            </w:r>
          </w:p>
        </w:tc>
      </w:tr>
      <w:tr>
        <w:tc>
          <w:tcPr>
            <w:tcW w:type="dxa" w:w="5216"/>
            <w:shd w:val="clear" w:fill="FFF7F0"/>
            <w:tcBorders>
              <w:top w:val="single" w:sz="6" w:color="F0CDAA"/>
              <w:bottom w:val="single" w:sz="6" w:color="F0CDAA"/>
              <w:left w:val="single" w:sz="6" w:color="F0CDAA"/>
              <w:right w:val="single" w:sz="6" w:color="F0CDAA"/>
            </w:tcBorders>
            <w:vAlign w:val="center"/>
          </w:tcPr>
          <w:p>
            <w:pPr>
              <w:spacing w:before="60" w:after="60"/>
              <w:jc w:val="left"/>
            </w:pPr>
            <w:r>
              <w:rPr>
                <w:b/>
                <w:color w:val="9A4E0E"/>
                <w:sz w:val="17"/>
              </w:rPr>
              <w:t>Compliance is manual.</w:t>
            </w:r>
            <w:r>
              <w:rPr>
                <w:b w:val="0"/>
                <w:color w:val="1E293B"/>
                <w:sz w:val="17"/>
              </w:rPr>
              <w:t xml:space="preserve"> Bill of Supply, credit notes and TDS are computed and issued by hand — ~37 compliance line items, all error-prone.</w:t>
            </w:r>
          </w:p>
        </w:tc>
        <w:tc>
          <w:tcPr>
            <w:tcW w:type="dxa" w:w="5216"/>
            <w:shd w:val="clear" w:fill="FFF7F0"/>
            <w:tcBorders>
              <w:top w:val="single" w:sz="6" w:color="F0CDAA"/>
              <w:bottom w:val="single" w:sz="6" w:color="F0CDAA"/>
              <w:left w:val="single" w:sz="6" w:color="F0CDAA"/>
              <w:right w:val="single" w:sz="6" w:color="F0CDAA"/>
            </w:tcBorders>
            <w:vAlign w:val="center"/>
          </w:tcPr>
          <w:p>
            <w:pPr>
              <w:spacing w:before="60" w:after="60"/>
              <w:jc w:val="left"/>
            </w:pPr>
            <w:r>
              <w:rPr>
                <w:b/>
                <w:color w:val="9A4E0E"/>
                <w:sz w:val="17"/>
              </w:rPr>
              <w:t>Heavy ongoing cost.</w:t>
            </w:r>
            <w:r>
              <w:rPr>
                <w:b w:val="0"/>
                <w:color w:val="1E293B"/>
                <w:sz w:val="17"/>
              </w:rPr>
              <w:t xml:space="preserve"> All of the above lands on the finance team as repeated manual effort, month after month.</w:t>
            </w:r>
          </w:p>
        </w:tc>
      </w:tr>
    </w:tbl>
    <w:p>
      <w:pPr>
        <w:spacing w:before="140" w:after="80"/>
        <w:pBdr>
          <w:bottom w:val="single" w:sz="8" w:color="E2E8F0"/>
        </w:pBdr>
      </w:pPr>
      <w:r>
        <w:rPr>
          <w:b/>
          <w:color w:val="FFFFFF"/>
          <w:sz w:val="20"/>
          <w:shd w:val="clear" w:fill="0F2A4A"/>
        </w:rPr>
        <w:t xml:space="preserve"> 3 </w:t>
      </w:r>
      <w:r>
        <w:rPr>
          <w:b/>
          <w:color w:val="0F2A4A"/>
          <w:sz w:val="22"/>
        </w:rPr>
        <w:t xml:space="preserve">  What is needed to solve this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507"/>
        <w:gridCol w:w="1507"/>
        <w:gridCol w:w="1507"/>
        <w:gridCol w:w="1507"/>
        <w:gridCol w:w="1507"/>
        <w:gridCol w:w="1507"/>
        <w:gridCol w:w="1507"/>
      </w:tblGrid>
      <w:tr>
        <w:tc>
          <w:tcPr>
            <w:tcW w:type="dxa" w:w="2041"/>
            <w:shd w:val="clear" w:fill="F1F5F9"/>
            <w:tcBorders>
              <w:top w:val="single" w:sz="8" w:color="94A3B8"/>
              <w:bottom w:val="single" w:sz="8" w:color="94A3B8"/>
              <w:left w:val="single" w:sz="8" w:color="94A3B8"/>
              <w:right w:val="single" w:sz="8" w:color="94A3B8"/>
            </w:tcBorders>
            <w:vAlign w:val="center"/>
          </w:tcPr>
          <w:p>
            <w:pPr>
              <w:spacing w:before="40" w:after="40"/>
              <w:jc w:val="center"/>
            </w:pPr>
            <w:r>
              <w:rPr>
                <w:b/>
                <w:color w:val="1E293B"/>
                <w:sz w:val="15"/>
              </w:rPr>
              <w:t>CRM stays the front end</w:t>
            </w:r>
            <w:r>
              <w:rPr>
                <w:b w:val="0"/>
                <w:color w:val="334155"/>
                <w:sz w:val="15"/>
              </w:rPr>
            </w:r>
          </w:p>
          <w:p>
            <w:pPr>
              <w:spacing w:before="0" w:after="40"/>
              <w:jc w:val="center"/>
            </w:pPr>
            <w:r>
              <w:rPr>
                <w:b w:val="0"/>
                <w:color w:val="334155"/>
                <w:sz w:val="15"/>
              </w:rPr>
              <w:t>Teams keep working exactly where they do today</w:t>
            </w:r>
          </w:p>
        </w:tc>
        <w:tc>
          <w:tcPr>
            <w:tcW w:type="dxa" w:w="340"/>
            <w:vAlign w:val="center"/>
          </w:tcPr>
          <w:p>
            <w:pPr>
              <w:spacing w:before="40" w:after="40"/>
              <w:jc w:val="center"/>
            </w:pPr>
            <w:r>
              <w:rPr>
                <w:b/>
                <w:color w:val="64748B"/>
                <w:sz w:val="24"/>
              </w:rPr>
              <w:t>→</w:t>
            </w:r>
          </w:p>
        </w:tc>
        <w:tc>
          <w:tcPr>
            <w:tcW w:type="dxa" w:w="2494"/>
            <w:shd w:val="clear" w:fill="EAF2FB"/>
            <w:tcBorders>
              <w:top w:val="single" w:sz="8" w:color="6F9FD0"/>
              <w:bottom w:val="single" w:sz="8" w:color="6F9FD0"/>
              <w:left w:val="single" w:sz="8" w:color="6F9FD0"/>
              <w:right w:val="single" w:sz="8" w:color="6F9FD0"/>
            </w:tcBorders>
            <w:vAlign w:val="center"/>
          </w:tcPr>
          <w:p>
            <w:pPr>
              <w:spacing w:before="40" w:after="40"/>
              <w:jc w:val="center"/>
            </w:pPr>
            <w:r>
              <w:rPr>
                <w:b/>
                <w:color w:val="1E293B"/>
                <w:sz w:val="15"/>
              </w:rPr>
              <w:t>Ledger: the single source of truth</w:t>
            </w:r>
            <w:r>
              <w:rPr>
                <w:b w:val="0"/>
                <w:color w:val="334155"/>
                <w:sz w:val="15"/>
              </w:rPr>
            </w:r>
          </w:p>
          <w:p>
            <w:pPr>
              <w:spacing w:before="0" w:after="40"/>
              <w:jc w:val="center"/>
            </w:pPr>
            <w:r>
              <w:rPr>
                <w:b w:val="0"/>
                <w:color w:val="334155"/>
                <w:sz w:val="15"/>
              </w:rPr>
              <w:t>Every change is saved as a new entry — nothing is ever overwritten</w:t>
            </w:r>
          </w:p>
        </w:tc>
        <w:tc>
          <w:tcPr>
            <w:tcW w:type="dxa" w:w="340"/>
            <w:vAlign w:val="center"/>
          </w:tcPr>
          <w:p>
            <w:pPr>
              <w:spacing w:before="40" w:after="40"/>
              <w:jc w:val="center"/>
            </w:pPr>
            <w:r>
              <w:rPr>
                <w:b/>
                <w:color w:val="64748B"/>
                <w:sz w:val="24"/>
              </w:rPr>
              <w:t>→</w:t>
            </w:r>
          </w:p>
        </w:tc>
        <w:tc>
          <w:tcPr>
            <w:tcW w:type="dxa" w:w="2268"/>
            <w:shd w:val="clear" w:fill="F0FAF2"/>
            <w:tcBorders>
              <w:top w:val="single" w:sz="8" w:color="7FC08C"/>
              <w:bottom w:val="single" w:sz="8" w:color="7FC08C"/>
              <w:left w:val="single" w:sz="8" w:color="7FC08C"/>
              <w:right w:val="single" w:sz="8" w:color="7FC08C"/>
            </w:tcBorders>
            <w:vAlign w:val="center"/>
          </w:tcPr>
          <w:p>
            <w:pPr>
              <w:spacing w:before="40" w:after="40"/>
              <w:jc w:val="center"/>
            </w:pPr>
            <w:r>
              <w:rPr>
                <w:b/>
                <w:color w:val="1E293B"/>
                <w:sz w:val="15"/>
              </w:rPr>
              <w:t>Clear balances</w:t>
            </w:r>
            <w:r>
              <w:rPr>
                <w:b w:val="0"/>
                <w:color w:val="334155"/>
                <w:sz w:val="15"/>
              </w:rPr>
            </w:r>
          </w:p>
          <w:p>
            <w:pPr>
              <w:spacing w:before="0" w:after="40"/>
              <w:jc w:val="center"/>
            </w:pPr>
            <w:r>
              <w:rPr>
                <w:b w:val="0"/>
                <w:color w:val="334155"/>
                <w:sz w:val="15"/>
              </w:rPr>
              <w:t>Receivable / payable &amp; margin per trip, per party, as of any date</w:t>
            </w:r>
          </w:p>
        </w:tc>
        <w:tc>
          <w:tcPr>
            <w:tcW w:type="dxa" w:w="340"/>
            <w:vAlign w:val="center"/>
          </w:tcPr>
          <w:p>
            <w:pPr>
              <w:spacing w:before="40" w:after="40"/>
              <w:jc w:val="center"/>
            </w:pPr>
            <w:r>
              <w:rPr>
                <w:b/>
                <w:color w:val="64748B"/>
                <w:sz w:val="24"/>
              </w:rPr>
              <w:t>→</w:t>
            </w:r>
          </w:p>
        </w:tc>
        <w:tc>
          <w:tcPr>
            <w:tcW w:type="dxa" w:w="2268"/>
            <w:shd w:val="clear" w:fill="F0FAF2"/>
            <w:tcBorders>
              <w:top w:val="single" w:sz="8" w:color="7FC08C"/>
              <w:bottom w:val="single" w:sz="8" w:color="7FC08C"/>
              <w:left w:val="single" w:sz="8" w:color="7FC08C"/>
              <w:right w:val="single" w:sz="8" w:color="7FC08C"/>
            </w:tcBorders>
            <w:vAlign w:val="center"/>
          </w:tcPr>
          <w:p>
            <w:pPr>
              <w:spacing w:before="40" w:after="40"/>
              <w:jc w:val="center"/>
            </w:pPr>
            <w:r>
              <w:rPr>
                <w:b/>
                <w:color w:val="1E293B"/>
                <w:sz w:val="15"/>
              </w:rPr>
              <w:t>Flexible settlement</w:t>
            </w:r>
            <w:r>
              <w:rPr>
                <w:b w:val="0"/>
                <w:color w:val="334155"/>
                <w:sz w:val="15"/>
              </w:rPr>
            </w:r>
          </w:p>
          <w:p>
            <w:pPr>
              <w:spacing w:before="0" w:after="40"/>
              <w:jc w:val="center"/>
            </w:pPr>
            <w:r>
              <w:rPr>
                <w:b w:val="0"/>
                <w:color w:val="334155"/>
                <w:sz w:val="15"/>
              </w:rPr>
              <w:t>One payment → many charges, part-payments, FO &amp; LSP wallets</w:t>
            </w:r>
          </w:p>
        </w:tc>
      </w:tr>
    </w:tbl>
    <w:p>
      <w:pPr>
        <w:spacing w:after="20"/>
      </w:pPr>
      <w:r>
        <w:rPr>
          <w:sz w:val="4"/>
        </w:rPr>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2109"/>
        <w:gridCol w:w="2109"/>
        <w:gridCol w:w="2109"/>
        <w:gridCol w:w="2109"/>
        <w:gridCol w:w="2109"/>
      </w:tblGrid>
      <w:tr>
        <w:tc>
          <w:tcPr>
            <w:tcW w:type="dxa" w:w="2608"/>
            <w:shd w:val="clear" w:fill="F0FAF2"/>
            <w:tcBorders>
              <w:top w:val="single" w:sz="8" w:color="7FC08C"/>
              <w:bottom w:val="single" w:sz="8" w:color="7FC08C"/>
              <w:left w:val="single" w:sz="8" w:color="7FC08C"/>
              <w:right w:val="single" w:sz="8" w:color="7FC08C"/>
            </w:tcBorders>
            <w:vAlign w:val="center"/>
          </w:tcPr>
          <w:p>
            <w:pPr>
              <w:spacing w:before="40" w:after="40"/>
              <w:jc w:val="center"/>
            </w:pPr>
            <w:r>
              <w:rPr>
                <w:b/>
                <w:color w:val="1E293B"/>
                <w:sz w:val="15"/>
              </w:rPr>
              <w:t>Documents auto-generated</w:t>
            </w:r>
            <w:r>
              <w:rPr>
                <w:b w:val="0"/>
                <w:color w:val="334155"/>
                <w:sz w:val="15"/>
              </w:rPr>
            </w:r>
          </w:p>
          <w:p>
            <w:pPr>
              <w:spacing w:before="0" w:after="40"/>
              <w:jc w:val="center"/>
            </w:pPr>
            <w:r>
              <w:rPr>
                <w:b w:val="0"/>
                <w:color w:val="334155"/>
                <w:sz w:val="15"/>
              </w:rPr>
              <w:t>Bill of Supply, credit notes, TDS — amounts frozen when issued</w:t>
            </w:r>
          </w:p>
        </w:tc>
        <w:tc>
          <w:tcPr>
            <w:tcW w:type="dxa" w:w="340"/>
            <w:vAlign w:val="center"/>
          </w:tcPr>
          <w:p>
            <w:pPr>
              <w:spacing w:before="40" w:after="40"/>
              <w:jc w:val="center"/>
            </w:pPr>
            <w:r>
              <w:rPr>
                <w:b/>
                <w:color w:val="64748B"/>
                <w:sz w:val="24"/>
              </w:rPr>
              <w:t>→</w:t>
            </w:r>
          </w:p>
        </w:tc>
        <w:tc>
          <w:tcPr>
            <w:tcW w:type="dxa" w:w="2608"/>
            <w:shd w:val="clear" w:fill="F0FAF2"/>
            <w:tcBorders>
              <w:top w:val="single" w:sz="8" w:color="7FC08C"/>
              <w:bottom w:val="single" w:sz="8" w:color="7FC08C"/>
              <w:left w:val="single" w:sz="8" w:color="7FC08C"/>
              <w:right w:val="single" w:sz="8" w:color="7FC08C"/>
            </w:tcBorders>
            <w:vAlign w:val="center"/>
          </w:tcPr>
          <w:p>
            <w:pPr>
              <w:spacing w:before="40" w:after="40"/>
              <w:jc w:val="center"/>
            </w:pPr>
            <w:r>
              <w:rPr>
                <w:b/>
                <w:color w:val="1E293B"/>
                <w:sz w:val="15"/>
              </w:rPr>
              <w:t>Payments connected</w:t>
            </w:r>
            <w:r>
              <w:rPr>
                <w:b w:val="0"/>
                <w:color w:val="334155"/>
                <w:sz w:val="15"/>
              </w:rPr>
            </w:r>
          </w:p>
          <w:p>
            <w:pPr>
              <w:spacing w:before="0" w:after="40"/>
              <w:jc w:val="center"/>
            </w:pPr>
            <w:r>
              <w:rPr>
                <w:b w:val="0"/>
                <w:color w:val="334155"/>
                <w:sz w:val="15"/>
              </w:rPr>
              <w:t>Razorpay payouts and bank-receipt matching, driven by the ledger</w:t>
            </w:r>
          </w:p>
        </w:tc>
        <w:tc>
          <w:tcPr>
            <w:tcW w:type="dxa" w:w="340"/>
            <w:vAlign w:val="center"/>
          </w:tcPr>
          <w:p>
            <w:pPr>
              <w:spacing w:before="40" w:after="40"/>
              <w:jc w:val="center"/>
            </w:pPr>
            <w:r>
              <w:rPr>
                <w:b/>
                <w:color w:val="64748B"/>
                <w:sz w:val="24"/>
              </w:rPr>
              <w:t>→</w:t>
            </w:r>
          </w:p>
        </w:tc>
        <w:tc>
          <w:tcPr>
            <w:tcW w:type="dxa" w:w="2948"/>
            <w:shd w:val="clear" w:fill="FBFDFF"/>
            <w:tcBorders>
              <w:top w:val="single" w:sz="8" w:color="9BB6D3"/>
              <w:bottom w:val="single" w:sz="8" w:color="9BB6D3"/>
              <w:left w:val="single" w:sz="8" w:color="9BB6D3"/>
              <w:right w:val="single" w:sz="8" w:color="9BB6D3"/>
            </w:tcBorders>
            <w:vAlign w:val="center"/>
          </w:tcPr>
          <w:p>
            <w:pPr>
              <w:spacing w:before="40" w:after="40"/>
              <w:jc w:val="center"/>
            </w:pPr>
            <w:r>
              <w:rPr>
                <w:b/>
                <w:color w:val="1E293B"/>
                <w:sz w:val="15"/>
              </w:rPr>
              <w:t>Optional: Zoho downstream</w:t>
            </w:r>
            <w:r>
              <w:rPr>
                <w:b w:val="0"/>
                <w:color w:val="334155"/>
                <w:sz w:val="15"/>
              </w:rPr>
            </w:r>
          </w:p>
          <w:p>
            <w:pPr>
              <w:spacing w:before="0" w:after="40"/>
              <w:jc w:val="center"/>
            </w:pPr>
            <w:r>
              <w:rPr>
                <w:b w:val="0"/>
                <w:color w:val="334155"/>
                <w:sz w:val="15"/>
              </w:rPr>
              <w:t>If statutory books are needed, send summarised entries to Zoho — not the live system</w:t>
            </w:r>
          </w:p>
        </w:tc>
      </w:tr>
    </w:tbl>
    <w:p>
      <w:pPr>
        <w:spacing w:before="40" w:after="60"/>
        <w:jc w:val="center"/>
      </w:pPr>
      <w:r>
        <w:rPr>
          <w:b/>
          <w:i/>
          <w:color w:val="64748B"/>
          <w:sz w:val="15"/>
        </w:rPr>
        <w:t xml:space="preserve">Scope note on “wallet”: </w:t>
      </w:r>
      <w:r>
        <w:rPr>
          <w:i/>
          <w:color w:val="64748B"/>
          <w:sz w:val="15"/>
        </w:rPr>
        <w:t xml:space="preserve">this is only a basic internal balance in our ledger — to track overpayments, credits/debits and cross-trip settlement. We are </w:t>
      </w:r>
      <w:r>
        <w:rPr>
          <w:b/>
          <w:i/>
          <w:color w:val="64748B"/>
          <w:sz w:val="15"/>
        </w:rPr>
        <w:t>not</w:t>
      </w:r>
      <w:r>
        <w:rPr>
          <w:i/>
          <w:color w:val="64748B"/>
          <w:sz w:val="15"/>
        </w:rPr>
        <w:t xml:space="preserve"> building a full-fledged wallet product: no money is stored and there is no external wallet integration.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546"/>
      </w:tblGrid>
      <w:tr>
        <w:tc>
          <w:tcPr>
            <w:tcW w:type="dxa" w:w="9921"/>
            <w:shd w:val="clear" w:fill="2E7D44"/>
            <w:vAlign w:val="center"/>
          </w:tcPr>
          <w:p>
            <w:pPr>
              <w:spacing w:before="60" w:after="60"/>
              <w:jc w:val="center"/>
            </w:pPr>
            <w:r>
              <w:rPr>
                <w:b/>
                <w:color w:val="FFFFFF"/>
                <w:sz w:val="17"/>
              </w:rPr>
              <w:t xml:space="preserve">Result: </w:t>
            </w:r>
            <w:r>
              <w:rPr>
                <w:b w:val="0"/>
                <w:color w:val="FFFFFF"/>
                <w:sz w:val="17"/>
              </w:rPr>
              <w:t>defensible balances on any date  •  automated compliance  •  500+ finance hours/month back  •  ledger visible to FOs &amp; LSPs</w:t>
            </w:r>
          </w:p>
        </w:tc>
      </w:tr>
    </w:tbl>
    <w:p>
      <w:r>
        <w:br w:type="page"/>
      </w:r>
    </w:p>
    <w:p>
      <w:pPr>
        <w:spacing w:before="140" w:after="80"/>
        <w:pBdr>
          <w:bottom w:val="single" w:sz="8" w:color="E2E8F0"/>
        </w:pBdr>
      </w:pPr>
      <w:r>
        <w:rPr>
          <w:b/>
          <w:color w:val="FFFFFF"/>
          <w:sz w:val="20"/>
          <w:shd w:val="clear" w:fill="0F2A4A"/>
        </w:rPr>
        <w:t xml:space="preserve"> 4 </w:t>
      </w:r>
      <w:r>
        <w:rPr>
          <w:b/>
          <w:color w:val="0F2A4A"/>
          <w:sz w:val="22"/>
        </w:rPr>
        <w:t xml:space="preserve">  Build vs Buy — the decision in one view</w:t>
      </w:r>
    </w:p>
    <w:tbl>
      <w:tblPr>
        <w:tblW w:type="auto" w:w="0"/>
        <w:jc w:val="center"/>
        <w:tblLook w:firstColumn="1" w:firstRow="1" w:lastColumn="0" w:lastRow="0" w:noHBand="0" w:noVBand="1" w:val="04A0"/>
      </w:tblPr>
      <w:tblGrid>
        <w:gridCol w:w="3515"/>
        <w:gridCol w:w="3515"/>
        <w:gridCol w:w="3515"/>
      </w:tblGrid>
      <w:tr>
        <w:tc>
          <w:tcPr>
            <w:tcW w:type="dxa" w:w="1814"/>
            <w:shd w:val="clear" w:fill="0F2A4A"/>
            <w:tcBorders>
              <w:top w:val="single" w:sz="4" w:color="DBE3EC"/>
              <w:bottom w:val="single" w:sz="4" w:color="DBE3EC"/>
              <w:left w:val="single" w:sz="4" w:color="DBE3EC"/>
              <w:right w:val="single" w:sz="4" w:color="DBE3EC"/>
            </w:tcBorders>
            <w:vAlign w:val="center"/>
          </w:tcPr>
          <w:p>
            <w:pPr>
              <w:spacing w:before="40" w:after="40"/>
              <w:jc w:val="left"/>
            </w:pPr>
            <w:r>
              <w:rPr>
                <w:b/>
                <w:color w:val="FFFFFF"/>
                <w:sz w:val="17"/>
              </w:rPr>
              <w:t>What matters</w:t>
            </w:r>
          </w:p>
        </w:tc>
        <w:tc>
          <w:tcPr>
            <w:tcW w:type="dxa" w:w="4365"/>
            <w:shd w:val="clear" w:fill="2E7D44"/>
            <w:tcBorders>
              <w:top w:val="single" w:sz="4" w:color="DBE3EC"/>
              <w:bottom w:val="single" w:sz="4" w:color="DBE3EC"/>
              <w:left w:val="single" w:sz="4" w:color="DBE3EC"/>
              <w:right w:val="single" w:sz="4" w:color="DBE3EC"/>
            </w:tcBorders>
            <w:vAlign w:val="center"/>
          </w:tcPr>
          <w:p>
            <w:pPr>
              <w:spacing w:before="40" w:after="40"/>
              <w:jc w:val="left"/>
            </w:pPr>
            <w:r>
              <w:rPr>
                <w:b/>
                <w:color w:val="FFFFFF"/>
                <w:sz w:val="17"/>
              </w:rPr>
              <w:t>Build in-house (recommended)</w:t>
            </w:r>
          </w:p>
        </w:tc>
        <w:tc>
          <w:tcPr>
            <w:tcW w:type="dxa" w:w="4365"/>
            <w:shd w:val="clear" w:fill="0F2A4A"/>
            <w:tcBorders>
              <w:top w:val="single" w:sz="4" w:color="DBE3EC"/>
              <w:bottom w:val="single" w:sz="4" w:color="DBE3EC"/>
              <w:left w:val="single" w:sz="4" w:color="DBE3EC"/>
              <w:right w:val="single" w:sz="4" w:color="DBE3EC"/>
            </w:tcBorders>
            <w:vAlign w:val="center"/>
          </w:tcPr>
          <w:p>
            <w:pPr>
              <w:spacing w:before="40" w:after="40"/>
              <w:jc w:val="left"/>
            </w:pPr>
            <w:r>
              <w:rPr>
                <w:b/>
                <w:color w:val="FFFFFF"/>
                <w:sz w:val="17"/>
              </w:rPr>
              <w:t>Buy — Zoho Books as the live system</w:t>
            </w:r>
          </w:p>
        </w:tc>
      </w:tr>
      <w:tr>
        <w:tc>
          <w:tcPr>
            <w:tcW w:type="dxa" w:w="1814"/>
            <w:tcBorders>
              <w:top w:val="single" w:sz="4" w:color="DBE3EC"/>
              <w:bottom w:val="single" w:sz="4" w:color="DBE3EC"/>
              <w:left w:val="single" w:sz="4" w:color="DBE3EC"/>
              <w:right w:val="single" w:sz="4" w:color="DBE3EC"/>
            </w:tcBorders>
            <w:shd w:val="clear" w:fill="EEF3F8"/>
            <w:vAlign w:val="center"/>
          </w:tcPr>
          <w:p>
            <w:pPr>
              <w:spacing w:before="40" w:after="40"/>
              <w:jc w:val="left"/>
            </w:pPr>
            <w:r>
              <w:rPr>
                <w:b/>
                <w:color w:val="0F2A4A"/>
                <w:sz w:val="16"/>
              </w:rPr>
              <w:t>Fits our business model</w:t>
            </w:r>
          </w:p>
        </w:tc>
        <w:tc>
          <w:tcPr>
            <w:tcW w:type="dxa" w:w="4365"/>
            <w:tcBorders>
              <w:top w:val="single" w:sz="4" w:color="DBE3EC"/>
              <w:bottom w:val="single" w:sz="4" w:color="DBE3EC"/>
              <w:left w:val="single" w:sz="4" w:color="DBE3EC"/>
              <w:right w:val="single" w:sz="4" w:color="DBE3EC"/>
            </w:tcBorders>
            <w:shd w:val="clear" w:fill="F0FAF2"/>
            <w:vAlign w:val="center"/>
          </w:tcPr>
          <w:p>
            <w:pPr>
              <w:spacing w:before="40" w:after="40"/>
              <w:jc w:val="left"/>
            </w:pPr>
            <w:r>
              <w:rPr>
                <w:b/>
                <w:color w:val="2E7D44"/>
                <w:sz w:val="16"/>
              </w:rPr>
              <w:t xml:space="preserve">✓ </w:t>
            </w:r>
            <w:r>
              <w:rPr>
                <w:b w:val="0"/>
                <w:color w:val="1E293B"/>
                <w:sz w:val="16"/>
              </w:rPr>
              <w:t>Designed for a broker: per-trip receivable (LSP) and payable (FO) with our margin in between.</w:t>
            </w:r>
          </w:p>
        </w:tc>
        <w:tc>
          <w:tcPr>
            <w:tcW w:type="dxa" w:w="4365"/>
            <w:tcBorders>
              <w:top w:val="single" w:sz="4" w:color="DBE3EC"/>
              <w:bottom w:val="single" w:sz="4" w:color="DBE3EC"/>
              <w:left w:val="single" w:sz="4" w:color="DBE3EC"/>
              <w:right w:val="single" w:sz="4" w:color="DBE3EC"/>
            </w:tcBorders>
            <w:vAlign w:val="center"/>
          </w:tcPr>
          <w:p>
            <w:pPr>
              <w:spacing w:before="40" w:after="40"/>
              <w:jc w:val="left"/>
            </w:pPr>
            <w:r>
              <w:rPr>
                <w:b/>
                <w:color w:val="B3392F"/>
                <w:sz w:val="16"/>
              </w:rPr>
              <w:t xml:space="preserve">✗ </w:t>
            </w:r>
            <w:r>
              <w:rPr>
                <w:b w:val="0"/>
                <w:color w:val="1E293B"/>
                <w:sz w:val="16"/>
              </w:rPr>
              <w:t>Treats us as one company issuing invoices. No concept of two counterparties on one trip, or our margin.</w:t>
            </w:r>
          </w:p>
        </w:tc>
      </w:tr>
      <w:tr>
        <w:tc>
          <w:tcPr>
            <w:tcW w:type="dxa" w:w="1814"/>
            <w:tcBorders>
              <w:top w:val="single" w:sz="4" w:color="DBE3EC"/>
              <w:bottom w:val="single" w:sz="4" w:color="DBE3EC"/>
              <w:left w:val="single" w:sz="4" w:color="DBE3EC"/>
              <w:right w:val="single" w:sz="4" w:color="DBE3EC"/>
            </w:tcBorders>
            <w:shd w:val="clear" w:fill="EEF3F8"/>
            <w:vAlign w:val="center"/>
          </w:tcPr>
          <w:p>
            <w:pPr>
              <w:spacing w:before="40" w:after="40"/>
              <w:jc w:val="left"/>
            </w:pPr>
            <w:r>
              <w:rPr>
                <w:b/>
                <w:color w:val="0F2A4A"/>
                <w:sz w:val="16"/>
              </w:rPr>
              <w:t>Wallets &amp; flexible settlement</w:t>
            </w:r>
          </w:p>
        </w:tc>
        <w:tc>
          <w:tcPr>
            <w:tcW w:type="dxa" w:w="4365"/>
            <w:tcBorders>
              <w:top w:val="single" w:sz="4" w:color="DBE3EC"/>
              <w:bottom w:val="single" w:sz="4" w:color="DBE3EC"/>
              <w:left w:val="single" w:sz="4" w:color="DBE3EC"/>
              <w:right w:val="single" w:sz="4" w:color="DBE3EC"/>
            </w:tcBorders>
            <w:shd w:val="clear" w:fill="F0FAF2"/>
            <w:vAlign w:val="center"/>
          </w:tcPr>
          <w:p>
            <w:pPr>
              <w:spacing w:before="40" w:after="40"/>
              <w:jc w:val="left"/>
            </w:pPr>
            <w:r>
              <w:rPr>
                <w:b/>
                <w:color w:val="2E7D44"/>
                <w:sz w:val="16"/>
              </w:rPr>
              <w:t xml:space="preserve">✓ </w:t>
            </w:r>
            <w:r>
              <w:rPr>
                <w:b w:val="0"/>
                <w:color w:val="1E293B"/>
                <w:sz w:val="16"/>
              </w:rPr>
              <w:t>Basic internal wallet for FOs and LSPs — a ledger balance for overpayments, credits and cross-trip settlement only (not a full wallet product; no external integration). One payment can cover many charges or be part-paid.</w:t>
            </w:r>
          </w:p>
        </w:tc>
        <w:tc>
          <w:tcPr>
            <w:tcW w:type="dxa" w:w="4365"/>
            <w:tcBorders>
              <w:top w:val="single" w:sz="4" w:color="DBE3EC"/>
              <w:bottom w:val="single" w:sz="4" w:color="DBE3EC"/>
              <w:left w:val="single" w:sz="4" w:color="DBE3EC"/>
              <w:right w:val="single" w:sz="4" w:color="DBE3EC"/>
            </w:tcBorders>
            <w:shd w:val="clear" w:fill="F7FAFC"/>
            <w:vAlign w:val="center"/>
          </w:tcPr>
          <w:p>
            <w:pPr>
              <w:spacing w:before="40" w:after="40"/>
              <w:jc w:val="left"/>
            </w:pPr>
            <w:r>
              <w:rPr>
                <w:b/>
                <w:color w:val="B3392F"/>
                <w:sz w:val="16"/>
              </w:rPr>
              <w:t xml:space="preserve">✗ </w:t>
            </w:r>
            <w:r>
              <w:rPr>
                <w:b w:val="0"/>
                <w:color w:val="1E293B"/>
                <w:sz w:val="16"/>
              </w:rPr>
              <w:t>No per-party wallets; settlement forced into Zoho’s invoice/bill structure.</w:t>
            </w:r>
          </w:p>
        </w:tc>
      </w:tr>
      <w:tr>
        <w:tc>
          <w:tcPr>
            <w:tcW w:type="dxa" w:w="1814"/>
            <w:tcBorders>
              <w:top w:val="single" w:sz="4" w:color="DBE3EC"/>
              <w:bottom w:val="single" w:sz="4" w:color="DBE3EC"/>
              <w:left w:val="single" w:sz="4" w:color="DBE3EC"/>
              <w:right w:val="single" w:sz="4" w:color="DBE3EC"/>
            </w:tcBorders>
            <w:shd w:val="clear" w:fill="EEF3F8"/>
            <w:vAlign w:val="center"/>
          </w:tcPr>
          <w:p>
            <w:pPr>
              <w:spacing w:before="40" w:after="40"/>
              <w:jc w:val="left"/>
            </w:pPr>
            <w:r>
              <w:rPr>
                <w:b/>
                <w:color w:val="0F2A4A"/>
                <w:sz w:val="16"/>
              </w:rPr>
              <w:t>Work we still do either way</w:t>
            </w:r>
          </w:p>
        </w:tc>
        <w:tc>
          <w:tcPr>
            <w:tcW w:type="dxa" w:w="4365"/>
            <w:tcBorders>
              <w:top w:val="single" w:sz="4" w:color="DBE3EC"/>
              <w:bottom w:val="single" w:sz="4" w:color="DBE3EC"/>
              <w:left w:val="single" w:sz="4" w:color="DBE3EC"/>
              <w:right w:val="single" w:sz="4" w:color="DBE3EC"/>
            </w:tcBorders>
            <w:shd w:val="clear" w:fill="F0FAF2"/>
            <w:vAlign w:val="center"/>
          </w:tcPr>
          <w:p>
            <w:pPr>
              <w:spacing w:before="40" w:after="40"/>
              <w:jc w:val="left"/>
            </w:pPr>
            <w:r>
              <w:rPr>
                <w:b/>
                <w:color w:val="2E7D44"/>
                <w:sz w:val="16"/>
              </w:rPr>
              <w:t xml:space="preserve">✓ </w:t>
            </w:r>
            <w:r>
              <w:rPr>
                <w:b w:val="0"/>
                <w:color w:val="1E293B"/>
                <w:sz w:val="16"/>
              </w:rPr>
              <w:t>One system to maintain. Business logic already lives in the marketplace.</w:t>
            </w:r>
          </w:p>
        </w:tc>
        <w:tc>
          <w:tcPr>
            <w:tcW w:type="dxa" w:w="4365"/>
            <w:tcBorders>
              <w:top w:val="single" w:sz="4" w:color="DBE3EC"/>
              <w:bottom w:val="single" w:sz="4" w:color="DBE3EC"/>
              <w:left w:val="single" w:sz="4" w:color="DBE3EC"/>
              <w:right w:val="single" w:sz="4" w:color="DBE3EC"/>
            </w:tcBorders>
            <w:vAlign w:val="center"/>
          </w:tcPr>
          <w:p>
            <w:pPr>
              <w:spacing w:before="40" w:after="40"/>
              <w:jc w:val="left"/>
            </w:pPr>
            <w:r>
              <w:rPr>
                <w:b/>
                <w:color w:val="B3392F"/>
                <w:sz w:val="16"/>
              </w:rPr>
              <w:t xml:space="preserve">✗ </w:t>
            </w:r>
            <w:r>
              <w:rPr>
                <w:b w:val="0"/>
                <w:color w:val="1E293B"/>
                <w:sz w:val="16"/>
              </w:rPr>
              <w:t>Same work, plus more: onboard every FO &amp; LSP into Zoho, keep records in sync, format data to Zoho’s rules.</w:t>
            </w:r>
          </w:p>
        </w:tc>
      </w:tr>
      <w:tr>
        <w:tc>
          <w:tcPr>
            <w:tcW w:type="dxa" w:w="1814"/>
            <w:tcBorders>
              <w:top w:val="single" w:sz="4" w:color="DBE3EC"/>
              <w:bottom w:val="single" w:sz="4" w:color="DBE3EC"/>
              <w:left w:val="single" w:sz="4" w:color="DBE3EC"/>
              <w:right w:val="single" w:sz="4" w:color="DBE3EC"/>
            </w:tcBorders>
            <w:shd w:val="clear" w:fill="EEF3F8"/>
            <w:vAlign w:val="center"/>
          </w:tcPr>
          <w:p>
            <w:pPr>
              <w:spacing w:before="40" w:after="40"/>
              <w:jc w:val="left"/>
            </w:pPr>
            <w:r>
              <w:rPr>
                <w:b/>
                <w:color w:val="0F2A4A"/>
                <w:sz w:val="16"/>
              </w:rPr>
              <w:t>When something breaks</w:t>
            </w:r>
          </w:p>
        </w:tc>
        <w:tc>
          <w:tcPr>
            <w:tcW w:type="dxa" w:w="4365"/>
            <w:tcBorders>
              <w:top w:val="single" w:sz="4" w:color="DBE3EC"/>
              <w:bottom w:val="single" w:sz="4" w:color="DBE3EC"/>
              <w:left w:val="single" w:sz="4" w:color="DBE3EC"/>
              <w:right w:val="single" w:sz="4" w:color="DBE3EC"/>
            </w:tcBorders>
            <w:shd w:val="clear" w:fill="F0FAF2"/>
            <w:vAlign w:val="center"/>
          </w:tcPr>
          <w:p>
            <w:pPr>
              <w:spacing w:before="40" w:after="40"/>
              <w:jc w:val="left"/>
            </w:pPr>
            <w:r>
              <w:rPr>
                <w:b/>
                <w:color w:val="2E7D44"/>
                <w:sz w:val="16"/>
              </w:rPr>
              <w:t xml:space="preserve">✓ </w:t>
            </w:r>
            <w:r>
              <w:rPr>
                <w:b w:val="0"/>
                <w:color w:val="1E293B"/>
                <w:sz w:val="16"/>
              </w:rPr>
              <w:t>We see and fix issues in our own system, directly.</w:t>
            </w:r>
          </w:p>
        </w:tc>
        <w:tc>
          <w:tcPr>
            <w:tcW w:type="dxa" w:w="4365"/>
            <w:tcBorders>
              <w:top w:val="single" w:sz="4" w:color="DBE3EC"/>
              <w:bottom w:val="single" w:sz="4" w:color="DBE3EC"/>
              <w:left w:val="single" w:sz="4" w:color="DBE3EC"/>
              <w:right w:val="single" w:sz="4" w:color="DBE3EC"/>
            </w:tcBorders>
            <w:shd w:val="clear" w:fill="F7FAFC"/>
            <w:vAlign w:val="center"/>
          </w:tcPr>
          <w:p>
            <w:pPr>
              <w:spacing w:before="40" w:after="40"/>
              <w:jc w:val="left"/>
            </w:pPr>
            <w:r>
              <w:rPr>
                <w:b/>
                <w:color w:val="B3392F"/>
                <w:sz w:val="16"/>
              </w:rPr>
              <w:t xml:space="preserve">✗ </w:t>
            </w:r>
            <w:r>
              <w:rPr>
                <w:b w:val="0"/>
                <w:color w:val="1E293B"/>
                <w:sz w:val="16"/>
              </w:rPr>
              <w:t>Sync failures still land on our team — we carry the break-fix burden but debug across two systems.</w:t>
            </w:r>
          </w:p>
        </w:tc>
      </w:tr>
      <w:tr>
        <w:tc>
          <w:tcPr>
            <w:tcW w:type="dxa" w:w="1814"/>
            <w:tcBorders>
              <w:top w:val="single" w:sz="4" w:color="DBE3EC"/>
              <w:bottom w:val="single" w:sz="4" w:color="DBE3EC"/>
              <w:left w:val="single" w:sz="4" w:color="DBE3EC"/>
              <w:right w:val="single" w:sz="4" w:color="DBE3EC"/>
            </w:tcBorders>
            <w:shd w:val="clear" w:fill="EEF3F8"/>
            <w:vAlign w:val="center"/>
          </w:tcPr>
          <w:p>
            <w:pPr>
              <w:spacing w:before="40" w:after="40"/>
              <w:jc w:val="left"/>
            </w:pPr>
            <w:r>
              <w:rPr>
                <w:b/>
                <w:color w:val="0F2A4A"/>
                <w:sz w:val="16"/>
              </w:rPr>
              <w:t>Speed of change</w:t>
            </w:r>
          </w:p>
        </w:tc>
        <w:tc>
          <w:tcPr>
            <w:tcW w:type="dxa" w:w="4365"/>
            <w:tcBorders>
              <w:top w:val="single" w:sz="4" w:color="DBE3EC"/>
              <w:bottom w:val="single" w:sz="4" w:color="DBE3EC"/>
              <w:left w:val="single" w:sz="4" w:color="DBE3EC"/>
              <w:right w:val="single" w:sz="4" w:color="DBE3EC"/>
            </w:tcBorders>
            <w:shd w:val="clear" w:fill="F0FAF2"/>
            <w:vAlign w:val="center"/>
          </w:tcPr>
          <w:p>
            <w:pPr>
              <w:spacing w:before="40" w:after="40"/>
              <w:jc w:val="left"/>
            </w:pPr>
            <w:r>
              <w:rPr>
                <w:b/>
                <w:color w:val="2E7D44"/>
                <w:sz w:val="16"/>
              </w:rPr>
              <w:t xml:space="preserve">✓ </w:t>
            </w:r>
            <w:r>
              <w:rPr>
                <w:b w:val="0"/>
                <w:color w:val="1E293B"/>
                <w:sz w:val="16"/>
              </w:rPr>
              <w:t>New charge types, tax rules, wallet rules: we change and ship.</w:t>
            </w:r>
          </w:p>
        </w:tc>
        <w:tc>
          <w:tcPr>
            <w:tcW w:type="dxa" w:w="4365"/>
            <w:tcBorders>
              <w:top w:val="single" w:sz="4" w:color="DBE3EC"/>
              <w:bottom w:val="single" w:sz="4" w:color="DBE3EC"/>
              <w:left w:val="single" w:sz="4" w:color="DBE3EC"/>
              <w:right w:val="single" w:sz="4" w:color="DBE3EC"/>
            </w:tcBorders>
            <w:vAlign w:val="center"/>
          </w:tcPr>
          <w:p>
            <w:pPr>
              <w:spacing w:before="40" w:after="40"/>
              <w:jc w:val="left"/>
            </w:pPr>
            <w:r>
              <w:rPr>
                <w:b/>
                <w:color w:val="B3392F"/>
                <w:sz w:val="16"/>
              </w:rPr>
              <w:t xml:space="preserve">✗ </w:t>
            </w:r>
            <w:r>
              <w:rPr>
                <w:b w:val="0"/>
                <w:color w:val="1E293B"/>
                <w:sz w:val="16"/>
              </w:rPr>
              <w:t>Constrained to Zoho’s object model; changes wait on what Zoho allows.</w:t>
            </w:r>
          </w:p>
        </w:tc>
      </w:tr>
      <w:tr>
        <w:tc>
          <w:tcPr>
            <w:tcW w:type="dxa" w:w="1814"/>
            <w:tcBorders>
              <w:top w:val="single" w:sz="4" w:color="DBE3EC"/>
              <w:bottom w:val="single" w:sz="4" w:color="DBE3EC"/>
              <w:left w:val="single" w:sz="4" w:color="DBE3EC"/>
              <w:right w:val="single" w:sz="4" w:color="DBE3EC"/>
            </w:tcBorders>
            <w:shd w:val="clear" w:fill="EEF3F8"/>
            <w:vAlign w:val="center"/>
          </w:tcPr>
          <w:p>
            <w:pPr>
              <w:spacing w:before="40" w:after="40"/>
              <w:jc w:val="left"/>
            </w:pPr>
            <w:r>
              <w:rPr>
                <w:b/>
                <w:color w:val="0F2A4A"/>
                <w:sz w:val="16"/>
              </w:rPr>
              <w:t>Reliability of live balances</w:t>
            </w:r>
          </w:p>
        </w:tc>
        <w:tc>
          <w:tcPr>
            <w:tcW w:type="dxa" w:w="4365"/>
            <w:tcBorders>
              <w:top w:val="single" w:sz="4" w:color="DBE3EC"/>
              <w:bottom w:val="single" w:sz="4" w:color="DBE3EC"/>
              <w:left w:val="single" w:sz="4" w:color="DBE3EC"/>
              <w:right w:val="single" w:sz="4" w:color="DBE3EC"/>
            </w:tcBorders>
            <w:shd w:val="clear" w:fill="F0FAF2"/>
            <w:vAlign w:val="center"/>
          </w:tcPr>
          <w:p>
            <w:pPr>
              <w:spacing w:before="40" w:after="40"/>
              <w:jc w:val="left"/>
            </w:pPr>
            <w:r>
              <w:rPr>
                <w:b/>
                <w:color w:val="2E7D44"/>
                <w:sz w:val="16"/>
              </w:rPr>
              <w:t xml:space="preserve">✓ </w:t>
            </w:r>
            <w:r>
              <w:rPr>
                <w:b w:val="0"/>
                <w:color w:val="1E293B"/>
                <w:sz w:val="16"/>
              </w:rPr>
              <w:t>Balances computed in our own system, in real time.</w:t>
            </w:r>
          </w:p>
        </w:tc>
        <w:tc>
          <w:tcPr>
            <w:tcW w:type="dxa" w:w="4365"/>
            <w:tcBorders>
              <w:top w:val="single" w:sz="4" w:color="DBE3EC"/>
              <w:bottom w:val="single" w:sz="4" w:color="DBE3EC"/>
              <w:left w:val="single" w:sz="4" w:color="DBE3EC"/>
              <w:right w:val="single" w:sz="4" w:color="DBE3EC"/>
            </w:tcBorders>
            <w:shd w:val="clear" w:fill="F7FAFC"/>
            <w:vAlign w:val="center"/>
          </w:tcPr>
          <w:p>
            <w:pPr>
              <w:spacing w:before="40" w:after="40"/>
              <w:jc w:val="left"/>
            </w:pPr>
            <w:r>
              <w:rPr>
                <w:b/>
                <w:color w:val="B3392F"/>
                <w:sz w:val="16"/>
              </w:rPr>
              <w:t xml:space="preserve">✗ </w:t>
            </w:r>
            <w:r>
              <w:rPr>
                <w:b w:val="0"/>
                <w:color w:val="1E293B"/>
                <w:sz w:val="16"/>
              </w:rPr>
              <w:t>Live balances depend on Zoho’s sync reliability and API limits (~15–24k API calls/month at current volume).</w:t>
            </w:r>
          </w:p>
        </w:tc>
      </w:tr>
      <w:tr>
        <w:tc>
          <w:tcPr>
            <w:tcW w:type="dxa" w:w="1814"/>
            <w:tcBorders>
              <w:top w:val="single" w:sz="4" w:color="DBE3EC"/>
              <w:bottom w:val="single" w:sz="4" w:color="DBE3EC"/>
              <w:left w:val="single" w:sz="4" w:color="DBE3EC"/>
              <w:right w:val="single" w:sz="4" w:color="DBE3EC"/>
            </w:tcBorders>
            <w:shd w:val="clear" w:fill="EEF3F8"/>
            <w:vAlign w:val="center"/>
          </w:tcPr>
          <w:p>
            <w:pPr>
              <w:spacing w:before="40" w:after="40"/>
              <w:jc w:val="left"/>
            </w:pPr>
            <w:r>
              <w:rPr>
                <w:b/>
                <w:color w:val="0F2A4A"/>
                <w:sz w:val="16"/>
              </w:rPr>
              <w:t>Cost &amp; control</w:t>
            </w:r>
          </w:p>
        </w:tc>
        <w:tc>
          <w:tcPr>
            <w:tcW w:type="dxa" w:w="4365"/>
            <w:tcBorders>
              <w:top w:val="single" w:sz="4" w:color="DBE3EC"/>
              <w:bottom w:val="single" w:sz="4" w:color="DBE3EC"/>
              <w:left w:val="single" w:sz="4" w:color="DBE3EC"/>
              <w:right w:val="single" w:sz="4" w:color="DBE3EC"/>
            </w:tcBorders>
            <w:shd w:val="clear" w:fill="F0FAF2"/>
            <w:vAlign w:val="center"/>
          </w:tcPr>
          <w:p>
            <w:pPr>
              <w:spacing w:before="40" w:after="40"/>
              <w:jc w:val="left"/>
            </w:pPr>
            <w:r>
              <w:rPr>
                <w:b/>
                <w:color w:val="2E7D44"/>
                <w:sz w:val="16"/>
              </w:rPr>
              <w:t xml:space="preserve">✓ </w:t>
            </w:r>
            <w:r>
              <w:rPr>
                <w:b w:val="0"/>
                <w:color w:val="1E293B"/>
                <w:sz w:val="16"/>
              </w:rPr>
              <w:t>No per-seat licences; runs on existing infrastructure; full control of audit trail, data retention, INR/TDS handling.</w:t>
            </w:r>
          </w:p>
        </w:tc>
        <w:tc>
          <w:tcPr>
            <w:tcW w:type="dxa" w:w="4365"/>
            <w:tcBorders>
              <w:top w:val="single" w:sz="4" w:color="DBE3EC"/>
              <w:bottom w:val="single" w:sz="4" w:color="DBE3EC"/>
              <w:left w:val="single" w:sz="4" w:color="DBE3EC"/>
              <w:right w:val="single" w:sz="4" w:color="DBE3EC"/>
            </w:tcBorders>
            <w:vAlign w:val="center"/>
          </w:tcPr>
          <w:p>
            <w:pPr>
              <w:spacing w:before="40" w:after="40"/>
              <w:jc w:val="left"/>
            </w:pPr>
            <w:r>
              <w:rPr>
                <w:b/>
                <w:color w:val="B3392F"/>
                <w:sz w:val="16"/>
              </w:rPr>
              <w:t xml:space="preserve">✗ </w:t>
            </w:r>
            <w:r>
              <w:rPr>
                <w:b w:val="0"/>
                <w:color w:val="1E293B"/>
                <w:sz w:val="16"/>
              </w:rPr>
              <w:t>Per-seat licensing that grows with the team; audit trail and retention live outside our control.</w:t>
            </w:r>
          </w:p>
        </w:tc>
      </w:tr>
      <w:tr>
        <w:tc>
          <w:tcPr>
            <w:tcW w:type="dxa" w:w="1814"/>
            <w:tcBorders>
              <w:top w:val="single" w:sz="4" w:color="DBE3EC"/>
              <w:bottom w:val="single" w:sz="4" w:color="DBE3EC"/>
              <w:left w:val="single" w:sz="4" w:color="DBE3EC"/>
              <w:right w:val="single" w:sz="4" w:color="DBE3EC"/>
            </w:tcBorders>
            <w:shd w:val="clear" w:fill="EEF3F8"/>
            <w:vAlign w:val="center"/>
          </w:tcPr>
          <w:p>
            <w:pPr>
              <w:spacing w:before="40" w:after="40"/>
              <w:jc w:val="left"/>
            </w:pPr>
            <w:r>
              <w:rPr>
                <w:b/>
                <w:color w:val="0F2A4A"/>
                <w:sz w:val="16"/>
              </w:rPr>
              <w:t>Where Zoho does help</w:t>
            </w:r>
          </w:p>
        </w:tc>
        <w:tc>
          <w:tcPr>
            <w:tcW w:type="dxa" w:w="4365"/>
            <w:tcBorders>
              <w:top w:val="single" w:sz="4" w:color="DBE3EC"/>
              <w:bottom w:val="single" w:sz="4" w:color="DBE3EC"/>
              <w:left w:val="single" w:sz="4" w:color="DBE3EC"/>
              <w:right w:val="single" w:sz="4" w:color="DBE3EC"/>
            </w:tcBorders>
            <w:shd w:val="clear" w:fill="F0FAF2"/>
            <w:vAlign w:val="center"/>
          </w:tcPr>
          <w:p>
            <w:pPr>
              <w:spacing w:before="40" w:after="40"/>
              <w:jc w:val="left"/>
            </w:pPr>
            <w:r>
              <w:rPr>
                <w:b w:val="0"/>
                <w:color w:val="1E293B"/>
                <w:sz w:val="16"/>
              </w:rPr>
              <w:t>Statutory books, if needed: receive summarised entries from our ledger downstream.</w:t>
            </w:r>
          </w:p>
        </w:tc>
        <w:tc>
          <w:tcPr>
            <w:tcW w:type="dxa" w:w="4365"/>
            <w:tcBorders>
              <w:top w:val="single" w:sz="4" w:color="DBE3EC"/>
              <w:bottom w:val="single" w:sz="4" w:color="DBE3EC"/>
              <w:left w:val="single" w:sz="4" w:color="DBE3EC"/>
              <w:right w:val="single" w:sz="4" w:color="DBE3EC"/>
            </w:tcBorders>
            <w:shd w:val="clear" w:fill="F7FAFC"/>
            <w:vAlign w:val="center"/>
          </w:tcPr>
          <w:p>
            <w:pPr>
              <w:spacing w:before="40" w:after="40"/>
              <w:jc w:val="left"/>
            </w:pPr>
            <w:r>
              <w:rPr>
                <w:b/>
                <w:color w:val="2E7D44"/>
                <w:sz w:val="16"/>
              </w:rPr>
              <w:t xml:space="preserve">✓ </w:t>
            </w:r>
            <w:r>
              <w:rPr>
                <w:b w:val="0"/>
                <w:color w:val="1E293B"/>
                <w:sz w:val="16"/>
              </w:rPr>
              <w:t>Strong at standard statutory accounting — the one place it genuinely fits.</w:t>
            </w:r>
          </w:p>
        </w:tc>
      </w:tr>
    </w:tbl>
    <w:p>
      <w:pPr>
        <w:spacing w:before="60" w:after="120"/>
        <w:jc w:val="center"/>
      </w:pPr>
      <w:r>
        <w:rPr>
          <w:i/>
          <w:color w:val="64748B"/>
          <w:sz w:val="16"/>
        </w:rPr>
        <w:t>The key point: buying does not remove the work. Onboarding, mapping, data formatting and reconciliation stay with us in both options — Zoho only adds a runtime dependency.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546"/>
      </w:tblGrid>
      <w:tr>
        <w:tc>
          <w:tcPr>
            <w:tcW w:type="dxa" w:w="10545"/>
            <w:shd w:val="clear" w:fill="F0FAF2"/>
            <w:tcBorders>
              <w:top w:val="single" w:sz="10" w:color="2E7D44"/>
              <w:bottom w:val="single" w:sz="10" w:color="2E7D44"/>
              <w:left w:val="single" w:sz="10" w:color="2E7D44"/>
              <w:right w:val="single" w:sz="10" w:color="2E7D44"/>
            </w:tcBorders>
            <w:vAlign w:val="center"/>
          </w:tcPr>
          <w:p>
            <w:pPr>
              <w:spacing w:before="80" w:after="40"/>
              <w:jc w:val="left"/>
            </w:pPr>
            <w:r>
              <w:rPr>
                <w:b/>
                <w:color w:val="1F5C31"/>
                <w:sz w:val="20"/>
              </w:rPr>
              <w:t>Recommendation &amp; ask</w:t>
            </w:r>
          </w:p>
          <w:p>
            <w:pPr>
              <w:spacing w:after="60"/>
            </w:pPr>
            <w:r>
              <w:rPr>
                <w:b/>
                <w:sz w:val="17"/>
              </w:rPr>
              <w:t xml:space="preserve">Build the ledger natively in the marketplace as the system of record. </w:t>
            </w:r>
            <w:r>
              <w:rPr>
                <w:sz w:val="17"/>
              </w:rPr>
              <w:t>Every financial change is stored as a new entry (never overwritten), giving us defensible point-in-time balances, flexible settlement with basic internal wallets (ledger balances only — not a full wallet product), a clean receivable/payable and margin view per party, and automated Bill of Supply, credit notes and TDS. If statutory books are required, we sync summarised entries to Zoho downstream rather than running it as the live system.</w:t>
            </w:r>
          </w:p>
          <w:p>
            <w:pPr>
              <w:spacing w:after="80"/>
            </w:pPr>
            <w:r>
              <w:rPr>
                <w:b/>
                <w:sz w:val="17"/>
              </w:rPr>
              <w:t xml:space="preserve">Ask: </w:t>
            </w:r>
            <w:r>
              <w:rPr>
                <w:sz w:val="17"/>
              </w:rPr>
              <w:t>go-ahead to start Phase 1 (ledger foundation, run in parallel with current process — zero business disruption), followed by compliance automation, reconciliation &amp; reporting, and finally surfacing the ledger to fleet owners and LSPs.</w:t>
            </w:r>
          </w:p>
        </w:tc>
      </w:tr>
    </w:tbl>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