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658"/>
      </w:tblGrid>
      <w:tr>
        <w:tc>
          <w:tcPr>
            <w:tcW w:type="dxa" w:w="10658"/>
            <w:shd w:val="clear" w:fill="0F2A4A"/>
            <w:vAlign w:val="top"/>
          </w:tcPr>
          <w:p>
            <w:pPr>
              <w:spacing w:before="100" w:after="0"/>
              <w:jc w:val="left"/>
            </w:pPr>
            <w:r>
              <w:rPr>
                <w:b/>
                <w:i w:val="0"/>
                <w:color w:val="FFFFFF"/>
                <w:sz w:val="30"/>
              </w:rPr>
              <w:t>Fulfilment Initiatives — What We Can Start Now</w:t>
            </w:r>
          </w:p>
          <w:p>
            <w:pPr>
              <w:spacing w:after="100"/>
            </w:pPr>
            <w:r>
              <w:rPr>
                <w:color w:val="BCD3EC"/>
                <w:sz w:val="16"/>
              </w:rPr>
              <w:t>Note for the business team   •   Sequencing the three founder-led initiatives around current bandwidth   •   June 2026</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658"/>
      </w:tblGrid>
      <w:tr>
        <w:tc>
          <w:tcPr>
            <w:tcW w:type="dxa" w:w="10658"/>
            <w:shd w:val="clear" w:fill="EEF3F8"/>
            <w:tcBorders>
              <w:left w:val="single" w:sz="28" w:color="0F2A4A"/>
              <w:top w:val="single" w:sz="4" w:color="0F2A4A"/>
              <w:bottom w:val="single" w:sz="4" w:color="0F2A4A"/>
              <w:right w:val="single" w:sz="4" w:color="0F2A4A"/>
            </w:tcBorders>
            <w:shd w:val="clear" w:fill="EEF3F8"/>
          </w:tcPr>
          <w:p>
            <w:pPr>
              <w:spacing w:before="40" w:after="60"/>
              <w:jc w:val="left"/>
            </w:pPr>
            <w:r>
              <w:rPr>
                <w:b/>
                <w:i w:val="0"/>
                <w:color w:val="0F2A4A"/>
                <w:sz w:val="16"/>
              </w:rPr>
              <w:t xml:space="preserve">Bottom line. </w:t>
            </w:r>
            <w:r>
              <w:rPr>
                <w:b w:val="0"/>
                <w:i w:val="0"/>
                <w:color w:val="1E293B"/>
                <w:sz w:val="16"/>
              </w:rPr>
              <w:t xml:space="preserve">For the next ~1 month, product &amp; tech bandwidth is committed to </w:t>
            </w:r>
            <w:r>
              <w:rPr>
                <w:b/>
                <w:i w:val="0"/>
                <w:color w:val="0F2A4A"/>
                <w:sz w:val="16"/>
              </w:rPr>
              <w:t>Ledger and CT automation</w:t>
            </w:r>
            <w:r>
              <w:rPr>
                <w:b w:val="0"/>
                <w:i w:val="0"/>
                <w:color w:val="1E293B"/>
                <w:sz w:val="16"/>
              </w:rPr>
              <w:t xml:space="preserve">, so the three fulfilment initiatives can’t take full engineering effort yet. We can still </w:t>
            </w:r>
            <w:r>
              <w:rPr>
                <w:b/>
                <w:i w:val="0"/>
                <w:color w:val="0F2A4A"/>
                <w:sz w:val="16"/>
              </w:rPr>
              <w:t>start the Onboarding Agent now</w:t>
            </w:r>
            <w:r>
              <w:rPr>
                <w:b w:val="0"/>
                <w:i w:val="0"/>
                <w:color w:val="1E293B"/>
                <w:sz w:val="16"/>
              </w:rPr>
              <w:t xml:space="preserve"> — its content/video track needs HR and Product, not engineering. But none of the three initiatives will pay off until </w:t>
            </w:r>
            <w:r>
              <w:rPr>
                <w:b/>
                <w:i w:val="0"/>
                <w:color w:val="0F2A4A"/>
                <w:sz w:val="16"/>
              </w:rPr>
              <w:t>placement actually runs inside the CRM</w:t>
            </w:r>
            <w:r>
              <w:rPr>
                <w:b w:val="0"/>
                <w:i w:val="0"/>
                <w:color w:val="1E293B"/>
                <w:sz w:val="16"/>
              </w:rPr>
              <w:t>, which today it largely does not. That alignment is the one thing we need from business first.</w:t>
            </w:r>
          </w:p>
        </w:tc>
      </w:tr>
    </w:tbl>
    <w:p>
      <w:pPr>
        <w:spacing w:before="140" w:after="60"/>
        <w:pBdr>
          <w:bottom w:val="single" w:sz="8" w:color="E2E8F0"/>
        </w:pBdr>
      </w:pPr>
      <w:r>
        <w:rPr>
          <w:b/>
          <w:color w:val="FFFFFF"/>
          <w:sz w:val="18"/>
          <w:shd w:val="clear" w:fill="0F2A4A"/>
        </w:rPr>
        <w:t xml:space="preserve"> 1 </w:t>
      </w:r>
      <w:r>
        <w:rPr>
          <w:b/>
          <w:color w:val="0F2A4A"/>
          <w:sz w:val="21"/>
        </w:rPr>
        <w:t xml:space="preserve">  The three founder-led initiatives — and their shared backbone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553"/>
        <w:gridCol w:w="3553"/>
        <w:gridCol w:w="3553"/>
      </w:tblGrid>
      <w:tr>
        <w:tc>
          <w:tcPr>
            <w:tcW w:type="dxa" w:w="3515"/>
            <w:shd w:val="clear" w:fill="F7FAFC"/>
            <w:tcBorders>
              <w:top w:val="single" w:sz="24" w:color="3F72A8"/>
              <w:bottom w:val="single" w:sz="4" w:color="CDD9E6"/>
              <w:left w:val="single" w:sz="4" w:color="CDD9E6"/>
              <w:right w:val="single" w:sz="4" w:color="CDD9E6"/>
            </w:tcBorders>
            <w:vAlign w:val="top"/>
          </w:tcPr>
          <w:p>
            <w:pPr>
              <w:spacing w:before="60" w:after="60"/>
              <w:jc w:val="left"/>
            </w:pPr>
            <w:r>
              <w:rPr>
                <w:b/>
                <w:i w:val="0"/>
                <w:color w:val="0F2A4A"/>
                <w:sz w:val="16"/>
              </w:rPr>
              <w:t>Onboarding Agent</w:t>
            </w:r>
          </w:p>
          <w:p>
            <w:pPr>
              <w:spacing w:before="0" w:after="0"/>
              <w:jc w:val="left"/>
            </w:pPr>
            <w:r>
              <w:rPr>
                <w:b/>
                <w:i w:val="0"/>
                <w:color w:val="0F2A4A"/>
                <w:sz w:val="16"/>
              </w:rPr>
            </w:r>
            <w:r>
              <w:rPr>
                <w:b w:val="0"/>
                <w:i w:val="0"/>
                <w:color w:val="334155"/>
                <w:sz w:val="16"/>
              </w:rPr>
              <w:t>Cut time-to-productive for new Fulfilment Agents (14 days → Day 2) using bite-size videos and a live call co-pilot.</w:t>
            </w:r>
          </w:p>
        </w:tc>
        <w:tc>
          <w:tcPr>
            <w:tcW w:type="dxa" w:w="3515"/>
            <w:shd w:val="clear" w:fill="F7FAFC"/>
            <w:tcBorders>
              <w:top w:val="single" w:sz="24" w:color="3F72A8"/>
              <w:bottom w:val="single" w:sz="4" w:color="CDD9E6"/>
              <w:left w:val="single" w:sz="4" w:color="CDD9E6"/>
              <w:right w:val="single" w:sz="4" w:color="CDD9E6"/>
            </w:tcBorders>
            <w:vAlign w:val="top"/>
          </w:tcPr>
          <w:p>
            <w:pPr>
              <w:spacing w:before="60" w:after="60"/>
              <w:jc w:val="left"/>
            </w:pPr>
            <w:r>
              <w:rPr>
                <w:b/>
                <w:i w:val="0"/>
                <w:color w:val="0F2A4A"/>
                <w:sz w:val="16"/>
              </w:rPr>
              <w:t>AI Fulfilment Agent</w:t>
            </w:r>
          </w:p>
          <w:p>
            <w:pPr>
              <w:spacing w:before="0" w:after="0"/>
              <w:jc w:val="left"/>
            </w:pPr>
            <w:r>
              <w:rPr>
                <w:b/>
                <w:i w:val="0"/>
                <w:color w:val="0F2A4A"/>
                <w:sz w:val="16"/>
              </w:rPr>
            </w:r>
            <w:r>
              <w:rPr>
                <w:b w:val="0"/>
                <w:i w:val="0"/>
                <w:color w:val="334155"/>
                <w:sz w:val="16"/>
              </w:rPr>
              <w:t>An AI caller that places loads end-to-end on selected lanes — covering month-end peaks, night shifts and FA absences.</w:t>
            </w:r>
          </w:p>
        </w:tc>
        <w:tc>
          <w:tcPr>
            <w:tcW w:type="dxa" w:w="3515"/>
            <w:shd w:val="clear" w:fill="F7FAFC"/>
            <w:tcBorders>
              <w:top w:val="single" w:sz="24" w:color="3F72A8"/>
              <w:bottom w:val="single" w:sz="4" w:color="CDD9E6"/>
              <w:left w:val="single" w:sz="4" w:color="CDD9E6"/>
              <w:right w:val="single" w:sz="4" w:color="CDD9E6"/>
            </w:tcBorders>
            <w:vAlign w:val="top"/>
          </w:tcPr>
          <w:p>
            <w:pPr>
              <w:spacing w:before="60" w:after="60"/>
              <w:jc w:val="left"/>
            </w:pPr>
            <w:r>
              <w:rPr>
                <w:b/>
                <w:i w:val="0"/>
                <w:color w:val="0F2A4A"/>
                <w:sz w:val="16"/>
              </w:rPr>
              <w:t>FO Movement Signal</w:t>
            </w:r>
          </w:p>
          <w:p>
            <w:pPr>
              <w:spacing w:before="0" w:after="0"/>
              <w:jc w:val="left"/>
            </w:pPr>
            <w:r>
              <w:rPr>
                <w:b/>
                <w:i w:val="0"/>
                <w:color w:val="0F2A4A"/>
                <w:sz w:val="16"/>
              </w:rPr>
            </w:r>
            <w:r>
              <w:rPr>
                <w:b w:val="0"/>
                <w:i w:val="0"/>
                <w:color w:val="334155"/>
                <w:sz w:val="16"/>
              </w:rPr>
              <w:t>Use FASTag + GPS to see where each FO’s trucks actually run, and match demand to those real lanes.</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658"/>
      </w:tblGrid>
      <w:tr>
        <w:tc>
          <w:tcPr>
            <w:tcW w:type="dxa" w:w="10658"/>
            <w:shd w:val="clear" w:fill="F0FAF2"/>
            <w:tcBorders>
              <w:left w:val="single" w:sz="28" w:color="2E7D44"/>
              <w:top w:val="single" w:sz="4" w:color="2E7D44"/>
              <w:bottom w:val="single" w:sz="4" w:color="2E7D44"/>
              <w:right w:val="single" w:sz="4" w:color="2E7D44"/>
            </w:tcBorders>
            <w:shd w:val="clear" w:fill="F0FAF2"/>
          </w:tcPr>
          <w:p>
            <w:pPr>
              <w:spacing w:before="40" w:after="60"/>
              <w:jc w:val="left"/>
            </w:pPr>
            <w:r>
              <w:rPr>
                <w:b/>
                <w:i w:val="0"/>
                <w:color w:val="1F5C31"/>
                <w:sz w:val="16"/>
              </w:rPr>
              <w:t xml:space="preserve">Shared backbone: </w:t>
            </w:r>
            <w:r>
              <w:rPr>
                <w:b w:val="0"/>
                <w:i w:val="0"/>
                <w:color w:val="1E293B"/>
                <w:sz w:val="16"/>
              </w:rPr>
              <w:t xml:space="preserve">all three depend on </w:t>
            </w:r>
            <w:r>
              <w:rPr>
                <w:b/>
                <w:i w:val="0"/>
                <w:color w:val="1F5C31"/>
                <w:sz w:val="16"/>
              </w:rPr>
              <w:t>system-driven calling</w:t>
            </w:r>
            <w:r>
              <w:rPr>
                <w:b w:val="0"/>
                <w:i w:val="0"/>
                <w:color w:val="1E293B"/>
                <w:sz w:val="16"/>
              </w:rPr>
              <w:t xml:space="preserve"> (calls placed from CRM, auto-recorded and tagged) and a </w:t>
            </w:r>
            <w:r>
              <w:rPr>
                <w:b/>
                <w:i w:val="0"/>
                <w:color w:val="1F5C31"/>
                <w:sz w:val="16"/>
              </w:rPr>
              <w:t>library of top-agent call recordings</w:t>
            </w:r>
            <w:r>
              <w:rPr>
                <w:b w:val="0"/>
                <w:i w:val="0"/>
                <w:color w:val="1E293B"/>
                <w:sz w:val="16"/>
              </w:rPr>
              <w:t>. We are already running calling for inventory and consent flows — that live experience directly feeds the fulfilment agent.</w:t>
            </w:r>
          </w:p>
        </w:tc>
      </w:tr>
    </w:tbl>
    <w:p>
      <w:pPr>
        <w:spacing w:before="140" w:after="60"/>
        <w:pBdr>
          <w:bottom w:val="single" w:sz="8" w:color="E2E8F0"/>
        </w:pBdr>
      </w:pPr>
      <w:r>
        <w:rPr>
          <w:b/>
          <w:color w:val="FFFFFF"/>
          <w:sz w:val="18"/>
          <w:shd w:val="clear" w:fill="0F2A4A"/>
        </w:rPr>
        <w:t xml:space="preserve"> 2 </w:t>
      </w:r>
      <w:r>
        <w:rPr>
          <w:b/>
          <w:color w:val="0F2A4A"/>
          <w:sz w:val="21"/>
        </w:rPr>
        <w:t xml:space="preserve">  Start now — Onboarding Agent content track (no/low tech)</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553"/>
        <w:gridCol w:w="3553"/>
        <w:gridCol w:w="3553"/>
      </w:tblGrid>
      <w:tr>
        <w:tc>
          <w:tcPr>
            <w:tcW w:type="dxa" w:w="3515"/>
            <w:shd w:val="clear" w:fill="F4FAF5"/>
            <w:tcBorders>
              <w:top w:val="single" w:sz="6" w:color="BFDEC5"/>
              <w:bottom w:val="single" w:sz="6" w:color="BFDEC5"/>
              <w:left w:val="single" w:sz="6" w:color="BFDEC5"/>
              <w:right w:val="single" w:sz="6" w:color="BFDEC5"/>
            </w:tcBorders>
          </w:tcPr>
          <w:p>
            <w:pPr>
              <w:spacing w:before="60" w:after="40"/>
            </w:pPr>
            <w:r>
              <w:rPr>
                <w:b/>
                <w:color w:val="FFFFFF"/>
                <w:sz w:val="16"/>
                <w:shd w:val="clear" w:fill="2E7D44"/>
              </w:rPr>
              <w:t xml:space="preserve"> 1 </w:t>
            </w:r>
            <w:r>
              <w:rPr>
                <w:b/>
                <w:color w:val="1F5C31"/>
                <w:sz w:val="16"/>
              </w:rPr>
              <w:t xml:space="preserve">  HR docs → bite-size videos</w:t>
            </w:r>
          </w:p>
          <w:p>
            <w:pPr>
              <w:spacing w:after="60"/>
            </w:pPr>
            <w:r>
              <w:rPr>
                <w:color w:val="334155"/>
                <w:sz w:val="16"/>
              </w:rPr>
              <w:t>Convert the onboarding material HR already has into short, mobile-first videos and micro-docs.</w:t>
            </w:r>
          </w:p>
        </w:tc>
        <w:tc>
          <w:tcPr>
            <w:tcW w:type="dxa" w:w="3515"/>
            <w:shd w:val="clear" w:fill="F4FAF5"/>
            <w:tcBorders>
              <w:top w:val="single" w:sz="6" w:color="BFDEC5"/>
              <w:bottom w:val="single" w:sz="6" w:color="BFDEC5"/>
              <w:left w:val="single" w:sz="6" w:color="BFDEC5"/>
              <w:right w:val="single" w:sz="6" w:color="BFDEC5"/>
            </w:tcBorders>
          </w:tcPr>
          <w:p>
            <w:pPr>
              <w:spacing w:before="60" w:after="40"/>
            </w:pPr>
            <w:r>
              <w:rPr>
                <w:b/>
                <w:color w:val="FFFFFF"/>
                <w:sz w:val="16"/>
                <w:shd w:val="clear" w:fill="2E7D44"/>
              </w:rPr>
              <w:t xml:space="preserve"> 2 </w:t>
            </w:r>
            <w:r>
              <w:rPr>
                <w:b/>
                <w:color w:val="1F5C31"/>
                <w:sz w:val="16"/>
              </w:rPr>
              <w:t xml:space="preserve">  Top-agent calls → clips</w:t>
            </w:r>
          </w:p>
          <w:p>
            <w:pPr>
              <w:spacing w:after="60"/>
            </w:pPr>
            <w:r>
              <w:rPr>
                <w:color w:val="334155"/>
                <w:sz w:val="16"/>
              </w:rPr>
              <w:t>Curate recordings from our best Fulfilment Agents into short clips by scenario — e.g. how to negotiate rate with fleet owners.</w:t>
            </w:r>
          </w:p>
        </w:tc>
        <w:tc>
          <w:tcPr>
            <w:tcW w:type="dxa" w:w="3515"/>
            <w:shd w:val="clear" w:fill="F4FAF5"/>
            <w:tcBorders>
              <w:top w:val="single" w:sz="6" w:color="BFDEC5"/>
              <w:bottom w:val="single" w:sz="6" w:color="BFDEC5"/>
              <w:left w:val="single" w:sz="6" w:color="BFDEC5"/>
              <w:right w:val="single" w:sz="6" w:color="BFDEC5"/>
            </w:tcBorders>
          </w:tcPr>
          <w:p>
            <w:pPr>
              <w:spacing w:before="60" w:after="40"/>
            </w:pPr>
            <w:r>
              <w:rPr>
                <w:b/>
                <w:color w:val="FFFFFF"/>
                <w:sz w:val="16"/>
                <w:shd w:val="clear" w:fill="2E7D44"/>
              </w:rPr>
              <w:t xml:space="preserve"> 3 </w:t>
            </w:r>
            <w:r>
              <w:rPr>
                <w:b/>
                <w:color w:val="1F5C31"/>
                <w:sz w:val="16"/>
              </w:rPr>
              <w:t xml:space="preserve">  Product how-to videos</w:t>
            </w:r>
          </w:p>
          <w:p>
            <w:pPr>
              <w:spacing w:after="60"/>
            </w:pPr>
            <w:r>
              <w:rPr>
                <w:color w:val="334155"/>
                <w:sz w:val="16"/>
              </w:rPr>
              <w:t>Short walkthroughs of the CRM placement flow, packaged alongside the negotiation clips.</w:t>
            </w:r>
          </w:p>
        </w:tc>
      </w:tr>
    </w:tbl>
    <w:p>
      <w:pPr>
        <w:spacing w:before="60" w:after="40"/>
        <w:jc w:val="center"/>
      </w:pPr>
      <w:r>
        <w:rPr>
          <w:b/>
          <w:color w:val="475569"/>
          <w:sz w:val="16"/>
        </w:rPr>
        <w:t xml:space="preserve">Owners: </w:t>
      </w:r>
      <w:r>
        <w:rPr>
          <w:color w:val="475569"/>
          <w:sz w:val="16"/>
        </w:rPr>
        <w:t xml:space="preserve">HR + Ravi + Product, working in parallel — </w:t>
      </w:r>
      <w:r>
        <w:rPr>
          <w:b/>
          <w:color w:val="475569"/>
          <w:sz w:val="16"/>
        </w:rPr>
        <w:t>no engineering dependency.</w:t>
      </w:r>
    </w:p>
    <w:p>
      <w:pPr>
        <w:spacing w:before="140" w:after="60"/>
        <w:pBdr>
          <w:bottom w:val="single" w:sz="8" w:color="E2E8F0"/>
        </w:pBdr>
      </w:pPr>
      <w:r>
        <w:rPr>
          <w:b/>
          <w:color w:val="FFFFFF"/>
          <w:sz w:val="18"/>
          <w:shd w:val="clear" w:fill="0F2A4A"/>
        </w:rPr>
        <w:t xml:space="preserve"> 3 </w:t>
      </w:r>
      <w:r>
        <w:rPr>
          <w:b/>
          <w:color w:val="0F2A4A"/>
          <w:sz w:val="21"/>
        </w:rPr>
        <w:t xml:space="preserve">  Then, as product bandwidth opens up — the phased path</w:t>
      </w:r>
    </w:p>
    <w:tbl>
      <w:tblPr>
        <w:tblW w:type="auto" w:w="0"/>
        <w:jc w:val="center"/>
        <w:tblLook w:firstColumn="1" w:firstRow="1" w:lastColumn="0" w:lastRow="0" w:noHBand="0" w:noVBand="1" w:val="04A0"/>
      </w:tblPr>
      <w:tblGrid>
        <w:gridCol w:w="5329"/>
        <w:gridCol w:w="5329"/>
      </w:tblGrid>
      <w:tr>
        <w:tc>
          <w:tcPr>
            <w:tcW w:type="dxa" w:w="1701"/>
            <w:tcBorders>
              <w:top w:val="single" w:sz="4" w:color="DBE3EC"/>
              <w:bottom w:val="single" w:sz="4" w:color="DBE3EC"/>
              <w:left w:val="single" w:sz="4" w:color="DBE3EC"/>
              <w:right w:val="single" w:sz="4" w:color="DBE3EC"/>
            </w:tcBorders>
            <w:shd w:val="clear" w:fill="2E7D44"/>
            <w:vAlign w:val="top"/>
          </w:tcPr>
          <w:p>
            <w:pPr>
              <w:spacing w:before="60" w:after="60"/>
              <w:jc w:val="center"/>
            </w:pPr>
            <w:r>
              <w:rPr>
                <w:b/>
                <w:i w:val="0"/>
                <w:color w:val="FFFFFF"/>
                <w:sz w:val="16"/>
              </w:rPr>
              <w:t>Phase 1</w:t>
            </w:r>
          </w:p>
          <w:p>
            <w:pPr>
              <w:spacing w:before="0" w:after="0"/>
              <w:jc w:val="center"/>
            </w:pPr>
            <w:r>
              <w:rPr>
                <w:b/>
                <w:i w:val="0"/>
                <w:color w:val="FFFFFF"/>
                <w:sz w:val="16"/>
              </w:rPr>
              <w:t>Now</w:t>
            </w:r>
          </w:p>
        </w:tc>
        <w:tc>
          <w:tcPr>
            <w:tcW w:type="dxa" w:w="8957"/>
            <w:tcBorders>
              <w:top w:val="single" w:sz="4" w:color="DBE3EC"/>
              <w:bottom w:val="single" w:sz="4" w:color="DBE3EC"/>
              <w:left w:val="single" w:sz="4" w:color="DBE3EC"/>
              <w:right w:val="single" w:sz="4" w:color="DBE3EC"/>
            </w:tcBorders>
            <w:vAlign w:val="top"/>
          </w:tcPr>
          <w:p>
            <w:pPr>
              <w:spacing w:before="60" w:after="60"/>
              <w:jc w:val="left"/>
            </w:pPr>
            <w:r>
              <w:rPr>
                <w:b/>
                <w:i w:val="0"/>
                <w:color w:val="1E293B"/>
                <w:sz w:val="16"/>
              </w:rPr>
              <w:t>Onboarding content &amp; videos</w:t>
            </w:r>
            <w:r>
              <w:rPr>
                <w:b w:val="0"/>
                <w:i w:val="0"/>
                <w:color w:val="1E293B"/>
                <w:sz w:val="16"/>
              </w:rPr>
              <w:t xml:space="preserve"> (the three parts above). Doable immediately, in parallel, without engineering.</w:t>
            </w:r>
          </w:p>
        </w:tc>
      </w:tr>
      <w:tr>
        <w:tc>
          <w:tcPr>
            <w:tcW w:type="dxa" w:w="1701"/>
            <w:tcBorders>
              <w:top w:val="single" w:sz="4" w:color="DBE3EC"/>
              <w:bottom w:val="single" w:sz="4" w:color="DBE3EC"/>
              <w:left w:val="single" w:sz="4" w:color="DBE3EC"/>
              <w:right w:val="single" w:sz="4" w:color="DBE3EC"/>
            </w:tcBorders>
            <w:shd w:val="clear" w:fill="3F72A8"/>
            <w:vAlign w:val="top"/>
          </w:tcPr>
          <w:p>
            <w:pPr>
              <w:spacing w:before="60" w:after="60"/>
              <w:jc w:val="center"/>
            </w:pPr>
            <w:r>
              <w:rPr>
                <w:b/>
                <w:i w:val="0"/>
                <w:color w:val="FFFFFF"/>
                <w:sz w:val="16"/>
              </w:rPr>
              <w:t>Phase 2</w:t>
            </w:r>
          </w:p>
          <w:p>
            <w:pPr>
              <w:spacing w:before="0" w:after="0"/>
              <w:jc w:val="center"/>
            </w:pPr>
            <w:r>
              <w:rPr>
                <w:b/>
                <w:i w:val="0"/>
                <w:color w:val="FFFFFF"/>
                <w:sz w:val="16"/>
              </w:rPr>
              <w:t>With product</w:t>
            </w:r>
          </w:p>
        </w:tc>
        <w:tc>
          <w:tcPr>
            <w:tcW w:type="dxa" w:w="8957"/>
            <w:tcBorders>
              <w:top w:val="single" w:sz="4" w:color="DBE3EC"/>
              <w:bottom w:val="single" w:sz="4" w:color="DBE3EC"/>
              <w:left w:val="single" w:sz="4" w:color="DBE3EC"/>
              <w:right w:val="single" w:sz="4" w:color="DBE3EC"/>
            </w:tcBorders>
            <w:shd w:val="clear" w:fill="F7FAFC"/>
            <w:vAlign w:val="top"/>
          </w:tcPr>
          <w:p>
            <w:pPr>
              <w:spacing w:before="60" w:after="60"/>
              <w:jc w:val="left"/>
            </w:pPr>
            <w:r>
              <w:rPr>
                <w:b/>
                <w:i w:val="0"/>
                <w:color w:val="1E293B"/>
                <w:sz w:val="16"/>
              </w:rPr>
              <w:t>Embed the flows into the CRM</w:t>
            </w:r>
            <w:r>
              <w:rPr>
                <w:b w:val="0"/>
                <w:i w:val="0"/>
                <w:color w:val="1E293B"/>
                <w:sz w:val="16"/>
              </w:rPr>
              <w:t xml:space="preserve"> so new joiners watch the curated recordings in-product — and build the </w:t>
            </w:r>
            <w:r>
              <w:rPr>
                <w:b/>
                <w:i w:val="0"/>
                <w:color w:val="1E293B"/>
                <w:sz w:val="16"/>
              </w:rPr>
              <w:t>Evolve agent</w:t>
            </w:r>
            <w:r>
              <w:rPr>
                <w:b w:val="0"/>
                <w:i w:val="0"/>
                <w:color w:val="1E293B"/>
                <w:sz w:val="16"/>
              </w:rPr>
              <w:t xml:space="preserve"> that listens to live call recordings, scores them, and gives agents specific feedback on what to improve.</w:t>
            </w:r>
          </w:p>
        </w:tc>
      </w:tr>
      <w:tr>
        <w:tc>
          <w:tcPr>
            <w:tcW w:type="dxa" w:w="1701"/>
            <w:tcBorders>
              <w:top w:val="single" w:sz="4" w:color="DBE3EC"/>
              <w:bottom w:val="single" w:sz="4" w:color="DBE3EC"/>
              <w:left w:val="single" w:sz="4" w:color="DBE3EC"/>
              <w:right w:val="single" w:sz="4" w:color="DBE3EC"/>
            </w:tcBorders>
            <w:shd w:val="clear" w:fill="6B7F96"/>
            <w:vAlign w:val="top"/>
          </w:tcPr>
          <w:p>
            <w:pPr>
              <w:spacing w:before="60" w:after="60"/>
              <w:jc w:val="center"/>
            </w:pPr>
            <w:r>
              <w:rPr>
                <w:b/>
                <w:i w:val="0"/>
                <w:color w:val="FFFFFF"/>
                <w:sz w:val="16"/>
              </w:rPr>
              <w:t>Phase 3</w:t>
            </w:r>
          </w:p>
          <w:p>
            <w:pPr>
              <w:spacing w:before="0" w:after="0"/>
              <w:jc w:val="center"/>
            </w:pPr>
            <w:r>
              <w:rPr>
                <w:b/>
                <w:i w:val="0"/>
                <w:color w:val="FFFFFF"/>
                <w:sz w:val="16"/>
              </w:rPr>
              <w:t>After Ledger</w:t>
            </w:r>
          </w:p>
        </w:tc>
        <w:tc>
          <w:tcPr>
            <w:tcW w:type="dxa" w:w="8957"/>
            <w:tcBorders>
              <w:top w:val="single" w:sz="4" w:color="DBE3EC"/>
              <w:bottom w:val="single" w:sz="4" w:color="DBE3EC"/>
              <w:left w:val="single" w:sz="4" w:color="DBE3EC"/>
              <w:right w:val="single" w:sz="4" w:color="DBE3EC"/>
            </w:tcBorders>
            <w:vAlign w:val="top"/>
          </w:tcPr>
          <w:p>
            <w:pPr>
              <w:spacing w:before="60" w:after="60"/>
              <w:jc w:val="left"/>
            </w:pPr>
            <w:r>
              <w:rPr>
                <w:b/>
                <w:i w:val="0"/>
                <w:color w:val="1E293B"/>
                <w:sz w:val="16"/>
              </w:rPr>
              <w:t>AI Fulfilment Agent</w:t>
            </w:r>
            <w:r>
              <w:rPr>
                <w:b w:val="0"/>
                <w:i w:val="0"/>
                <w:color w:val="1E293B"/>
                <w:sz w:val="16"/>
              </w:rPr>
              <w:t xml:space="preserve"> placing loads end-to-end on selected lanes — once the calling infrastructure and CRM adoption are solid.</w:t>
            </w:r>
          </w:p>
        </w:tc>
      </w:tr>
    </w:tbl>
    <w:p>
      <w:pPr>
        <w:spacing w:before="140" w:after="60"/>
        <w:pBdr>
          <w:bottom w:val="single" w:sz="8" w:color="E2E8F0"/>
        </w:pBdr>
      </w:pPr>
      <w:r>
        <w:rPr>
          <w:b/>
          <w:color w:val="FFFFFF"/>
          <w:sz w:val="18"/>
          <w:shd w:val="clear" w:fill="0F2A4A"/>
        </w:rPr>
        <w:t xml:space="preserve"> 4 </w:t>
      </w:r>
      <w:r>
        <w:rPr>
          <w:b/>
          <w:color w:val="0F2A4A"/>
          <w:sz w:val="21"/>
        </w:rPr>
        <w:t xml:space="preserve">  The one alignment we need from business first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0658"/>
      </w:tblGrid>
      <w:tr>
        <w:tc>
          <w:tcPr>
            <w:tcW w:type="dxa" w:w="10658"/>
            <w:shd w:val="clear" w:fill="FFF7F0"/>
            <w:tcBorders>
              <w:left w:val="single" w:sz="28" w:color="D97A2B"/>
              <w:top w:val="single" w:sz="4" w:color="D97A2B"/>
              <w:bottom w:val="single" w:sz="4" w:color="D97A2B"/>
              <w:right w:val="single" w:sz="4" w:color="D97A2B"/>
            </w:tcBorders>
            <w:shd w:val="clear" w:fill="FFF7F0"/>
          </w:tcPr>
          <w:p>
            <w:pPr>
              <w:spacing w:before="80" w:after="40"/>
            </w:pPr>
            <w:r>
              <w:rPr>
                <w:b/>
                <w:color w:val="9A4E0E"/>
                <w:sz w:val="18"/>
              </w:rPr>
              <w:t>Placement must run inside the CRM</w:t>
            </w:r>
          </w:p>
          <w:p>
            <w:pPr>
              <w:spacing w:before="40" w:after="60"/>
              <w:jc w:val="left"/>
            </w:pPr>
            <w:r>
              <w:rPr>
                <w:b w:val="0"/>
                <w:i w:val="0"/>
                <w:color w:val="1E293B"/>
                <w:sz w:val="16"/>
              </w:rPr>
              <w:t xml:space="preserve">Today, CRM adoption for placement is </w:t>
            </w:r>
            <w:r>
              <w:rPr>
                <w:b/>
                <w:i w:val="0"/>
                <w:color w:val="9A4E0E"/>
                <w:sz w:val="16"/>
              </w:rPr>
              <w:t>low</w:t>
            </w:r>
            <w:r>
              <w:rPr>
                <w:b w:val="0"/>
                <w:i w:val="0"/>
                <w:color w:val="1E293B"/>
                <w:sz w:val="16"/>
              </w:rPr>
              <w:t xml:space="preserve"> — a large share of placements still happen </w:t>
            </w:r>
            <w:r>
              <w:rPr>
                <w:b/>
                <w:i w:val="0"/>
                <w:color w:val="9A4E0E"/>
                <w:sz w:val="16"/>
              </w:rPr>
              <w:t>outside the system</w:t>
            </w:r>
            <w:r>
              <w:rPr>
                <w:b w:val="0"/>
                <w:i w:val="0"/>
                <w:color w:val="1E293B"/>
                <w:sz w:val="16"/>
              </w:rPr>
              <w:t xml:space="preserve">. When placement happens off-system, the supply and bids we collect go unused, and </w:t>
            </w:r>
            <w:r>
              <w:rPr>
                <w:b/>
                <w:i w:val="0"/>
                <w:color w:val="9A4E0E"/>
                <w:sz w:val="16"/>
              </w:rPr>
              <w:t>none of these three initiatives can scale</w:t>
            </w:r>
            <w:r>
              <w:rPr>
                <w:b w:val="0"/>
                <w:i w:val="0"/>
                <w:color w:val="1E293B"/>
                <w:sz w:val="16"/>
              </w:rPr>
              <w:t>, no matter how good the tooling is.</w:t>
            </w:r>
          </w:p>
          <w:p>
            <w:pPr>
              <w:spacing w:before="40" w:after="60"/>
              <w:jc w:val="left"/>
            </w:pPr>
            <w:r>
              <w:rPr>
                <w:b/>
                <w:i w:val="0"/>
                <w:color w:val="9A4E0E"/>
                <w:sz w:val="16"/>
              </w:rPr>
              <w:t xml:space="preserve">Ask: </w:t>
            </w:r>
            <w:r>
              <w:rPr>
                <w:b w:val="0"/>
                <w:i w:val="0"/>
                <w:color w:val="1E293B"/>
                <w:sz w:val="16"/>
              </w:rPr>
              <w:t>business to commit to (1) running every placement through the CRM, and (2) acting on every demand from the demand aggregator inside the system. This is the foundation everything else builds on.</w:t>
            </w:r>
          </w:p>
        </w:tc>
      </w:tr>
    </w:tbl>
    <w:p>
      <w:pPr>
        <w:spacing w:before="140" w:after="60"/>
        <w:pBdr>
          <w:bottom w:val="single" w:sz="8" w:color="E2E8F0"/>
        </w:pBdr>
      </w:pPr>
      <w:r>
        <w:rPr>
          <w:b/>
          <w:color w:val="FFFFFF"/>
          <w:sz w:val="18"/>
          <w:shd w:val="clear" w:fill="0F2A4A"/>
        </w:rPr>
        <w:t xml:space="preserve"> 5 </w:t>
      </w:r>
      <w:r>
        <w:rPr>
          <w:b/>
          <w:color w:val="0F2A4A"/>
          <w:sz w:val="21"/>
        </w:rPr>
        <w:t xml:space="preserve">  Actionables</w:t>
      </w:r>
    </w:p>
    <w:tbl>
      <w:tblPr>
        <w:tblW w:type="auto" w:w="0"/>
        <w:jc w:val="center"/>
        <w:tblLook w:firstColumn="1" w:firstRow="1" w:lastColumn="0" w:lastRow="0" w:noHBand="0" w:noVBand="1" w:val="04A0"/>
      </w:tblPr>
      <w:tblGrid>
        <w:gridCol w:w="3553"/>
        <w:gridCol w:w="3553"/>
        <w:gridCol w:w="3553"/>
      </w:tblGrid>
      <w:tr>
        <w:tc>
          <w:tcPr>
            <w:tcW w:type="dxa" w:w="4876"/>
            <w:shd w:val="clear" w:fill="0F2A4A"/>
            <w:tcBorders>
              <w:top w:val="single" w:sz="4" w:color="DBE3EC"/>
              <w:bottom w:val="single" w:sz="4" w:color="DBE3EC"/>
              <w:left w:val="single" w:sz="4" w:color="DBE3EC"/>
              <w:right w:val="single" w:sz="4" w:color="DBE3EC"/>
            </w:tcBorders>
            <w:vAlign w:val="top"/>
          </w:tcPr>
          <w:p>
            <w:pPr>
              <w:spacing w:before="40" w:after="40"/>
              <w:jc w:val="left"/>
            </w:pPr>
            <w:r>
              <w:rPr>
                <w:b/>
                <w:i w:val="0"/>
                <w:color w:val="FFFFFF"/>
                <w:sz w:val="16"/>
              </w:rPr>
              <w:t>Action</w:t>
            </w:r>
          </w:p>
        </w:tc>
        <w:tc>
          <w:tcPr>
            <w:tcW w:type="dxa" w:w="3628"/>
            <w:shd w:val="clear" w:fill="0F2A4A"/>
            <w:tcBorders>
              <w:top w:val="single" w:sz="4" w:color="DBE3EC"/>
              <w:bottom w:val="single" w:sz="4" w:color="DBE3EC"/>
              <w:left w:val="single" w:sz="4" w:color="DBE3EC"/>
              <w:right w:val="single" w:sz="4" w:color="DBE3EC"/>
            </w:tcBorders>
            <w:vAlign w:val="top"/>
          </w:tcPr>
          <w:p>
            <w:pPr>
              <w:spacing w:before="40" w:after="40"/>
              <w:jc w:val="left"/>
            </w:pPr>
            <w:r>
              <w:rPr>
                <w:b/>
                <w:i w:val="0"/>
                <w:color w:val="FFFFFF"/>
                <w:sz w:val="16"/>
              </w:rPr>
              <w:t>Owner</w:t>
            </w:r>
          </w:p>
        </w:tc>
        <w:tc>
          <w:tcPr>
            <w:tcW w:type="dxa" w:w="2154"/>
            <w:shd w:val="clear" w:fill="0F2A4A"/>
            <w:tcBorders>
              <w:top w:val="single" w:sz="4" w:color="DBE3EC"/>
              <w:bottom w:val="single" w:sz="4" w:color="DBE3EC"/>
              <w:left w:val="single" w:sz="4" w:color="DBE3EC"/>
              <w:right w:val="single" w:sz="4" w:color="DBE3EC"/>
            </w:tcBorders>
            <w:vAlign w:val="top"/>
          </w:tcPr>
          <w:p>
            <w:pPr>
              <w:spacing w:before="40" w:after="40"/>
              <w:jc w:val="left"/>
            </w:pPr>
            <w:r>
              <w:rPr>
                <w:b/>
                <w:i w:val="0"/>
                <w:color w:val="FFFFFF"/>
                <w:sz w:val="16"/>
              </w:rPr>
              <w:t>When</w:t>
            </w:r>
          </w:p>
        </w:tc>
      </w:tr>
      <w:tr>
        <w:tc>
          <w:tcPr>
            <w:tcW w:type="dxa" w:w="4876"/>
            <w:tcBorders>
              <w:top w:val="single" w:sz="4" w:color="DBE3EC"/>
              <w:bottom w:val="single" w:sz="4" w:color="DBE3EC"/>
              <w:left w:val="single" w:sz="4" w:color="DBE3EC"/>
              <w:right w:val="single" w:sz="4" w:color="DBE3EC"/>
            </w:tcBorders>
            <w:vAlign w:val="top"/>
          </w:tcPr>
          <w:p>
            <w:pPr>
              <w:spacing w:before="40" w:after="40"/>
              <w:jc w:val="left"/>
            </w:pPr>
            <w:r>
              <w:rPr>
                <w:b w:val="0"/>
                <w:i w:val="0"/>
                <w:color w:val="1E293B"/>
                <w:sz w:val="16"/>
              </w:rPr>
              <w:t>Continue Ledger + CT automation; limited fulfilment-tech bandwidth this month</w:t>
            </w:r>
          </w:p>
        </w:tc>
        <w:tc>
          <w:tcPr>
            <w:tcW w:type="dxa" w:w="3628"/>
            <w:tcBorders>
              <w:top w:val="single" w:sz="4" w:color="DBE3EC"/>
              <w:bottom w:val="single" w:sz="4" w:color="DBE3EC"/>
              <w:left w:val="single" w:sz="4" w:color="DBE3EC"/>
              <w:right w:val="single" w:sz="4" w:color="DBE3EC"/>
            </w:tcBorders>
            <w:vAlign w:val="top"/>
          </w:tcPr>
          <w:p>
            <w:pPr>
              <w:spacing w:before="40" w:after="40"/>
              <w:jc w:val="left"/>
            </w:pPr>
            <w:r>
              <w:rPr>
                <w:b w:val="0"/>
                <w:i w:val="0"/>
                <w:color w:val="1E293B"/>
                <w:sz w:val="16"/>
              </w:rPr>
              <w:t>Product / Tech</w:t>
            </w:r>
          </w:p>
        </w:tc>
        <w:tc>
          <w:tcPr>
            <w:tcW w:type="dxa" w:w="2154"/>
            <w:tcBorders>
              <w:top w:val="single" w:sz="4" w:color="DBE3EC"/>
              <w:bottom w:val="single" w:sz="4" w:color="DBE3EC"/>
              <w:left w:val="single" w:sz="4" w:color="DBE3EC"/>
              <w:right w:val="single" w:sz="4" w:color="DBE3EC"/>
            </w:tcBorders>
            <w:vAlign w:val="center"/>
          </w:tcPr>
          <w:p>
            <w:pPr>
              <w:spacing w:before="40" w:after="40"/>
            </w:pPr>
            <w:r>
              <w:rPr>
                <w:b/>
                <w:color w:val="0F2A4A"/>
                <w:sz w:val="14"/>
                <w:shd w:val="clear" w:fill="EEF3F8"/>
              </w:rPr>
              <w:t xml:space="preserve"> This month </w:t>
            </w:r>
          </w:p>
        </w:tc>
      </w:tr>
      <w:tr>
        <w:tc>
          <w:tcPr>
            <w:tcW w:type="dxa" w:w="4876"/>
            <w:tcBorders>
              <w:top w:val="single" w:sz="4" w:color="DBE3EC"/>
              <w:bottom w:val="single" w:sz="4" w:color="DBE3EC"/>
              <w:left w:val="single" w:sz="4" w:color="DBE3EC"/>
              <w:right w:val="single" w:sz="4" w:color="DBE3EC"/>
            </w:tcBorders>
            <w:shd w:val="clear" w:fill="F7FAFC"/>
            <w:vAlign w:val="top"/>
          </w:tcPr>
          <w:p>
            <w:pPr>
              <w:spacing w:before="40" w:after="40"/>
              <w:jc w:val="left"/>
            </w:pPr>
            <w:r>
              <w:rPr>
                <w:b w:val="0"/>
                <w:i w:val="0"/>
                <w:color w:val="1E293B"/>
                <w:sz w:val="16"/>
              </w:rPr>
              <w:t>Onboarding content track — convert HR docs into bite-size videos</w:t>
            </w:r>
          </w:p>
        </w:tc>
        <w:tc>
          <w:tcPr>
            <w:tcW w:type="dxa" w:w="3628"/>
            <w:tcBorders>
              <w:top w:val="single" w:sz="4" w:color="DBE3EC"/>
              <w:bottom w:val="single" w:sz="4" w:color="DBE3EC"/>
              <w:left w:val="single" w:sz="4" w:color="DBE3EC"/>
              <w:right w:val="single" w:sz="4" w:color="DBE3EC"/>
            </w:tcBorders>
            <w:shd w:val="clear" w:fill="F7FAFC"/>
            <w:vAlign w:val="top"/>
          </w:tcPr>
          <w:p>
            <w:pPr>
              <w:spacing w:before="40" w:after="40"/>
              <w:jc w:val="left"/>
            </w:pPr>
            <w:r>
              <w:rPr>
                <w:b w:val="0"/>
                <w:i w:val="0"/>
                <w:color w:val="1E293B"/>
                <w:sz w:val="16"/>
              </w:rPr>
              <w:t>HR + Ravi + Product</w:t>
            </w:r>
          </w:p>
        </w:tc>
        <w:tc>
          <w:tcPr>
            <w:tcW w:type="dxa" w:w="2154"/>
            <w:tcBorders>
              <w:top w:val="single" w:sz="4" w:color="DBE3EC"/>
              <w:bottom w:val="single" w:sz="4" w:color="DBE3EC"/>
              <w:left w:val="single" w:sz="4" w:color="DBE3EC"/>
              <w:right w:val="single" w:sz="4" w:color="DBE3EC"/>
            </w:tcBorders>
            <w:vAlign w:val="center"/>
          </w:tcPr>
          <w:p>
            <w:pPr>
              <w:spacing w:before="40" w:after="40"/>
            </w:pPr>
            <w:r>
              <w:rPr>
                <w:b/>
                <w:color w:val="1F5C31"/>
                <w:sz w:val="14"/>
                <w:shd w:val="clear" w:fill="E2F3E6"/>
              </w:rPr>
              <w:t xml:space="preserve"> Start now </w:t>
            </w:r>
          </w:p>
        </w:tc>
      </w:tr>
      <w:tr>
        <w:tc>
          <w:tcPr>
            <w:tcW w:type="dxa" w:w="4876"/>
            <w:tcBorders>
              <w:top w:val="single" w:sz="4" w:color="DBE3EC"/>
              <w:bottom w:val="single" w:sz="4" w:color="DBE3EC"/>
              <w:left w:val="single" w:sz="4" w:color="DBE3EC"/>
              <w:right w:val="single" w:sz="4" w:color="DBE3EC"/>
            </w:tcBorders>
            <w:vAlign w:val="top"/>
          </w:tcPr>
          <w:p>
            <w:pPr>
              <w:spacing w:before="40" w:after="40"/>
              <w:jc w:val="left"/>
            </w:pPr>
            <w:r>
              <w:rPr>
                <w:b w:val="0"/>
                <w:i w:val="0"/>
                <w:color w:val="1E293B"/>
                <w:sz w:val="16"/>
              </w:rPr>
              <w:t>Curate top-agent call recordings into scenario clips</w:t>
            </w:r>
          </w:p>
        </w:tc>
        <w:tc>
          <w:tcPr>
            <w:tcW w:type="dxa" w:w="3628"/>
            <w:tcBorders>
              <w:top w:val="single" w:sz="4" w:color="DBE3EC"/>
              <w:bottom w:val="single" w:sz="4" w:color="DBE3EC"/>
              <w:left w:val="single" w:sz="4" w:color="DBE3EC"/>
              <w:right w:val="single" w:sz="4" w:color="DBE3EC"/>
            </w:tcBorders>
            <w:vAlign w:val="top"/>
          </w:tcPr>
          <w:p>
            <w:pPr>
              <w:spacing w:before="40" w:after="40"/>
              <w:jc w:val="left"/>
            </w:pPr>
            <w:r>
              <w:rPr>
                <w:b w:val="0"/>
                <w:i/>
                <w:color w:val="94A3B8"/>
                <w:sz w:val="16"/>
              </w:rPr>
              <w:t>Fulfilment leads — [confirm]</w:t>
            </w:r>
          </w:p>
        </w:tc>
        <w:tc>
          <w:tcPr>
            <w:tcW w:type="dxa" w:w="2154"/>
            <w:tcBorders>
              <w:top w:val="single" w:sz="4" w:color="DBE3EC"/>
              <w:bottom w:val="single" w:sz="4" w:color="DBE3EC"/>
              <w:left w:val="single" w:sz="4" w:color="DBE3EC"/>
              <w:right w:val="single" w:sz="4" w:color="DBE3EC"/>
            </w:tcBorders>
            <w:vAlign w:val="center"/>
          </w:tcPr>
          <w:p>
            <w:pPr>
              <w:spacing w:before="40" w:after="40"/>
            </w:pPr>
            <w:r>
              <w:rPr>
                <w:b/>
                <w:color w:val="1F5C31"/>
                <w:sz w:val="14"/>
                <w:shd w:val="clear" w:fill="E2F3E6"/>
              </w:rPr>
              <w:t xml:space="preserve"> Start now </w:t>
            </w:r>
          </w:p>
        </w:tc>
      </w:tr>
      <w:tr>
        <w:tc>
          <w:tcPr>
            <w:tcW w:type="dxa" w:w="4876"/>
            <w:tcBorders>
              <w:top w:val="single" w:sz="4" w:color="DBE3EC"/>
              <w:bottom w:val="single" w:sz="4" w:color="DBE3EC"/>
              <w:left w:val="single" w:sz="4" w:color="DBE3EC"/>
              <w:right w:val="single" w:sz="4" w:color="DBE3EC"/>
            </w:tcBorders>
            <w:shd w:val="clear" w:fill="F7FAFC"/>
            <w:vAlign w:val="top"/>
          </w:tcPr>
          <w:p>
            <w:pPr>
              <w:spacing w:before="40" w:after="40"/>
              <w:jc w:val="left"/>
            </w:pPr>
            <w:r>
              <w:rPr>
                <w:b w:val="0"/>
                <w:i w:val="0"/>
                <w:color w:val="1E293B"/>
                <w:sz w:val="16"/>
              </w:rPr>
              <w:t>Product how-to / FO-negotiation videos</w:t>
            </w:r>
          </w:p>
        </w:tc>
        <w:tc>
          <w:tcPr>
            <w:tcW w:type="dxa" w:w="3628"/>
            <w:tcBorders>
              <w:top w:val="single" w:sz="4" w:color="DBE3EC"/>
              <w:bottom w:val="single" w:sz="4" w:color="DBE3EC"/>
              <w:left w:val="single" w:sz="4" w:color="DBE3EC"/>
              <w:right w:val="single" w:sz="4" w:color="DBE3EC"/>
            </w:tcBorders>
            <w:shd w:val="clear" w:fill="F7FAFC"/>
            <w:vAlign w:val="top"/>
          </w:tcPr>
          <w:p>
            <w:pPr>
              <w:spacing w:before="40" w:after="40"/>
              <w:jc w:val="left"/>
            </w:pPr>
            <w:r>
              <w:rPr>
                <w:b w:val="0"/>
                <w:i w:val="0"/>
                <w:color w:val="1E293B"/>
                <w:sz w:val="16"/>
              </w:rPr>
              <w:t>Product + Ravi</w:t>
            </w:r>
          </w:p>
        </w:tc>
        <w:tc>
          <w:tcPr>
            <w:tcW w:type="dxa" w:w="2154"/>
            <w:tcBorders>
              <w:top w:val="single" w:sz="4" w:color="DBE3EC"/>
              <w:bottom w:val="single" w:sz="4" w:color="DBE3EC"/>
              <w:left w:val="single" w:sz="4" w:color="DBE3EC"/>
              <w:right w:val="single" w:sz="4" w:color="DBE3EC"/>
            </w:tcBorders>
            <w:vAlign w:val="center"/>
          </w:tcPr>
          <w:p>
            <w:pPr>
              <w:spacing w:before="40" w:after="40"/>
            </w:pPr>
            <w:r>
              <w:rPr>
                <w:b/>
                <w:color w:val="1F5C31"/>
                <w:sz w:val="14"/>
                <w:shd w:val="clear" w:fill="E2F3E6"/>
              </w:rPr>
              <w:t xml:space="preserve"> Start now </w:t>
            </w:r>
          </w:p>
        </w:tc>
      </w:tr>
      <w:tr>
        <w:tc>
          <w:tcPr>
            <w:tcW w:type="dxa" w:w="4876"/>
            <w:tcBorders>
              <w:top w:val="single" w:sz="4" w:color="DBE3EC"/>
              <w:bottom w:val="single" w:sz="4" w:color="DBE3EC"/>
              <w:left w:val="single" w:sz="4" w:color="DBE3EC"/>
              <w:right w:val="single" w:sz="4" w:color="DBE3EC"/>
            </w:tcBorders>
            <w:vAlign w:val="top"/>
          </w:tcPr>
          <w:p>
            <w:pPr>
              <w:spacing w:before="40" w:after="40"/>
              <w:jc w:val="left"/>
            </w:pPr>
            <w:r>
              <w:rPr>
                <w:b/>
                <w:i w:val="0"/>
                <w:color w:val="1E293B"/>
                <w:sz w:val="16"/>
              </w:rPr>
              <w:t>Business alignment</w:t>
            </w:r>
            <w:r>
              <w:rPr>
                <w:b w:val="0"/>
                <w:i w:val="0"/>
                <w:color w:val="1E293B"/>
                <w:sz w:val="16"/>
              </w:rPr>
              <w:t xml:space="preserve"> — placement runs in CRM; act on all aggregator demand</w:t>
            </w:r>
          </w:p>
        </w:tc>
        <w:tc>
          <w:tcPr>
            <w:tcW w:type="dxa" w:w="3628"/>
            <w:tcBorders>
              <w:top w:val="single" w:sz="4" w:color="DBE3EC"/>
              <w:bottom w:val="single" w:sz="4" w:color="DBE3EC"/>
              <w:left w:val="single" w:sz="4" w:color="DBE3EC"/>
              <w:right w:val="single" w:sz="4" w:color="DBE3EC"/>
            </w:tcBorders>
            <w:vAlign w:val="top"/>
          </w:tcPr>
          <w:p>
            <w:pPr>
              <w:spacing w:before="40" w:after="40"/>
              <w:jc w:val="left"/>
            </w:pPr>
            <w:r>
              <w:rPr>
                <w:b w:val="0"/>
                <w:i/>
                <w:color w:val="94A3B8"/>
                <w:sz w:val="16"/>
              </w:rPr>
              <w:t>Business heads — [confirm]</w:t>
            </w:r>
          </w:p>
        </w:tc>
        <w:tc>
          <w:tcPr>
            <w:tcW w:type="dxa" w:w="2154"/>
            <w:tcBorders>
              <w:top w:val="single" w:sz="4" w:color="DBE3EC"/>
              <w:bottom w:val="single" w:sz="4" w:color="DBE3EC"/>
              <w:left w:val="single" w:sz="4" w:color="DBE3EC"/>
              <w:right w:val="single" w:sz="4" w:color="DBE3EC"/>
            </w:tcBorders>
            <w:vAlign w:val="center"/>
          </w:tcPr>
          <w:p>
            <w:pPr>
              <w:spacing w:before="40" w:after="40"/>
            </w:pPr>
            <w:r>
              <w:rPr>
                <w:b/>
                <w:color w:val="9A4E0E"/>
                <w:sz w:val="14"/>
                <w:shd w:val="clear" w:fill="FDEBD7"/>
              </w:rPr>
              <w:t xml:space="preserve"> Decision needed </w:t>
            </w:r>
          </w:p>
        </w:tc>
      </w:tr>
      <w:tr>
        <w:tc>
          <w:tcPr>
            <w:tcW w:type="dxa" w:w="4876"/>
            <w:tcBorders>
              <w:top w:val="single" w:sz="4" w:color="DBE3EC"/>
              <w:bottom w:val="single" w:sz="4" w:color="DBE3EC"/>
              <w:left w:val="single" w:sz="4" w:color="DBE3EC"/>
              <w:right w:val="single" w:sz="4" w:color="DBE3EC"/>
            </w:tcBorders>
            <w:shd w:val="clear" w:fill="F7FAFC"/>
            <w:vAlign w:val="top"/>
          </w:tcPr>
          <w:p>
            <w:pPr>
              <w:spacing w:before="40" w:after="40"/>
              <w:jc w:val="left"/>
            </w:pPr>
            <w:r>
              <w:rPr>
                <w:b w:val="0"/>
                <w:i w:val="0"/>
                <w:color w:val="1E293B"/>
                <w:sz w:val="16"/>
              </w:rPr>
              <w:t>Scope calling-infrastructure gaps (Phase 0/2 prerequisite)</w:t>
            </w:r>
          </w:p>
        </w:tc>
        <w:tc>
          <w:tcPr>
            <w:tcW w:type="dxa" w:w="3628"/>
            <w:tcBorders>
              <w:top w:val="single" w:sz="4" w:color="DBE3EC"/>
              <w:bottom w:val="single" w:sz="4" w:color="DBE3EC"/>
              <w:left w:val="single" w:sz="4" w:color="DBE3EC"/>
              <w:right w:val="single" w:sz="4" w:color="DBE3EC"/>
            </w:tcBorders>
            <w:shd w:val="clear" w:fill="F7FAFC"/>
            <w:vAlign w:val="top"/>
          </w:tcPr>
          <w:p>
            <w:pPr>
              <w:spacing w:before="40" w:after="40"/>
              <w:jc w:val="left"/>
            </w:pPr>
            <w:r>
              <w:rPr>
                <w:b w:val="0"/>
                <w:i w:val="0"/>
                <w:color w:val="1E293B"/>
                <w:sz w:val="16"/>
              </w:rPr>
              <w:t>Product</w:t>
            </w:r>
          </w:p>
        </w:tc>
        <w:tc>
          <w:tcPr>
            <w:tcW w:type="dxa" w:w="2154"/>
            <w:tcBorders>
              <w:top w:val="single" w:sz="4" w:color="DBE3EC"/>
              <w:bottom w:val="single" w:sz="4" w:color="DBE3EC"/>
              <w:left w:val="single" w:sz="4" w:color="DBE3EC"/>
              <w:right w:val="single" w:sz="4" w:color="DBE3EC"/>
            </w:tcBorders>
            <w:vAlign w:val="center"/>
          </w:tcPr>
          <w:p>
            <w:pPr>
              <w:spacing w:before="40" w:after="40"/>
            </w:pPr>
            <w:r>
              <w:rPr>
                <w:b/>
                <w:color w:val="475569"/>
                <w:sz w:val="14"/>
                <w:shd w:val="clear" w:fill="F1F5F9"/>
              </w:rPr>
              <w:t xml:space="preserve"> Next </w:t>
            </w:r>
          </w:p>
        </w:tc>
      </w:tr>
      <w:tr>
        <w:tc>
          <w:tcPr>
            <w:tcW w:type="dxa" w:w="4876"/>
            <w:tcBorders>
              <w:top w:val="single" w:sz="4" w:color="DBE3EC"/>
              <w:bottom w:val="single" w:sz="4" w:color="DBE3EC"/>
              <w:left w:val="single" w:sz="4" w:color="DBE3EC"/>
              <w:right w:val="single" w:sz="4" w:color="DBE3EC"/>
            </w:tcBorders>
            <w:vAlign w:val="top"/>
          </w:tcPr>
          <w:p>
            <w:pPr>
              <w:spacing w:before="40" w:after="40"/>
              <w:jc w:val="left"/>
            </w:pPr>
            <w:r>
              <w:rPr>
                <w:b w:val="0"/>
                <w:i w:val="0"/>
                <w:color w:val="1E293B"/>
                <w:sz w:val="16"/>
              </w:rPr>
              <w:t>Evolve agent &amp; AI Fulfilment Agent build</w:t>
            </w:r>
          </w:p>
        </w:tc>
        <w:tc>
          <w:tcPr>
            <w:tcW w:type="dxa" w:w="3628"/>
            <w:tcBorders>
              <w:top w:val="single" w:sz="4" w:color="DBE3EC"/>
              <w:bottom w:val="single" w:sz="4" w:color="DBE3EC"/>
              <w:left w:val="single" w:sz="4" w:color="DBE3EC"/>
              <w:right w:val="single" w:sz="4" w:color="DBE3EC"/>
            </w:tcBorders>
            <w:vAlign w:val="top"/>
          </w:tcPr>
          <w:p>
            <w:pPr>
              <w:spacing w:before="40" w:after="40"/>
              <w:jc w:val="left"/>
            </w:pPr>
            <w:r>
              <w:rPr>
                <w:b w:val="0"/>
                <w:i/>
                <w:color w:val="94A3B8"/>
                <w:sz w:val="16"/>
              </w:rPr>
              <w:t>[post-Ledger / CT — TBD]</w:t>
            </w:r>
          </w:p>
        </w:tc>
        <w:tc>
          <w:tcPr>
            <w:tcW w:type="dxa" w:w="2154"/>
            <w:tcBorders>
              <w:top w:val="single" w:sz="4" w:color="DBE3EC"/>
              <w:bottom w:val="single" w:sz="4" w:color="DBE3EC"/>
              <w:left w:val="single" w:sz="4" w:color="DBE3EC"/>
              <w:right w:val="single" w:sz="4" w:color="DBE3EC"/>
            </w:tcBorders>
            <w:vAlign w:val="center"/>
          </w:tcPr>
          <w:p>
            <w:pPr>
              <w:spacing w:before="40" w:after="40"/>
            </w:pPr>
            <w:r>
              <w:rPr>
                <w:b/>
                <w:color w:val="475569"/>
                <w:sz w:val="14"/>
                <w:shd w:val="clear" w:fill="F1F5F9"/>
              </w:rPr>
              <w:t xml:space="preserve"> Later </w:t>
            </w:r>
          </w:p>
        </w:tc>
      </w:tr>
    </w:tbl>
    <w:p>
      <w:pPr>
        <w:spacing w:before="100"/>
      </w:pPr>
      <w:r>
        <w:rPr>
          <w:i/>
          <w:color w:val="64748B"/>
          <w:sz w:val="15"/>
        </w:rPr>
        <w:t>Placeholders marked [confirm] / [TBD] need owners and dates filled in. “CT automation” refers to the in-flight compliance-automation workstream — confirm the exact name before sharing.</w:t>
      </w:r>
    </w:p>
    <w:sectPr w:rsidR="00FC693F" w:rsidRPr="0006063C" w:rsidSect="00034616">
      <w:pgSz w:w="11906" w:h="16838"/>
      <w:pgMar w:top="510" w:right="624" w:bottom="510"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