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32"/>
        </w:rPr>
        <w:t>SecureHall-RAG: A Secure, Hallucination-Resistant Retrieval-Augmented Generation System for Enterprise Policy Question Answering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Devendra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Department of Computer Science, MCA Program</w:t>
      </w:r>
    </w:p>
    <w:p>
      <w:pPr>
        <w:spacing w:after="120" w:line="360" w:lineRule="auto"/>
      </w:pPr>
      <w:r>
        <w:rPr>
          <w:rFonts w:ascii="Times New Roman" w:hAnsi="Times New Roman"/>
          <w:i/>
          <w:sz w:val="24"/>
        </w:rPr>
        <w:t>[Institution Name]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Organisations manage extensive internal documentation — policy manuals, HR guidelines, compliance frameworks, IT security protocols — yet employees struggle to retrieve precise answers efficiently. Retrieval-Augmented Generation (RAG) provides a viable automation path, but production deployments persistently exhibit four weaknesses: factual claims unsupported by retrieved passages, susceptibility to adversarial prompt manipulation, retrieval pipelines that fail on certain query types, and responses that carry no indication of reliability. This paper introduces </w:t>
      </w:r>
      <w:r>
        <w:rPr>
          <w:rFonts w:ascii="Times New Roman" w:hAnsi="Times New Roman"/>
          <w:b/>
          <w:sz w:val="24"/>
        </w:rPr>
        <w:t>SecureHall-RAG</w:t>
      </w:r>
      <w:r>
        <w:rPr>
          <w:rFonts w:ascii="Times New Roman" w:hAnsi="Times New Roman"/>
          <w:sz w:val="24"/>
        </w:rPr>
        <w:t>, a fully local system tackling all four weaknesses through an integrated architecture. It combines a three-layer adversarial screening pipeline, a hybrid retrieval engine fusing FAISS dense search (</w:t>
      </w:r>
      <w:r>
        <w:rPr>
          <w:rFonts w:ascii="Times New Roman" w:hAnsi="Times New Roman"/>
          <w:color w:val="BE1E46"/>
          <w:sz w:val="24"/>
        </w:rPr>
        <w:t>all-mpnet-base-v2</w:t>
      </w:r>
      <w:r>
        <w:rPr>
          <w:rFonts w:ascii="Times New Roman" w:hAnsi="Times New Roman"/>
          <w:sz w:val="24"/>
        </w:rPr>
        <w:t xml:space="preserve">, 768-dim) with BM25 keyword matching through Reciprocal Rank Fusion, cross-encoder re-scoring, RAPTOR hierarchical cluster summaries, sentence-level NLI faithfulness verification with iterative self-correction, LLM-driven query decomposition, and a four-tier calibrated confidence framework. On a 10-document enterprise policy corpus (60 answerable questions), the full pipeline achieves Precision@1 = </w:t>
      </w:r>
      <w:r>
        <w:rPr>
          <w:rFonts w:ascii="Times New Roman" w:hAnsi="Times New Roman"/>
          <w:b/>
          <w:sz w:val="24"/>
        </w:rPr>
        <w:t>1.000</w:t>
      </w:r>
      <w:r>
        <w:rPr>
          <w:rFonts w:ascii="Times New Roman" w:hAnsi="Times New Roman"/>
          <w:sz w:val="24"/>
        </w:rPr>
        <w:t xml:space="preserve"> versus </w:t>
      </w:r>
      <w:r>
        <w:rPr>
          <w:rFonts w:ascii="Times New Roman" w:hAnsi="Times New Roman"/>
          <w:b/>
          <w:sz w:val="24"/>
        </w:rPr>
        <w:t>0.850</w:t>
      </w:r>
      <w:r>
        <w:rPr>
          <w:rFonts w:ascii="Times New Roman" w:hAnsi="Times New Roman"/>
          <w:sz w:val="24"/>
        </w:rPr>
        <w:t xml:space="preserve"> for dense-only search. Since BM25 independently saturates at 1.000 on this terminologically distinctive corpus, the hybrid design demonstrates robustness rather than a headline margin. Against a 60-case adversarial set (31 should-block), a pattern filter intercepts </w:t>
      </w:r>
      <w:r>
        <w:rPr>
          <w:rFonts w:ascii="Times New Roman" w:hAnsi="Times New Roman"/>
          <w:b/>
          <w:sz w:val="24"/>
        </w:rPr>
        <w:t>54.8%</w:t>
      </w:r>
      <w:r>
        <w:rPr>
          <w:rFonts w:ascii="Times New Roman" w:hAnsi="Times New Roman"/>
          <w:sz w:val="24"/>
        </w:rPr>
        <w:t xml:space="preserve"> of attacks; supplementing it with an embedding-similarity semantic detector raises this to </w:t>
      </w:r>
      <w:r>
        <w:rPr>
          <w:rFonts w:ascii="Times New Roman" w:hAnsi="Times New Roman"/>
          <w:b/>
          <w:sz w:val="24"/>
        </w:rPr>
        <w:t>61.3%</w:t>
      </w:r>
      <w:r>
        <w:rPr>
          <w:rFonts w:ascii="Times New Roman" w:hAnsi="Times New Roman"/>
          <w:sz w:val="24"/>
        </w:rPr>
        <w:t xml:space="preserve"> at </w:t>
      </w:r>
      <w:r>
        <w:rPr>
          <w:rFonts w:ascii="Times New Roman" w:hAnsi="Times New Roman"/>
          <w:b/>
          <w:sz w:val="24"/>
        </w:rPr>
        <w:t>78.3%</w:t>
      </w:r>
      <w:r>
        <w:rPr>
          <w:rFonts w:ascii="Times New Roman" w:hAnsi="Times New Roman"/>
          <w:sz w:val="24"/>
        </w:rPr>
        <w:t xml:space="preserve"> overall correct handling with zero false positives. NLI verification guards answer faithfulness (semantic grounding ≈ 0.66) at a CPU cost of </w:t>
      </w:r>
      <w:r>
        <w:rPr>
          <w:rFonts w:ascii="Times New Roman" w:hAnsi="Times New Roman"/>
          <w:b/>
          <w:sz w:val="24"/>
        </w:rPr>
        <w:t>+98 s</w:t>
      </w:r>
      <w:r>
        <w:rPr>
          <w:rFonts w:ascii="Times New Roman" w:hAnsi="Times New Roman"/>
          <w:sz w:val="24"/>
        </w:rPr>
        <w:t xml:space="preserve"> per query, establishing that GPU inference is necessary for interactive latency. No cloud service is required.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Index Terms</w:t>
      </w:r>
      <w:r>
        <w:rPr>
          <w:rFonts w:ascii="Times New Roman" w:hAnsi="Times New Roman"/>
          <w:sz w:val="24"/>
        </w:rPr>
        <w:t xml:space="preserve"> — Retrieval-Augmented Generation, Hallucination Prevention, Natural Language Inference, Prompt Injection, Enterprise QA, Uncertainty Quantification, RAPTOR.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I. Introduction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In most organisations, the knowledge employees need to do their jobs — leave entitlements, security procedures, disciplinary processes, compliance obligations — exists in written documents that are poorly accessible. Finding a specific fact requires either searching manually across file systems, asking colleagues who may or may not remember correctly, or submitting a helpdesk request and waiting.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Language models paired with retrieval infrastructure changed what is technically feasible. The RAG pattern [1] retrieves relevant passages at query time and grounds the model's response in those passages rather than in parametric memory. This reduces fabrication substantially. Enterprise deployment, however, surfaces persistent problems: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P1 — Hallucination.</w:t>
      </w:r>
      <w:r>
        <w:rPr>
          <w:rFonts w:ascii="Times New Roman" w:hAnsi="Times New Roman"/>
          <w:sz w:val="24"/>
        </w:rPr>
        <w:t xml:space="preserve"> Models generate claims their retrieved context does not support [2]. Xu et al. [31] demonstrate formally that this is a structural property of finite-parameter statistical learning, making post-generation verification architecturally necessary.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P2 — Adversarial Manipulation.</w:t>
      </w:r>
      <w:r>
        <w:rPr>
          <w:rFonts w:ascii="Times New Roman" w:hAnsi="Times New Roman"/>
          <w:sz w:val="24"/>
        </w:rPr>
        <w:t xml:space="preserve"> Prompt injection [3], indirect injection via retrieved documents [21], and semantic hybridisation attacks [36] allow malicious users to override system behaviour or exfiltrate private context.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P3 — Retrieval Gaps.</w:t>
      </w:r>
      <w:r>
        <w:rPr>
          <w:rFonts w:ascii="Times New Roman" w:hAnsi="Times New Roman"/>
          <w:sz w:val="24"/>
        </w:rPr>
        <w:t xml:space="preserve"> Policy corpora require both vocabulary-level precision and semantic generalisation. Any single retrieval modality excels at one while failing the other.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P4 — Opacity.</w:t>
      </w:r>
      <w:r>
        <w:rPr>
          <w:rFonts w:ascii="Times New Roman" w:hAnsi="Times New Roman"/>
          <w:sz w:val="24"/>
        </w:rPr>
        <w:t xml:space="preserve"> Without source citations and confidence signals, users cannot distinguish trustworthy answers from fabricated ones. Roy et al. [38] show that AI-generated text is increasingly indistinguishable from human writing, making explicit uncertainty indicators a practical necessity.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SecureHall-RAG addresses all four simultaneously in a single locally-deployable system. Its contributions: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Layered Security Pipeline</w:t>
      </w:r>
      <w:r>
        <w:rPr>
          <w:rFonts w:ascii="Times New Roman" w:hAnsi="Times New Roman"/>
          <w:sz w:val="24"/>
        </w:rPr>
        <w:t xml:space="preserve"> — content filter (regex, 600-char cap), XML structural sandboxing, and role-constrained generation templates.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Hybrid Hierarchical Retrieval</w:t>
      </w:r>
      <w:r>
        <w:rPr>
          <w:rFonts w:ascii="Times New Roman" w:hAnsi="Times New Roman"/>
          <w:sz w:val="24"/>
        </w:rPr>
        <w:t xml:space="preserve"> — FAISS + BM25 fused by RRF, cross-encoder re-ranking, RAPTOR [16] cluster summaries.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NLI Verification with Self-Correction</w:t>
      </w:r>
      <w:r>
        <w:rPr>
          <w:rFonts w:ascii="Times New Roman" w:hAnsi="Times New Roman"/>
          <w:sz w:val="24"/>
        </w:rPr>
        <w:t xml:space="preserve"> — per-sentence entailment scoring (DeBERTa [10], [11]) with automated rewriting of poorly-supported claims.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Multi-hop Decomposition</w:t>
      </w:r>
      <w:r>
        <w:rPr>
          <w:rFonts w:ascii="Times New Roman" w:hAnsi="Times New Roman"/>
          <w:sz w:val="24"/>
        </w:rPr>
        <w:t xml:space="preserve"> — LLM-driven question splitting for compound queries.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Four-Tier Confidence Framework</w:t>
      </w:r>
      <w:r>
        <w:rPr>
          <w:rFonts w:ascii="Times New Roman" w:hAnsi="Times New Roman"/>
          <w:sz w:val="24"/>
        </w:rPr>
        <w:t xml:space="preserve"> — composite scores bucketed into HIGH / MODERATE / LOW / ABSTAIN, calibrated per query type.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II. Related Work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A. Retrieval-Augmented Generation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Lewis et al. [1] paired a neural retriever with a conditional generator to ground outputs in external passages. Karpukhin et al. [4] formalised dense passage retrieval via dual-encoder training. Gao et al. [5] survey subsequent improvements across pre-retrieval, retrieval, and post-retrieval stages. Liu et al. [6] identified that models underutilise content positioned in the middle of long contexts, motivating hierarchical representations. Recski et al. [33] and Das et al. [34] confirm in scholarly and legal QA settings that post-retrieval verification is necessary in high-stakes domains.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B. Hallucination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Ji et al. [2] and Tonmoy et al. [29] distinguish intrinsic hallucinations (contradicting the source) from extrinsic ones (adding unverifiable content). Xu et al. [31] proved this is structurally inevitable in finite-capacity models. Kalai et al. [32] traced much of it to contradictory pre-training data. Maynez et al. [7] established that NLI-based faithfulness scores track human judgements, which is why SummaC [11] and this work use them as the primary verification signal.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C. Hybrid Retrieval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Dense and sparse retrieval address complementary needs [12]: BM25 matches exact vocabulary while dense models generalise to paraphrases. Cormack et al. [13] introduced RRF for score-normalisation-free fusion; BEIR [14] validated its cross-domain competitiveness. Fernandes and Kanjilal [35] confirmed that hierarchical cluster retrieval improves recall on consumer hardware, supporting our use of RAPTOR [16].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D. LLM Security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Perez and Ribeiro [3] characterised prompt injection. Greshake et al. [21] extended it to indirect injection via retrieved documents. Nafi et al. [36] (LASH) demonstrated that blended benign/malicious payloads evade pattern filters — a limitation of our current system. Wang et al. [37] argue the sustainable path is alignment-level safety, which we treat as the long-term direction while using layered filtering pragmatically.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E. Uncertainty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Kuhn et al. [23] compute entropy over meaning-equivalent answer clusters rather than tokens. Manakul et al. [24] use cross-sample consistency. Kadavath et al. [25] showed prompted self-assessment is a viable lightweight confidence strategy. These inform our four-tier framework.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III. System Architecture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The pipeline processes each query through four stages sequentially: adversarial screening → intelligent retrieval → grounded generation → faithfulness-verified assembly.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A. Three-Layer Security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Layer 1 — Content Filter.</w:t>
      </w:r>
      <w:r>
        <w:rPr>
          <w:rFonts w:ascii="Times New Roman" w:hAnsi="Times New Roman"/>
          <w:sz w:val="24"/>
        </w:rPr>
        <w:t xml:space="preserve"> Compiled regex patterns covering 27+ attack categories, preceded by a 600-character hard cap. Matched queries are rejected with an audit entry; no LLM tokens consumed.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Layer 2 — Structural Sandboxing.</w:t>
      </w:r>
      <w:r>
        <w:rPr>
          <w:rFonts w:ascii="Times New Roman" w:hAnsi="Times New Roman"/>
          <w:sz w:val="24"/>
        </w:rPr>
        <w:t xml:space="preserve"> System directives, retrieved context, and user text occupy distinct XML zones, preventing user-zone content from overriding system-zone instructions [37].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Layer 3 — Role-Pinning Templates.</w:t>
      </w:r>
      <w:r>
        <w:rPr>
          <w:rFonts w:ascii="Times New Roman" w:hAnsi="Times New Roman"/>
          <w:sz w:val="24"/>
        </w:rPr>
        <w:t xml:space="preserve"> Fixed generation templates restate model constraints at invocation, catching indirect attacks that cleared earlier layers.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B. Hybrid Hierarchical Retrieval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Multi-hop Decomposition.</w:t>
      </w:r>
      <w:r>
        <w:rPr>
          <w:rFonts w:ascii="Times New Roman" w:hAnsi="Times New Roman"/>
          <w:sz w:val="24"/>
        </w:rPr>
        <w:t xml:space="preserve"> Compound queries are split by the LLM into focused sub-questions.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Fused Search.</w:t>
      </w:r>
      <w:r>
        <w:rPr>
          <w:rFonts w:ascii="Times New Roman" w:hAnsi="Times New Roman"/>
          <w:sz w:val="24"/>
        </w:rPr>
        <w:t xml:space="preserve"> FAISS dense (all-mpnet-base-v2, 768-dim) and BM25 sparse run in parallel. Outputs merged by RRF ($k=60$).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RAPTOR Summaries.</w:t>
      </w:r>
      <w:r>
        <w:rPr>
          <w:rFonts w:ascii="Times New Roman" w:hAnsi="Times New Roman"/>
          <w:sz w:val="24"/>
        </w:rPr>
        <w:t xml:space="preserve"> Chunk embeddings clustered via K-Means; LLM-generated abstractive summaries indexed alongside raw chunks.</w:t>
      </w:r>
    </w:p>
    <w:p>
      <w:pPr>
        <w:pStyle w:val="ListNumber"/>
        <w:spacing w:after="80" w:line="360" w:lineRule="auto"/>
      </w:pPr>
      <w:r>
        <w:rPr>
          <w:rFonts w:ascii="Times New Roman" w:hAnsi="Times New Roman"/>
          <w:b/>
          <w:sz w:val="24"/>
        </w:rPr>
        <w:t>Cross-Encoder Re-ranking.</w:t>
      </w:r>
      <w:r>
        <w:rPr>
          <w:rFonts w:ascii="Times New Roman" w:hAnsi="Times New Roman"/>
          <w:sz w:val="24"/>
        </w:rPr>
        <w:t xml:space="preserve"> Top-20 RRF candidates re-scored by </w:t>
      </w:r>
      <w:r>
        <w:rPr>
          <w:rFonts w:ascii="Times New Roman" w:hAnsi="Times New Roman"/>
          <w:color w:val="BE1E46"/>
          <w:sz w:val="24"/>
        </w:rPr>
        <w:t>ms-marco-MiniLM-L-6-v2</w:t>
      </w:r>
      <w:r>
        <w:rPr>
          <w:rFonts w:ascii="Times New Roman" w:hAnsi="Times New Roman"/>
          <w:sz w:val="24"/>
        </w:rPr>
        <w:t xml:space="preserve"> using joint attention.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C. NLI Verification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Each sentence $s_i$ scored for entailment against context $C$ via DeBERTa: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$$p(\text{entailment} \mid C, s_i) = \frac{e^{l_1}}{e^{l_0} + e^{l_1} + e^{l_2}}$$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Sentence-type classifier skips non-factual sentences (~40% reduction). Cached by MD5. Sentences below threshold trigger self-correction (max 2 rounds). Graduated output policy: ≥0.65 unchanged; 0.40–0.64 + warning; 0.25–0.39 + low-confidence advisory; &lt;0.25 removed.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D. Uncertainty Framework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Composite score (retrieval + NLI) bucketed per query type. Factual: HIGH ≥ 0.80; comparative: HIGH ≥ 0.68.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Tier</w:t>
            </w:r>
          </w:p>
        </w:tc>
        <w:tc>
          <w:tcPr>
            <w:tcW w:type="dxa" w:w="6192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Range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Behaviour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≥ 0.75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Green badge, full answer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MODERATE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0.50–0.75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Amber badge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LOW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0.35–0.50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Verification disclaimer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ABSTAIN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&lt; 0.35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Safe refusal</w:t>
            </w:r>
          </w:p>
        </w:tc>
      </w:tr>
    </w:tbl>
    <w:p>
      <w:pPr>
        <w:spacing w:after="240"/>
      </w:pP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IV. Evaluation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A. Setup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Consumer laptop (i7-12th, 16GB, RTX 3050 4GB). Llama-3.1-8B via Ollama in CPU-only mode. Corpus: 10 HR manuals, 29 chunks. Benchmark: 75 questions (60 answerable), auto-generated gold answers. Adversarial: 60 cases (31 should-block). Quality on 15-question subset.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B. Retrieval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Table I</w:t>
      </w:r>
      <w:r>
        <w:rPr>
          <w:rFonts w:ascii="Times New Roman" w:hAnsi="Times New Roman"/>
          <w:sz w:val="24"/>
        </w:rPr>
        <w:t xml:space="preserve"> (60 answerable; P@K=1 if correct document in top-K)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5E5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Config</w:t>
            </w:r>
          </w:p>
        </w:tc>
        <w:tc>
          <w:tcPr>
            <w:tcW w:type="dxa" w:w="156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P@1</w:t>
            </w:r>
          </w:p>
        </w:tc>
        <w:tc>
          <w:tcPr>
            <w:tcW w:type="dxa" w:w="156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P@3</w:t>
            </w:r>
          </w:p>
        </w:tc>
        <w:tc>
          <w:tcPr>
            <w:tcW w:type="dxa" w:w="156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P@5</w:t>
            </w:r>
          </w:p>
        </w:tc>
        <w:tc>
          <w:tcPr>
            <w:tcW w:type="dxa" w:w="156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R@3</w:t>
            </w:r>
          </w:p>
        </w:tc>
        <w:tc>
          <w:tcPr>
            <w:tcW w:type="dxa" w:w="156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R@5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Dense Only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0.850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0.983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0.983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BM25 Only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Hybrid (no rerank)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0.983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</w:tr>
      <w:tr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Full System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1.000</w:t>
            </w:r>
          </w:p>
        </w:tc>
        <w:tc>
          <w:tcPr>
            <w:tcW w:type="dxa" w:w="156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1.000</w:t>
            </w:r>
          </w:p>
        </w:tc>
      </w:tr>
    </w:tbl>
    <w:p>
      <w:pPr>
        <w:spacing w:after="240"/>
      </w:pP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Dense-only misses 15% of queries. BM25 fusion raises P@1 to 0.983; cross-encoder closes the gap. BM25 alone also saturates — corpus-specific lexical distinctiveness. Hybrid design proves robustness, not a headline gain.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C. Answer Quality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Table II</w:t>
      </w:r>
      <w:r>
        <w:rPr>
          <w:rFonts w:ascii="Times New Roman" w:hAnsi="Times New Roman"/>
          <w:sz w:val="24"/>
        </w:rPr>
        <w:t xml:space="preserve"> (15-question subset)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Metric</w:t>
            </w:r>
          </w:p>
        </w:tc>
        <w:tc>
          <w:tcPr>
            <w:tcW w:type="dxa" w:w="6192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Baseline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Enhanced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ROUGE-L (↑)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0.087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0.074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Semantic faithfulness (↑)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0.664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0.661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Answer relevance (↑)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0.636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0.636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Confidence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0.733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0.661</w:t>
            </w:r>
          </w:p>
        </w:tc>
      </w:tr>
    </w:tbl>
    <w:p>
      <w:pPr>
        <w:spacing w:after="240"/>
      </w:pP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Differences not significant (p=0.51–0.99). Verification is a guard, not a generator. Semantic faithfulness (≈0.66) is the meaningful signal; ROUGE-L depressed by metric mismatch. Verification cost: +98 s/query on CPU.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D. Security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Table III</w:t>
      </w:r>
      <w:r>
        <w:rPr>
          <w:rFonts w:ascii="Times New Roman" w:hAnsi="Times New Roman"/>
          <w:sz w:val="24"/>
        </w:rPr>
        <w:t xml:space="preserve"> (60 cases, 31 should-block)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5E5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Category</w:t>
            </w:r>
          </w:p>
        </w:tc>
        <w:tc>
          <w:tcPr>
            <w:tcW w:type="dxa" w:w="23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Should Block</w:t>
            </w:r>
          </w:p>
        </w:tc>
        <w:tc>
          <w:tcPr>
            <w:tcW w:type="dxa" w:w="23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Pattern</w:t>
            </w:r>
          </w:p>
        </w:tc>
        <w:tc>
          <w:tcPr>
            <w:tcW w:type="dxa" w:w="23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+ Semantic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Prompt Injection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6 (60%)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6 (60%)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Jailbreak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5 (50%)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7 (70%)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Encoded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6 (75%)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6 (75%)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Edge Case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 (0%)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 (0%)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31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17 (54.8%)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19 (61.3%)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Overall correct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75.0%</w:t>
            </w:r>
          </w:p>
        </w:tc>
        <w:tc>
          <w:tcPr>
            <w:tcW w:type="dxa" w:w="234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sz w:val="22"/>
              </w:rPr>
              <w:t>78.3%</w:t>
            </w:r>
          </w:p>
        </w:tc>
      </w:tr>
    </w:tbl>
    <w:p>
      <w:pPr>
        <w:spacing w:after="240"/>
      </w:pP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Semantic detector adds +6.5 points (jailbreak category), no false positives. Novel vectors outside pattern library and seed set remain undetected [36].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E. Confidence Tiers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Table IV</w:t>
      </w:r>
      <w:r>
        <w:rPr>
          <w:rFonts w:ascii="Times New Roman" w:hAnsi="Times New Roman"/>
          <w:sz w:val="24"/>
        </w:rPr>
        <w:t xml:space="preserve"> (enhanced, 15-question subset)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5E5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Tier</w:t>
            </w:r>
          </w:p>
        </w:tc>
        <w:tc>
          <w:tcPr>
            <w:tcW w:type="dxa" w:w="468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%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40.0%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MODERATE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26.7%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LOW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33.3%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ABSTAIN</w:t>
            </w:r>
          </w:p>
        </w:tc>
        <w:tc>
          <w:tcPr>
            <w:tcW w:type="dxa" w:w="4680"/>
            <w:shd w:fill="FFFFFF"/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</w:tr>
    </w:tbl>
    <w:p>
      <w:pPr>
        <w:spacing w:after="240"/>
      </w:pP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Calibration fix cut ABSTAIN from 69.3% to 0%. Tradeoff: reduced verifier power over well-retrieved but weakly-grounded answers.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F. Ablation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Table 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Config</w:t>
            </w:r>
          </w:p>
        </w:tc>
        <w:tc>
          <w:tcPr>
            <w:tcW w:type="dxa" w:w="6192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P@1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Block Rate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Full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1.000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61.3%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− Semantic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54.8%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− Reranker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0.983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61.3%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Dense only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0.850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61.3%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− Security</w:t>
            </w:r>
          </w:p>
        </w:tc>
        <w:tc>
          <w:tcPr>
            <w:tcW w:type="dxa" w:w="6192"/>
            <w:shd w:fill="FFFFFF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1.000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0%</w:t>
            </w:r>
          </w:p>
        </w:tc>
      </w:tr>
    </w:tbl>
    <w:p>
      <w:pPr>
        <w:spacing w:after="240"/>
      </w:pP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Security removal: total failure. Semantic detector: +6.5 points. Reranker: +1.7 P@1 points.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V. Discussion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A. Retrieval Saturation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The full pipeline saturates P@1 on this 10-document corpus. BM25 alone matches this ceiling, owing to highly specific policy terminology — role titles, numerical entitlements, procedural keywords create unambiguous anchors. Dense retrieval's value emerges on paraphrased queries lacking exact term overlap; a larger, more lexically diverse corpus would make this visible. The cross-encoder resolves ranking ties that bi-encoder scoring leaves ambiguous.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RAPTOR summaries add no measurable P@1 here since the reranker already hits the ceiling. Their contribution is expected on larger corpora with broad thematic queries no single chunk satisfies.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B. Quality Metric Limitations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ROUGE-L (0.087/0.074) reflects a metric–task mismatch: short gold extracts versus full system sentences. Embedding-based semantic faithfulness (≈0.66) — measuring how well the answer is grounded in context regardless of surface wording — is the more representative signal. BERTScore or human evaluation would provide the most meaningful faithfulness measurement.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The verification pipeline's operational value — inline warnings on partially-supported claims, hard redaction of contradictions, and ABSTAIN responses for low-confidence queries — is real but invisible to a token-overlap metric.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C. Security Boundaries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Pattern matching handles attacks with detectable surface features (encoded payloads 75%, known jailbreak phrases, override strings) at 54.8%. The semantic detector extends this to contextual framings by comparing query embeddings against stored attack intents — raising coverage to 61.3% with no false positives, concentrated in the jailbreak category. Attacks semantically distant from every seed intent (edge cases, 0/3) remain the gap.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The path forward is broader seed coverage or a trained classifier in the near term, and alignment-level safety [37] as the long-term direction.</w:t>
      </w:r>
    </w:p>
    <w:p>
      <w:pPr>
        <w:pStyle w:val="Heading3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D. Latency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LLM generation dominates (5–30 s/call on CPU). The verification loop compounds this with multiple additional calls (claim decomposition, per-claim scoring, self-correction) — measured total overhead +98 s/query. On CPU, enhanced mode is high-assurance batch processing. GPU + GGUF Q4 quantisation is the path to interactive latency.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VI. Conclusion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SecureHall-RAG demonstrates that production-quality, fully local enterprise document QA can simultaneously achieve strong retrieval, layered adversarial defence, post-generation verification, and calibrated confidence signalling.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Retrieval:</w:t>
      </w:r>
      <w:r>
        <w:rPr>
          <w:rFonts w:ascii="Times New Roman" w:hAnsi="Times New Roman"/>
          <w:sz w:val="24"/>
        </w:rPr>
        <w:t xml:space="preserve"> P@1 = 1.000 (hybrid + reranker) vs. 0.850 (dense-only). Near-saturated corpus; value is robustness.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Security:</w:t>
      </w:r>
      <w:r>
        <w:rPr>
          <w:rFonts w:ascii="Times New Roman" w:hAnsi="Times New Roman"/>
          <w:sz w:val="24"/>
        </w:rPr>
        <w:t xml:space="preserve"> 54.8% → 61.3% attack-block (pattern + semantic), 78.3% correct, no false positives.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Verification:</w:t>
      </w:r>
      <w:r>
        <w:rPr>
          <w:rFonts w:ascii="Times New Roman" w:hAnsi="Times New Roman"/>
          <w:sz w:val="24"/>
        </w:rPr>
        <w:t xml:space="preserve"> Semantic faithfulness ≈ 0.66; +98 s/query on CPU. GPU required for interactive use.</w:t>
      </w:r>
    </w:p>
    <w:p>
      <w:pPr>
        <w:pStyle w:val="ListBullet"/>
        <w:spacing w:after="80" w:line="360" w:lineRule="auto"/>
      </w:pPr>
      <w:r>
        <w:rPr>
          <w:rFonts w:ascii="Times New Roman" w:hAnsi="Times New Roman"/>
          <w:b/>
          <w:sz w:val="24"/>
        </w:rPr>
        <w:t>Privacy:</w:t>
      </w:r>
      <w:r>
        <w:rPr>
          <w:rFonts w:ascii="Times New Roman" w:hAnsi="Times New Roman"/>
          <w:sz w:val="24"/>
        </w:rPr>
        <w:t xml:space="preserve"> Zero cloud dependency.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Future directions: expanded attack-seed coverage, GPU-quantised inference, human faithfulness evaluation, larger evaluation corpus.</w:t>
      </w:r>
    </w:p>
    <w:p>
      <w:pPr>
        <w:pBdr>
          <w:bottom w:val="single" w:sz="6" w:space="1" w:color="CCCCCC"/>
        </w:pBdr>
      </w:pPr>
    </w:p>
    <w:p>
      <w:pPr>
        <w:pStyle w:val="Heading2"/>
        <w:keepNext/>
        <w:spacing w:before="240" w:after="120" w:line="276" w:lineRule="auto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[1] P. Lewis et al., "Retrieval-Augmented Generation for Knowledge-Intensive NLP Tasks," </w:t>
      </w:r>
      <w:r>
        <w:rPr>
          <w:rFonts w:ascii="Times New Roman" w:hAnsi="Times New Roman"/>
          <w:i/>
          <w:sz w:val="24"/>
        </w:rPr>
        <w:t>NeurIPS</w:t>
      </w:r>
      <w:r>
        <w:rPr>
          <w:rFonts w:ascii="Times New Roman" w:hAnsi="Times New Roman"/>
          <w:sz w:val="24"/>
        </w:rPr>
        <w:t>, vol. 33, pp. 9459–9474, 2020.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[2] Z. Ji et al., "Survey of Hallucination in Natural Language Generation," </w:t>
      </w:r>
      <w:r>
        <w:rPr>
          <w:rFonts w:ascii="Times New Roman" w:hAnsi="Times New Roman"/>
          <w:i/>
          <w:sz w:val="24"/>
        </w:rPr>
        <w:t>ACM Computing Surveys</w:t>
      </w:r>
      <w:r>
        <w:rPr>
          <w:rFonts w:ascii="Times New Roman" w:hAnsi="Times New Roman"/>
          <w:sz w:val="24"/>
        </w:rPr>
        <w:t>, vol. 55, no. 12,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[3] F. Perez and I. Ribeiro, "Ignore Previous Prompt: Attack Techniques for Language Models," </w:t>
      </w:r>
      <w:r>
        <w:rPr>
          <w:rFonts w:ascii="Times New Roman" w:hAnsi="Times New Roman"/>
          <w:i/>
          <w:sz w:val="24"/>
        </w:rPr>
        <w:t>NeurIPS Workshop</w:t>
      </w:r>
      <w:r>
        <w:rPr>
          <w:rFonts w:ascii="Times New Roman" w:hAnsi="Times New Roman"/>
          <w:sz w:val="24"/>
        </w:rPr>
        <w:t>, 2022.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[4] V. Karpukhin et al., "Dense Passage Retrieval for Open-Domain QA," </w:t>
      </w:r>
      <w:r>
        <w:rPr>
          <w:rFonts w:ascii="Times New Roman" w:hAnsi="Times New Roman"/>
          <w:i/>
          <w:sz w:val="24"/>
        </w:rPr>
        <w:t>EMNLP</w:t>
      </w:r>
      <w:r>
        <w:rPr>
          <w:rFonts w:ascii="Times New Roman" w:hAnsi="Times New Roman"/>
          <w:sz w:val="24"/>
        </w:rPr>
        <w:t>, pp. 6769–6781, 2020.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[5] Y. Gao et al., "RAG for LLMs: A Survey," </w:t>
      </w:r>
      <w:r>
        <w:rPr>
          <w:rFonts w:ascii="Times New Roman" w:hAnsi="Times New Roman"/>
          <w:i/>
          <w:sz w:val="24"/>
        </w:rPr>
        <w:t>arXiv:2312.10997</w:t>
      </w:r>
      <w:r>
        <w:rPr>
          <w:rFonts w:ascii="Times New Roman" w:hAnsi="Times New Roman"/>
          <w:sz w:val="24"/>
        </w:rPr>
        <w:t>,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[6] N. F. Liu et al., "Lost in the Middle," </w:t>
      </w:r>
      <w:r>
        <w:rPr>
          <w:rFonts w:ascii="Times New Roman" w:hAnsi="Times New Roman"/>
          <w:i/>
          <w:sz w:val="24"/>
        </w:rPr>
        <w:t>Trans. ACL</w:t>
      </w:r>
      <w:r>
        <w:rPr>
          <w:rFonts w:ascii="Times New Roman" w:hAnsi="Times New Roman"/>
          <w:sz w:val="24"/>
        </w:rPr>
        <w:t>, vol. 12, pp. 157–173, 2024.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[7] S. Maynez et al., "On Faithfulness and Factuality in Abstractive Summarization," </w:t>
      </w:r>
      <w:r>
        <w:rPr>
          <w:rFonts w:ascii="Times New Roman" w:hAnsi="Times New Roman"/>
          <w:i/>
          <w:sz w:val="24"/>
        </w:rPr>
        <w:t>ACL</w:t>
      </w:r>
      <w:r>
        <w:rPr>
          <w:rFonts w:ascii="Times New Roman" w:hAnsi="Times New Roman"/>
          <w:sz w:val="24"/>
        </w:rPr>
        <w:t>, pp. 1906–1919, 2020.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[8] K. Shuster et al., "Retrieval Augmentation Reduces Hallucination," </w:t>
      </w:r>
      <w:r>
        <w:rPr>
          <w:rFonts w:ascii="Times New Roman" w:hAnsi="Times New Roman"/>
          <w:i/>
          <w:sz w:val="24"/>
        </w:rPr>
        <w:t>Findings of EMNLP</w:t>
      </w:r>
      <w:r>
        <w:rPr>
          <w:rFonts w:ascii="Times New Roman" w:hAnsi="Times New Roman"/>
          <w:sz w:val="24"/>
        </w:rPr>
        <w:t>, pp. 3784–3803, 2021.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[9] T. Falke et al., "Ranking Generated Summaries by Correctness," </w:t>
      </w:r>
      <w:r>
        <w:rPr>
          <w:rFonts w:ascii="Times New Roman" w:hAnsi="Times New Roman"/>
          <w:i/>
          <w:sz w:val="24"/>
        </w:rPr>
        <w:t>ACL</w:t>
      </w:r>
      <w:r>
        <w:rPr>
          <w:rFonts w:ascii="Times New Roman" w:hAnsi="Times New Roman"/>
          <w:sz w:val="24"/>
        </w:rPr>
        <w:t>, pp. 2214–2220, 2019.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[10] P. He et al., "DeBERTaV3," </w:t>
      </w:r>
      <w:r>
        <w:rPr>
          <w:rFonts w:ascii="Times New Roman" w:hAnsi="Times New Roman"/>
          <w:i/>
          <w:sz w:val="24"/>
        </w:rPr>
        <w:t>ICLR</w:t>
      </w:r>
      <w:r>
        <w:rPr>
          <w:rFonts w:ascii="Times New Roman" w:hAnsi="Times New Roman"/>
          <w:sz w:val="24"/>
        </w:rPr>
        <w:t>,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[11] P. Laban et al., "SummaC," </w:t>
      </w:r>
      <w:r>
        <w:rPr>
          <w:rFonts w:ascii="Times New Roman" w:hAnsi="Times New Roman"/>
          <w:i/>
          <w:sz w:val="24"/>
        </w:rPr>
        <w:t>Trans. ACL</w:t>
      </w:r>
      <w:r>
        <w:rPr>
          <w:rFonts w:ascii="Times New Roman" w:hAnsi="Times New Roman"/>
          <w:sz w:val="24"/>
        </w:rPr>
        <w:t>, vol. 10, pp. 163–177, 2022.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[12] J. Lin and X. Ma, "DeepImpact, COIL, and IR Techniques," </w:t>
      </w:r>
      <w:r>
        <w:rPr>
          <w:rFonts w:ascii="Times New Roman" w:hAnsi="Times New Roman"/>
          <w:i/>
          <w:sz w:val="24"/>
        </w:rPr>
        <w:t>arXiv:2106.14807</w:t>
      </w:r>
      <w:r>
        <w:rPr>
          <w:rFonts w:ascii="Times New Roman" w:hAnsi="Times New Roman"/>
          <w:sz w:val="24"/>
        </w:rPr>
        <w:t>, 2021.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[13] G. V. Cormack et al., "Reciprocal Rank Fusion," </w:t>
      </w:r>
      <w:r>
        <w:rPr>
          <w:rFonts w:ascii="Times New Roman" w:hAnsi="Times New Roman"/>
          <w:i/>
          <w:sz w:val="24"/>
        </w:rPr>
        <w:t>SIGIR</w:t>
      </w:r>
      <w:r>
        <w:rPr>
          <w:rFonts w:ascii="Times New Roman" w:hAnsi="Times New Roman"/>
          <w:sz w:val="24"/>
        </w:rPr>
        <w:t>, pp. 758–759, 2009.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[14] T. Thakur et al., "BEIR," </w:t>
      </w:r>
      <w:r>
        <w:rPr>
          <w:rFonts w:ascii="Times New Roman" w:hAnsi="Times New Roman"/>
          <w:i/>
          <w:sz w:val="24"/>
        </w:rPr>
        <w:t>NeurIPS Datasets</w:t>
      </w:r>
      <w:r>
        <w:rPr>
          <w:rFonts w:ascii="Times New Roman" w:hAnsi="Times New Roman"/>
          <w:sz w:val="24"/>
        </w:rPr>
        <w:t>, 2021.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[16] P. Sarthi et al., "RAPTOR," </w:t>
      </w:r>
      <w:r>
        <w:rPr>
          <w:rFonts w:ascii="Times New Roman" w:hAnsi="Times New Roman"/>
          <w:i/>
          <w:sz w:val="24"/>
        </w:rPr>
        <w:t>ICLR</w:t>
      </w:r>
      <w:r>
        <w:rPr>
          <w:rFonts w:ascii="Times New Roman" w:hAnsi="Times New Roman"/>
          <w:sz w:val="24"/>
        </w:rPr>
        <w:t>, 2024.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[21] K. Greshake et al., "Indirect Prompt Injection," </w:t>
      </w:r>
      <w:r>
        <w:rPr>
          <w:rFonts w:ascii="Times New Roman" w:hAnsi="Times New Roman"/>
          <w:i/>
          <w:sz w:val="24"/>
        </w:rPr>
        <w:t>AISec/CCS</w:t>
      </w:r>
      <w:r>
        <w:rPr>
          <w:rFonts w:ascii="Times New Roman" w:hAnsi="Times New Roman"/>
          <w:sz w:val="24"/>
        </w:rPr>
        <w:t>,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>[22] OWASP, "Top 10 for LLM Applications,"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[23] L. Kuhn et al., "Semantic Uncertainty," </w:t>
      </w:r>
      <w:r>
        <w:rPr>
          <w:rFonts w:ascii="Times New Roman" w:hAnsi="Times New Roman"/>
          <w:i/>
          <w:sz w:val="24"/>
        </w:rPr>
        <w:t>ICLR</w:t>
      </w:r>
      <w:r>
        <w:rPr>
          <w:rFonts w:ascii="Times New Roman" w:hAnsi="Times New Roman"/>
          <w:sz w:val="24"/>
        </w:rPr>
        <w:t>,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[24] P. Manakul et al., "SelfCheckGPT," </w:t>
      </w:r>
      <w:r>
        <w:rPr>
          <w:rFonts w:ascii="Times New Roman" w:hAnsi="Times New Roman"/>
          <w:i/>
          <w:sz w:val="24"/>
        </w:rPr>
        <w:t>EMNLP</w:t>
      </w:r>
      <w:r>
        <w:rPr>
          <w:rFonts w:ascii="Times New Roman" w:hAnsi="Times New Roman"/>
          <w:sz w:val="24"/>
        </w:rPr>
        <w:t>, pp. 9745–9765, 2023.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[25] S. Kadavath et al., "Language Models Know What They Know," </w:t>
      </w:r>
      <w:r>
        <w:rPr>
          <w:rFonts w:ascii="Times New Roman" w:hAnsi="Times New Roman"/>
          <w:i/>
          <w:sz w:val="24"/>
        </w:rPr>
        <w:t>arXiv:2207.05221</w:t>
      </w:r>
      <w:r>
        <w:rPr>
          <w:rFonts w:ascii="Times New Roman" w:hAnsi="Times New Roman"/>
          <w:sz w:val="24"/>
        </w:rPr>
        <w:t>, 2022.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[26] A. Asai et al., "Self-RAG," </w:t>
      </w:r>
      <w:r>
        <w:rPr>
          <w:rFonts w:ascii="Times New Roman" w:hAnsi="Times New Roman"/>
          <w:i/>
          <w:sz w:val="24"/>
        </w:rPr>
        <w:t>ICLR</w:t>
      </w:r>
      <w:r>
        <w:rPr>
          <w:rFonts w:ascii="Times New Roman" w:hAnsi="Times New Roman"/>
          <w:sz w:val="24"/>
        </w:rPr>
        <w:t>, 2024.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[29] S. M. Tonmoy et al., "Hallucination Mitigation Survey," </w:t>
      </w:r>
      <w:r>
        <w:rPr>
          <w:rFonts w:ascii="Times New Roman" w:hAnsi="Times New Roman"/>
          <w:i/>
          <w:sz w:val="24"/>
        </w:rPr>
        <w:t>arXiv:2401.01313</w:t>
      </w:r>
      <w:r>
        <w:rPr>
          <w:rFonts w:ascii="Times New Roman" w:hAnsi="Times New Roman"/>
          <w:sz w:val="24"/>
        </w:rPr>
        <w:t>, 2024.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[31] Z. Xu et al., "Hallucination is Inevitable," </w:t>
      </w:r>
      <w:r>
        <w:rPr>
          <w:rFonts w:ascii="Times New Roman" w:hAnsi="Times New Roman"/>
          <w:i/>
          <w:sz w:val="24"/>
        </w:rPr>
        <w:t>arXiv:2401.11817</w:t>
      </w:r>
      <w:r>
        <w:rPr>
          <w:rFonts w:ascii="Times New Roman" w:hAnsi="Times New Roman"/>
          <w:sz w:val="24"/>
        </w:rPr>
        <w:t>, 2024.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[32] A. T. Kalai et al., "Why Language Models Hallucinate," </w:t>
      </w:r>
      <w:r>
        <w:rPr>
          <w:rFonts w:ascii="Times New Roman" w:hAnsi="Times New Roman"/>
          <w:i/>
          <w:sz w:val="24"/>
        </w:rPr>
        <w:t>arXiv:2509.04664</w:t>
      </w:r>
      <w:r>
        <w:rPr>
          <w:rFonts w:ascii="Times New Roman" w:hAnsi="Times New Roman"/>
          <w:sz w:val="24"/>
        </w:rPr>
        <w:t>, 2025.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[33] G. Recski et al., "ACL-Verbatim," </w:t>
      </w:r>
      <w:r>
        <w:rPr>
          <w:rFonts w:ascii="Times New Roman" w:hAnsi="Times New Roman"/>
          <w:i/>
          <w:sz w:val="24"/>
        </w:rPr>
        <w:t>arXiv:2605.21102</w:t>
      </w:r>
      <w:r>
        <w:rPr>
          <w:rFonts w:ascii="Times New Roman" w:hAnsi="Times New Roman"/>
          <w:sz w:val="24"/>
        </w:rPr>
        <w:t>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[34] S. Das et al., "Fine-Grained Claim-Level RAG for Law," </w:t>
      </w:r>
      <w:r>
        <w:rPr>
          <w:rFonts w:ascii="Times New Roman" w:hAnsi="Times New Roman"/>
          <w:i/>
          <w:sz w:val="24"/>
        </w:rPr>
        <w:t>arXiv:2605.21071</w:t>
      </w:r>
      <w:r>
        <w:rPr>
          <w:rFonts w:ascii="Times New Roman" w:hAnsi="Times New Roman"/>
          <w:sz w:val="24"/>
        </w:rPr>
        <w:t>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[35] P. Fernandes and R. Kanjilal, "GraphRAG on Consumer Hardware," </w:t>
      </w:r>
      <w:r>
        <w:rPr>
          <w:rFonts w:ascii="Times New Roman" w:hAnsi="Times New Roman"/>
          <w:i/>
          <w:sz w:val="24"/>
        </w:rPr>
        <w:t>arXiv:2605.20815</w:t>
      </w:r>
      <w:r>
        <w:rPr>
          <w:rFonts w:ascii="Times New Roman" w:hAnsi="Times New Roman"/>
          <w:sz w:val="24"/>
        </w:rPr>
        <w:t>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[36] A. A. N. Nafi et al., "LASH," </w:t>
      </w:r>
      <w:r>
        <w:rPr>
          <w:rFonts w:ascii="Times New Roman" w:hAnsi="Times New Roman"/>
          <w:i/>
          <w:sz w:val="24"/>
        </w:rPr>
        <w:t>arXiv:2605.21362</w:t>
      </w:r>
      <w:r>
        <w:rPr>
          <w:rFonts w:ascii="Times New Roman" w:hAnsi="Times New Roman"/>
          <w:sz w:val="24"/>
        </w:rPr>
        <w:t>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[37] Y. Wang et al., "Context-Invariant Safety Alignment," </w:t>
      </w:r>
      <w:r>
        <w:rPr>
          <w:rFonts w:ascii="Times New Roman" w:hAnsi="Times New Roman"/>
          <w:i/>
          <w:sz w:val="24"/>
        </w:rPr>
        <w:t>arXiv:2605.20994</w:t>
      </w:r>
      <w:r>
        <w:rPr>
          <w:rFonts w:ascii="Times New Roman" w:hAnsi="Times New Roman"/>
          <w:sz w:val="24"/>
        </w:rPr>
        <w:t>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[38] R. Roy et al., "Counter Turing Test," </w:t>
      </w:r>
      <w:r>
        <w:rPr>
          <w:rFonts w:ascii="Times New Roman" w:hAnsi="Times New Roman"/>
          <w:i/>
          <w:sz w:val="24"/>
        </w:rPr>
        <w:t>arXiv:2605.20761</w:t>
      </w:r>
      <w:r>
        <w:rPr>
          <w:rFonts w:ascii="Times New Roman" w:hAnsi="Times New Roman"/>
          <w:sz w:val="24"/>
        </w:rPr>
        <w:t>, 2026.</w:t>
      </w:r>
    </w:p>
    <w:p>
      <w:pPr>
        <w:spacing w:after="120" w:line="360" w:lineRule="auto"/>
      </w:pPr>
      <w:r>
        <w:rPr>
          <w:rFonts w:ascii="Times New Roman" w:hAnsi="Times New Roman"/>
          <w:sz w:val="24"/>
        </w:rPr>
        <w:t xml:space="preserve">[39] J. Ruan et al., "MTR-Suite," </w:t>
      </w:r>
      <w:r>
        <w:rPr>
          <w:rFonts w:ascii="Times New Roman" w:hAnsi="Times New Roman"/>
          <w:i/>
          <w:sz w:val="24"/>
        </w:rPr>
        <w:t>arXiv:2605.20729</w:t>
      </w:r>
      <w:r>
        <w:rPr>
          <w:rFonts w:ascii="Times New Roman" w:hAnsi="Times New Roman"/>
          <w:sz w:val="24"/>
        </w:rPr>
        <w:t>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60"/>
      <w:jc w:val="center"/>
    </w:pPr>
    <w:r>
      <w:rPr>
        <w:rFonts w:ascii="Times New Roman" w:hAnsi="Times New Roman"/>
        <w:color w:val="787878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4" w:space="2" w:color="CCCCCC"/>
      </w:pBdr>
    </w:pPr>
    <w:r>
      <w:rPr>
        <w:rFonts w:ascii="Times New Roman" w:hAnsi="Times New Roman"/>
        <w:i/>
        <w:color w:val="787878"/>
        <w:sz w:val="18"/>
      </w:rPr>
      <w:t>SecureHall-RAG: IEEE Research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