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30"/>
          <w:szCs w:val="30"/>
        </w:rPr>
        <w:t xml:space="preserve">BLUESTOCK FINTECH</w:t>
      </w:r>
    </w:p>
    <w:p>
      <w:pPr>
        <w:spacing w:after="200" w:before="200"/>
        <w:jc w:val="center"/>
      </w:pPr>
      <w:r>
        <w:rPr>
          <w:rFonts w:ascii="Cambria" w:cs="Cambria" w:eastAsia="Cambria" w:hAnsi="Cambria"/>
          <w:b/>
          <w:bCs/>
          <w:color w:val="1E2761"/>
          <w:sz w:val="56"/>
          <w:szCs w:val="56"/>
        </w:rPr>
        <w:t xml:space="preserve">Mutual Fund Analytics Platform</w:t>
      </w:r>
    </w:p>
    <w:p>
      <w:pPr>
        <w:spacing w:after="800"/>
        <w:jc w:val="center"/>
      </w:pPr>
      <w:r>
        <w:rPr>
          <w:color w:val="595959"/>
          <w:sz w:val="24"/>
          <w:szCs w:val="24"/>
        </w:rPr>
        <w:t xml:space="preserve">Final Capstone Report — End-to-End Data Engineering, ETL Pipeline &amp; Interactive Dashboard</w:t>
      </w:r>
    </w:p>
    <w:p>
      <w:pPr>
        <w:spacing w:before="1600"/>
        <w:jc w:val="center"/>
      </w:pPr>
      <w:r>
        <w:rPr>
          <w:sz w:val="22"/>
          <w:szCs w:val="22"/>
        </w:rPr>
        <w:t xml:space="preserve">Prepared by: Devendra Gautam</w:t>
      </w:r>
    </w:p>
    <w:p>
      <w:pPr>
        <w:jc w:val="center"/>
      </w:pPr>
      <w:r>
        <w:rPr>
          <w:sz w:val="22"/>
          <w:szCs w:val="22"/>
        </w:rPr>
        <w:t xml:space="preserve">Individual Capstone Project — Bluestock Fintech Pvt. Ltd.</w:t>
      </w:r>
    </w:p>
    <w:p>
      <w:pPr>
        <w:jc w:val="center"/>
      </w:pPr>
      <w:r>
        <w:rPr>
          <w:sz w:val="22"/>
          <w:szCs w:val="22"/>
        </w:rPr>
        <w:t xml:space="preserve">August 2026</w:t>
      </w:r>
    </w:p>
    <w:p>
      <w:pPr>
        <w:spacing w:before="1600"/>
        <w:jc w:val="center"/>
      </w:pPr>
      <w:r>
        <w:rPr>
          <w:i/>
          <w:iCs/>
          <w:color w:val="595959"/>
          <w:sz w:val="18"/>
          <w:szCs w:val="18"/>
        </w:rPr>
        <w:t xml:space="preserve">Data sourced from AMFI India, mfapi.in, NSE/BSE public data. Educational project — not financial advice.</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160"/>
      </w:pPr>
      <w:r>
        <w:t xml:space="preserve">1. Executive Summary</w:t>
      </w:r>
    </w:p>
    <w:p>
      <w:pPr>
        <w:spacing w:after="160"/>
      </w:pPr>
      <w:r>
        <w:t xml:space="preserve">2. Data Sources &amp; Datasets</w:t>
      </w:r>
    </w:p>
    <w:p>
      <w:pPr>
        <w:spacing w:after="160"/>
      </w:pPr>
      <w:r>
        <w:t xml:space="preserve">3. System Architecture &amp; ETL Design</w:t>
      </w:r>
    </w:p>
    <w:p>
      <w:pPr>
        <w:spacing w:after="160"/>
      </w:pPr>
      <w:r>
        <w:t xml:space="preserve">4. Technical Stack</w:t>
      </w:r>
    </w:p>
    <w:p>
      <w:pPr>
        <w:spacing w:after="160"/>
      </w:pPr>
      <w:r>
        <w:t xml:space="preserve">5. Project Timeline — 7-Day Build Process</w:t>
      </w:r>
    </w:p>
    <w:p>
      <w:pPr>
        <w:spacing w:after="160"/>
      </w:pPr>
      <w:r>
        <w:t xml:space="preserve">6. Exploratory Data Analysis — Findings</w:t>
      </w:r>
    </w:p>
    <w:p>
      <w:pPr>
        <w:spacing w:after="160"/>
      </w:pPr>
      <w:r>
        <w:t xml:space="preserve">7. Fund Performance Analysis</w:t>
      </w:r>
    </w:p>
    <w:p>
      <w:pPr>
        <w:spacing w:after="160"/>
      </w:pPr>
      <w:r>
        <w:t xml:space="preserve">8. Advanced Analytics &amp; Risk Metrics</w:t>
      </w:r>
    </w:p>
    <w:p>
      <w:pPr>
        <w:spacing w:after="160"/>
      </w:pPr>
      <w:r>
        <w:t xml:space="preserve">9. Interactive Dashboard</w:t>
      </w:r>
    </w:p>
    <w:p>
      <w:pPr>
        <w:spacing w:after="160"/>
      </w:pPr>
      <w:r>
        <w:t xml:space="preserve">10. Limitations</w:t>
      </w:r>
    </w:p>
    <w:p>
      <w:pPr>
        <w:spacing w:after="160"/>
      </w:pPr>
      <w:r>
        <w:t xml:space="preserve">11. Recommendations</w:t>
      </w:r>
    </w:p>
    <w:p>
      <w:pPr>
        <w:spacing w:after="160"/>
      </w:pPr>
      <w:r>
        <w:t xml:space="preserve">12. Appendix A — Sample SQL Queries</w:t>
      </w:r>
    </w:p>
    <w:p>
      <w:pPr>
        <w:spacing w:after="160"/>
      </w:pPr>
      <w:r>
        <w:t xml:space="preserve">13. Appendix B — Data Dictionary</w:t>
      </w:r>
    </w:p>
    <w:p>
      <w:pPr>
        <w:spacing w:after="160"/>
      </w:pPr>
      <w:r>
        <w:t xml:space="preserve">14. Appendix C — Deliverables &amp; Evaluation Checklist</w:t>
      </w:r>
    </w:p>
    <w:p>
      <w:pPr>
        <w:spacing w:after="160"/>
      </w:pPr>
      <w:r>
        <w:t xml:space="preserve">15. Appendix D — Bonus Challenge: Monte Carlo NAV Projection</w:t>
      </w:r>
    </w:p>
    <w:p>
      <w:r>
        <w:br w:type="page"/>
      </w:r>
    </w:p>
    <w:p>
      <w:pPr>
        <w:pStyle w:val="Heading1"/>
        <w:spacing w:after="200" w:before="400"/>
      </w:pPr>
      <w:r>
        <w:t xml:space="preserve">1. Executive Summary</w:t>
      </w:r>
    </w:p>
    <w:p>
      <w:pPr>
        <w:spacing w:after="160"/>
      </w:pPr>
      <w:r>
        <w:t xml:space="preserve">This report documents the design, build, and findings of the Bluestock Mutual Fund Analytics Platform — a seven-day individual capstone project that takes raw, publicly-sourced Indian mutual fund data through a complete data engineering pipeline: extraction, cleaning, relational storage, exploratory analysis, performance/risk quantification, and an interactive four-page Power BI dashboard.</w:t>
      </w:r>
    </w:p>
    <w:p>
      <w:pPr>
        <w:spacing w:after="160"/>
      </w:pPr>
      <w:r>
        <w:t xml:space="preserve">The project covers 40 real mutual fund schemes across 10 AMCs, built on roughly 46,000 NAV observations spanning January 2022 to May 2026, ~32,800 simulated investor transactions across 5,000 investors, and supporting industry datasets (AUM, SIP inflows, folio counts, category flows, benchmark indices, and portfolio holdings). All fund identifiers, NAV anchors, and AUM figures are sourced from real AMFI/mfapi.in data; investor transaction records are synthetically generated using realistic demographic and behavioural distributions.</w:t>
      </w:r>
    </w:p>
    <w:p>
      <w:pPr>
        <w:spacing w:after="160"/>
      </w:pPr>
      <w:r>
        <w:t xml:space="preserve">Key outcomes:</w:t>
      </w:r>
    </w:p>
    <w:p>
      <w:pPr>
        <w:pStyle w:val="ListParagraph"/>
        <w:numPr>
          <w:ilvl w:val="0"/>
          <w:numId w:val="1"/>
        </w:numPr>
        <w:spacing w:after="90"/>
      </w:pPr>
      <w:r>
        <w:t xml:space="preserve">A 7-table SQLite star schema (dim_fund, dim_date, fact_nav, fact_transactions, fact_performance, fact_aum, fact_sip_industry) loaded via a reproducible Python ETL pipeline.</w:t>
      </w:r>
    </w:p>
    <w:p>
      <w:pPr>
        <w:pStyle w:val="ListParagraph"/>
        <w:numPr>
          <w:ilvl w:val="0"/>
          <w:numId w:val="1"/>
        </w:numPr>
        <w:spacing w:after="90"/>
      </w:pPr>
      <w:r>
        <w:t xml:space="preserve">19+ exploratory and advanced-analytics charts covering NAV trends, AUM growth, SIP flows, investor demographics, correlation structure, and sector allocation.</w:t>
      </w:r>
    </w:p>
    <w:p>
      <w:pPr>
        <w:pStyle w:val="ListParagraph"/>
        <w:numPr>
          <w:ilvl w:val="0"/>
          <w:numId w:val="1"/>
        </w:numPr>
        <w:spacing w:after="90"/>
      </w:pPr>
      <w:r>
        <w:t xml:space="preserve">A full performance and risk-metrics suite — CAGR, Sharpe, Sortino, Alpha/Beta vs Nifty 100, Maximum Drawdown, and a composite 0–100 fund scorecard — plus advanced risk analytics (VaR/CVaR, rolling Sharpe, cohort analysis, SIP continuity, sector concentration/HHI, and a simple risk-based fund recommender).</w:t>
      </w:r>
    </w:p>
    <w:p>
      <w:pPr>
        <w:pStyle w:val="ListParagraph"/>
        <w:numPr>
          <w:ilvl w:val="0"/>
          <w:numId w:val="1"/>
        </w:numPr>
        <w:spacing w:after="90"/>
      </w:pPr>
      <w:r>
        <w:t xml:space="preserve">A 4-page interactive Power BI dashboard (Industry Overview, Fund Performance, Investor Analytics, SIP &amp; Market Trends) with cross-filtering slicers on every page.</w:t>
      </w:r>
    </w:p>
    <w:p>
      <w:pPr>
        <w:spacing w:after="160"/>
      </w:pPr>
      <w:r>
        <w:t xml:space="preserve">The single strongest finding across the whole project is a data-quality/behavioural insight rather than a market one: 97.8% of long-term SIP investors (6+ SIP payments) show an average gap of more than 35 days between consecutive SIPs — meaning the overwhelming majority of “regular” SIP investors in this dataset are not actually maintaining a disciplined monthly cadence. This has direct implications for AMC retention strategy and is discussed further in Section 8.</w:t>
      </w:r>
    </w:p>
    <w:p>
      <w:pPr>
        <w:pStyle w:val="Heading1"/>
        <w:spacing w:after="200" w:before="400"/>
      </w:pPr>
      <w:r>
        <w:t xml:space="preserve">2. Data Sources &amp; Datasets</w:t>
      </w:r>
    </w:p>
    <w:p>
      <w:pPr>
        <w:spacing w:after="160"/>
      </w:pPr>
      <w:r>
        <w:t xml:space="preserve">All datasets are derived from publicly available sources: AMFI India (NAV, AUM, folio, SIP data), the mfapi.in REST API (live historical NAV, no authentication required), and NSE/BSE public benchmark index data. Ten pre-packaged CSV datasets were supplied as the primary input, supplemented by six additional live NAV pulls from mfapi.in for validation.</w:t>
      </w:r>
    </w:p>
    <w:p>
      <w:pPr>
        <w:pStyle w:val="Heading2"/>
        <w:spacing w:after="150" w:before="300"/>
      </w:pPr>
      <w:r>
        <w:t xml:space="preserve">2.1 Dataset Inventory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00"/>
      </w:tblGrid>
      <w:tr>
        <w:trPr>
          <w:tblHeader/>
        </w:trPr>
        <w:tc>
          <w:tcPr>
            <w:tcW w:type="dxa" w:w="3600"/>
            <w:shd w:fill="1E2761" w:val="clear"/>
          </w:tcPr>
          <w:p>
            <w:r>
              <w:rPr>
                <w:b/>
                <w:bCs/>
                <w:color w:val="FFFFFF"/>
                <w:sz w:val="20"/>
                <w:szCs w:val="20"/>
              </w:rPr>
              <w:t xml:space="preserve">Dataset</w:t>
            </w:r>
          </w:p>
        </w:tc>
        <w:tc>
          <w:tcPr>
            <w:tcW w:type="dxa" w:w="1400"/>
            <w:shd w:fill="1E2761" w:val="clear"/>
          </w:tcPr>
          <w:p>
            <w:r>
              <w:rPr>
                <w:b/>
                <w:bCs/>
                <w:color w:val="FFFFFF"/>
                <w:sz w:val="20"/>
                <w:szCs w:val="20"/>
              </w:rPr>
              <w:t xml:space="preserve">Rows</w:t>
            </w:r>
          </w:p>
        </w:tc>
        <w:tc>
          <w:tcPr>
            <w:tcW w:type="dxa" w:w="5000"/>
            <w:shd w:fill="1E2761" w:val="clear"/>
          </w:tcPr>
          <w:p>
            <w:r>
              <w:rPr>
                <w:b/>
                <w:bCs/>
                <w:color w:val="FFFFFF"/>
                <w:sz w:val="20"/>
                <w:szCs w:val="20"/>
              </w:rPr>
              <w:t xml:space="preserve">Description</w:t>
            </w:r>
          </w:p>
        </w:tc>
      </w:tr>
      <w:tr>
        <w:tc>
          <w:tcPr>
            <w:tcW w:type="dxa" w:w="3600"/>
            <w:shd w:fill="FFFFFF" w:val="clear"/>
          </w:tcPr>
          <w:p>
            <w:r>
              <w:rPr>
                <w:sz w:val="20"/>
                <w:szCs w:val="20"/>
              </w:rPr>
              <w:t xml:space="preserve">01_fund_master.csv</w:t>
            </w:r>
          </w:p>
        </w:tc>
        <w:tc>
          <w:tcPr>
            <w:tcW w:type="dxa" w:w="1400"/>
            <w:shd w:fill="FFFFFF" w:val="clear"/>
          </w:tcPr>
          <w:p>
            <w:r>
              <w:rPr>
                <w:sz w:val="20"/>
                <w:szCs w:val="20"/>
              </w:rPr>
              <w:t xml:space="preserve">40</w:t>
            </w:r>
          </w:p>
        </w:tc>
        <w:tc>
          <w:tcPr>
            <w:tcW w:type="dxa" w:w="5000"/>
            <w:shd w:fill="FFFFFF" w:val="clear"/>
          </w:tcPr>
          <w:p>
            <w:r>
              <w:rPr>
                <w:sz w:val="20"/>
                <w:szCs w:val="20"/>
              </w:rPr>
              <w:t xml:space="preserve">Master list of 40 real schemes — AMFI codes, fund house, category, expense ratio, risk grade</w:t>
            </w:r>
          </w:p>
        </w:tc>
      </w:tr>
      <w:tr>
        <w:tc>
          <w:tcPr>
            <w:tcW w:type="dxa" w:w="3600"/>
            <w:shd w:fill="F2F4FA" w:val="clear"/>
          </w:tcPr>
          <w:p>
            <w:r>
              <w:rPr>
                <w:sz w:val="20"/>
                <w:szCs w:val="20"/>
              </w:rPr>
              <w:t xml:space="preserve">02_nav_history.csv</w:t>
            </w:r>
          </w:p>
        </w:tc>
        <w:tc>
          <w:tcPr>
            <w:tcW w:type="dxa" w:w="1400"/>
            <w:shd w:fill="F2F4FA" w:val="clear"/>
          </w:tcPr>
          <w:p>
            <w:r>
              <w:rPr>
                <w:sz w:val="20"/>
                <w:szCs w:val="20"/>
              </w:rPr>
              <w:t xml:space="preserve">~46,000</w:t>
            </w:r>
          </w:p>
        </w:tc>
        <w:tc>
          <w:tcPr>
            <w:tcW w:type="dxa" w:w="5000"/>
            <w:shd w:fill="F2F4FA" w:val="clear"/>
          </w:tcPr>
          <w:p>
            <w:r>
              <w:rPr>
                <w:sz w:val="20"/>
                <w:szCs w:val="20"/>
              </w:rPr>
              <w:t xml:space="preserve">Daily NAV for all 40 schemes, Jan 2022 – May 2026</w:t>
            </w:r>
          </w:p>
        </w:tc>
      </w:tr>
      <w:tr>
        <w:tc>
          <w:tcPr>
            <w:tcW w:type="dxa" w:w="3600"/>
            <w:shd w:fill="FFFFFF" w:val="clear"/>
          </w:tcPr>
          <w:p>
            <w:r>
              <w:rPr>
                <w:sz w:val="20"/>
                <w:szCs w:val="20"/>
              </w:rPr>
              <w:t xml:space="preserve">03_aum_by_fund_house.csv</w:t>
            </w:r>
          </w:p>
        </w:tc>
        <w:tc>
          <w:tcPr>
            <w:tcW w:type="dxa" w:w="1400"/>
            <w:shd w:fill="FFFFFF" w:val="clear"/>
          </w:tcPr>
          <w:p>
            <w:r>
              <w:rPr>
                <w:sz w:val="20"/>
                <w:szCs w:val="20"/>
              </w:rPr>
              <w:t xml:space="preserve">~90</w:t>
            </w:r>
          </w:p>
        </w:tc>
        <w:tc>
          <w:tcPr>
            <w:tcW w:type="dxa" w:w="5000"/>
            <w:shd w:fill="FFFFFF" w:val="clear"/>
          </w:tcPr>
          <w:p>
            <w:r>
              <w:rPr>
                <w:sz w:val="20"/>
                <w:szCs w:val="20"/>
              </w:rPr>
              <w:t xml:space="preserve">Quarterly AUM (Rs. crore) for 10 fund houses, 2022–2025</w:t>
            </w:r>
          </w:p>
        </w:tc>
      </w:tr>
      <w:tr>
        <w:tc>
          <w:tcPr>
            <w:tcW w:type="dxa" w:w="3600"/>
            <w:shd w:fill="F2F4FA" w:val="clear"/>
          </w:tcPr>
          <w:p>
            <w:r>
              <w:rPr>
                <w:sz w:val="20"/>
                <w:szCs w:val="20"/>
              </w:rPr>
              <w:t xml:space="preserve">04_monthly_sip_inflows.csv</w:t>
            </w:r>
          </w:p>
        </w:tc>
        <w:tc>
          <w:tcPr>
            <w:tcW w:type="dxa" w:w="1400"/>
            <w:shd w:fill="F2F4FA" w:val="clear"/>
          </w:tcPr>
          <w:p>
            <w:r>
              <w:rPr>
                <w:sz w:val="20"/>
                <w:szCs w:val="20"/>
              </w:rPr>
              <w:t xml:space="preserve">48</w:t>
            </w:r>
          </w:p>
        </w:tc>
        <w:tc>
          <w:tcPr>
            <w:tcW w:type="dxa" w:w="5000"/>
            <w:shd w:fill="F2F4FA" w:val="clear"/>
          </w:tcPr>
          <w:p>
            <w:r>
              <w:rPr>
                <w:sz w:val="20"/>
                <w:szCs w:val="20"/>
              </w:rPr>
              <w:t xml:space="preserve">Month-wise SIP inflow, active SIP accounts, new registrations</w:t>
            </w:r>
          </w:p>
        </w:tc>
      </w:tr>
      <w:tr>
        <w:tc>
          <w:tcPr>
            <w:tcW w:type="dxa" w:w="3600"/>
            <w:shd w:fill="FFFFFF" w:val="clear"/>
          </w:tcPr>
          <w:p>
            <w:r>
              <w:rPr>
                <w:sz w:val="20"/>
                <w:szCs w:val="20"/>
              </w:rPr>
              <w:t xml:space="preserve">05_category_inflows.csv</w:t>
            </w:r>
          </w:p>
        </w:tc>
        <w:tc>
          <w:tcPr>
            <w:tcW w:type="dxa" w:w="1400"/>
            <w:shd w:fill="FFFFFF" w:val="clear"/>
          </w:tcPr>
          <w:p>
            <w:r>
              <w:rPr>
                <w:sz w:val="20"/>
                <w:szCs w:val="20"/>
              </w:rPr>
              <w:t xml:space="preserve">~144</w:t>
            </w:r>
          </w:p>
        </w:tc>
        <w:tc>
          <w:tcPr>
            <w:tcW w:type="dxa" w:w="5000"/>
            <w:shd w:fill="FFFFFF" w:val="clear"/>
          </w:tcPr>
          <w:p>
            <w:r>
              <w:rPr>
                <w:sz w:val="20"/>
                <w:szCs w:val="20"/>
              </w:rPr>
              <w:t xml:space="preserve">Net inflows by fund category, FY 2024–25</w:t>
            </w:r>
          </w:p>
        </w:tc>
      </w:tr>
      <w:tr>
        <w:tc>
          <w:tcPr>
            <w:tcW w:type="dxa" w:w="3600"/>
            <w:shd w:fill="F2F4FA" w:val="clear"/>
          </w:tcPr>
          <w:p>
            <w:r>
              <w:rPr>
                <w:sz w:val="20"/>
                <w:szCs w:val="20"/>
              </w:rPr>
              <w:t xml:space="preserve">06_industry_folio_count.csv</w:t>
            </w:r>
          </w:p>
        </w:tc>
        <w:tc>
          <w:tcPr>
            <w:tcW w:type="dxa" w:w="1400"/>
            <w:shd w:fill="F2F4FA" w:val="clear"/>
          </w:tcPr>
          <w:p>
            <w:r>
              <w:rPr>
                <w:sz w:val="20"/>
                <w:szCs w:val="20"/>
              </w:rPr>
              <w:t xml:space="preserve">21</w:t>
            </w:r>
          </w:p>
        </w:tc>
        <w:tc>
          <w:tcPr>
            <w:tcW w:type="dxa" w:w="5000"/>
            <w:shd w:fill="F2F4FA" w:val="clear"/>
          </w:tcPr>
          <w:p>
            <w:r>
              <w:rPr>
                <w:sz w:val="20"/>
                <w:szCs w:val="20"/>
              </w:rPr>
              <w:t xml:space="preserve">Total MF folios (crore), by Equity/Debt/Hybrid</w:t>
            </w:r>
          </w:p>
        </w:tc>
      </w:tr>
      <w:tr>
        <w:tc>
          <w:tcPr>
            <w:tcW w:type="dxa" w:w="3600"/>
            <w:shd w:fill="FFFFFF" w:val="clear"/>
          </w:tcPr>
          <w:p>
            <w:r>
              <w:rPr>
                <w:sz w:val="20"/>
                <w:szCs w:val="20"/>
              </w:rPr>
              <w:t xml:space="preserve">07_scheme_performance.csv</w:t>
            </w:r>
          </w:p>
        </w:tc>
        <w:tc>
          <w:tcPr>
            <w:tcW w:type="dxa" w:w="1400"/>
            <w:shd w:fill="FFFFFF" w:val="clear"/>
          </w:tcPr>
          <w:p>
            <w:r>
              <w:rPr>
                <w:sz w:val="20"/>
                <w:szCs w:val="20"/>
              </w:rPr>
              <w:t xml:space="preserve">40</w:t>
            </w:r>
          </w:p>
        </w:tc>
        <w:tc>
          <w:tcPr>
            <w:tcW w:type="dxa" w:w="5000"/>
            <w:shd w:fill="FFFFFF" w:val="clear"/>
          </w:tcPr>
          <w:p>
            <w:r>
              <w:rPr>
                <w:sz w:val="20"/>
                <w:szCs w:val="20"/>
              </w:rPr>
              <w:t xml:space="preserve">1/3/5yr returns, Sharpe, Sortino, Alpha, Beta, Max Drawdown</w:t>
            </w:r>
          </w:p>
        </w:tc>
      </w:tr>
      <w:tr>
        <w:tc>
          <w:tcPr>
            <w:tcW w:type="dxa" w:w="3600"/>
            <w:shd w:fill="F2F4FA" w:val="clear"/>
          </w:tcPr>
          <w:p>
            <w:r>
              <w:rPr>
                <w:sz w:val="20"/>
                <w:szCs w:val="20"/>
              </w:rPr>
              <w:t xml:space="preserve">08_investor_transactions.csv</w:t>
            </w:r>
          </w:p>
        </w:tc>
        <w:tc>
          <w:tcPr>
            <w:tcW w:type="dxa" w:w="1400"/>
            <w:shd w:fill="F2F4FA" w:val="clear"/>
          </w:tcPr>
          <w:p>
            <w:r>
              <w:rPr>
                <w:sz w:val="20"/>
                <w:szCs w:val="20"/>
              </w:rPr>
              <w:t xml:space="preserve">~32,800</w:t>
            </w:r>
          </w:p>
        </w:tc>
        <w:tc>
          <w:tcPr>
            <w:tcW w:type="dxa" w:w="5000"/>
            <w:shd w:fill="F2F4FA" w:val="clear"/>
          </w:tcPr>
          <w:p>
            <w:r>
              <w:rPr>
                <w:sz w:val="20"/>
                <w:szCs w:val="20"/>
              </w:rPr>
              <w:t xml:space="preserve">Simulated SIP/Lumpsum/Redemption transactions, 5,000 investors</w:t>
            </w:r>
          </w:p>
        </w:tc>
      </w:tr>
      <w:tr>
        <w:tc>
          <w:tcPr>
            <w:tcW w:type="dxa" w:w="3600"/>
            <w:shd w:fill="FFFFFF" w:val="clear"/>
          </w:tcPr>
          <w:p>
            <w:r>
              <w:rPr>
                <w:sz w:val="20"/>
                <w:szCs w:val="20"/>
              </w:rPr>
              <w:t xml:space="preserve">09_portfolio_holdings.csv</w:t>
            </w:r>
          </w:p>
        </w:tc>
        <w:tc>
          <w:tcPr>
            <w:tcW w:type="dxa" w:w="1400"/>
            <w:shd w:fill="FFFFFF" w:val="clear"/>
          </w:tcPr>
          <w:p>
            <w:r>
              <w:rPr>
                <w:sz w:val="20"/>
                <w:szCs w:val="20"/>
              </w:rPr>
              <w:t xml:space="preserve">~320</w:t>
            </w:r>
          </w:p>
        </w:tc>
        <w:tc>
          <w:tcPr>
            <w:tcW w:type="dxa" w:w="5000"/>
            <w:shd w:fill="FFFFFF" w:val="clear"/>
          </w:tcPr>
          <w:p>
            <w:r>
              <w:rPr>
                <w:sz w:val="20"/>
                <w:szCs w:val="20"/>
              </w:rPr>
              <w:t xml:space="preserve">Top equity holdings by stock, weight %, sector</w:t>
            </w:r>
          </w:p>
        </w:tc>
      </w:tr>
      <w:tr>
        <w:tc>
          <w:tcPr>
            <w:tcW w:type="dxa" w:w="3600"/>
            <w:shd w:fill="F2F4FA" w:val="clear"/>
          </w:tcPr>
          <w:p>
            <w:r>
              <w:rPr>
                <w:sz w:val="20"/>
                <w:szCs w:val="20"/>
              </w:rPr>
              <w:t xml:space="preserve">10_benchmark_indices.csv</w:t>
            </w:r>
          </w:p>
        </w:tc>
        <w:tc>
          <w:tcPr>
            <w:tcW w:type="dxa" w:w="1400"/>
            <w:shd w:fill="F2F4FA" w:val="clear"/>
          </w:tcPr>
          <w:p>
            <w:r>
              <w:rPr>
                <w:sz w:val="20"/>
                <w:szCs w:val="20"/>
              </w:rPr>
              <w:t xml:space="preserve">~8,050</w:t>
            </w:r>
          </w:p>
        </w:tc>
        <w:tc>
          <w:tcPr>
            <w:tcW w:type="dxa" w:w="5000"/>
            <w:shd w:fill="F2F4FA" w:val="clear"/>
          </w:tcPr>
          <w:p>
            <w:r>
              <w:rPr>
                <w:sz w:val="20"/>
                <w:szCs w:val="20"/>
              </w:rPr>
              <w:t xml:space="preserve">Daily close values — Nifty 50/100/Midcap150, BSE SmallCap, CRISIL Liquid/Gilt</w:t>
            </w:r>
          </w:p>
        </w:tc>
      </w:tr>
    </w:tbl>
    <w:p>
      <w:pPr>
        <w:spacing w:after="200"/>
      </w:pPr>
    </w:p>
    <w:p>
      <w:pPr>
        <w:pStyle w:val="Heading2"/>
        <w:spacing w:after="150" w:before="300"/>
      </w:pPr>
      <w:r>
        <w:t xml:space="preserve">2.2 Key Real-World Data Points Embedded</w:t>
      </w:r>
    </w:p>
    <w:p>
      <w:pPr>
        <w:pStyle w:val="ListParagraph"/>
        <w:numPr>
          <w:ilvl w:val="0"/>
          <w:numId w:val="1"/>
        </w:numPr>
        <w:spacing w:after="90"/>
      </w:pPr>
      <w:r>
        <w:t xml:space="preserve">SBI Mutual Fund AUM (Dec 2025): Rs. 12.50 lakh crore — largest AMC in India.</w:t>
      </w:r>
    </w:p>
    <w:p>
      <w:pPr>
        <w:pStyle w:val="ListParagraph"/>
        <w:numPr>
          <w:ilvl w:val="0"/>
          <w:numId w:val="1"/>
        </w:numPr>
        <w:spacing w:after="90"/>
      </w:pPr>
      <w:r>
        <w:t xml:space="preserve">SIP inflow (Dec 2025): Rs. 31,002 crore — all-time high at time of project.</w:t>
      </w:r>
    </w:p>
    <w:p>
      <w:pPr>
        <w:pStyle w:val="ListParagraph"/>
        <w:numPr>
          <w:ilvl w:val="0"/>
          <w:numId w:val="1"/>
        </w:numPr>
        <w:spacing w:after="90"/>
      </w:pPr>
      <w:r>
        <w:t xml:space="preserve">Total MF folios (Dec 2025): 26.12 crore.</w:t>
      </w:r>
    </w:p>
    <w:p>
      <w:pPr>
        <w:pStyle w:val="ListParagraph"/>
        <w:numPr>
          <w:ilvl w:val="0"/>
          <w:numId w:val="1"/>
        </w:numPr>
        <w:spacing w:after="90"/>
      </w:pPr>
      <w:r>
        <w:t xml:space="preserve">Industry AUM (Dec 2025): Rs. 81 lakh crore.</w:t>
      </w:r>
    </w:p>
    <w:p>
      <w:pPr>
        <w:spacing w:after="160"/>
      </w:pPr>
      <w:r>
        <w:t xml:space="preserve">Note: this project's own analytics operate on a 40-scheme sample rather than the full 1,908-scheme industry, so dashboard KPI totals (e.g. sample “Total AUM”) are proportionally smaller than the headline industry figures quoted above — see Section 10, Limitations.</w:t>
      </w:r>
    </w:p>
    <w:p>
      <w:pPr>
        <w:pStyle w:val="Heading1"/>
        <w:spacing w:after="200" w:before="400"/>
      </w:pPr>
      <w:r>
        <w:t xml:space="preserve">3. System Architecture &amp; ETL Design</w:t>
      </w:r>
    </w:p>
    <w:p>
      <w:pPr>
        <w:spacing w:after="160"/>
      </w:pPr>
      <w:r>
        <w:t xml:space="preserve">The pipeline follows a standard Extract → Transform → Load → Analyse → Visualise architecture, mirroring real-world fintech data pipelines.</w:t>
      </w:r>
    </w:p>
    <w:p>
      <w:pPr>
        <w:pStyle w:val="Heading2"/>
        <w:spacing w:after="150" w:before="300"/>
      </w:pPr>
      <w:r>
        <w:t xml:space="preserve">3.1 Extract</w:t>
      </w:r>
    </w:p>
    <w:p>
      <w:pPr>
        <w:pStyle w:val="ListParagraph"/>
        <w:numPr>
          <w:ilvl w:val="0"/>
          <w:numId w:val="1"/>
        </w:numPr>
        <w:spacing w:after="90"/>
      </w:pPr>
      <w:r>
        <w:t xml:space="preserve">10 pre-packaged CSV datasets loaded and profiled (scripts/data_ingestion.py).</w:t>
      </w:r>
    </w:p>
    <w:p>
      <w:pPr>
        <w:pStyle w:val="ListParagraph"/>
        <w:numPr>
          <w:ilvl w:val="0"/>
          <w:numId w:val="1"/>
        </w:numPr>
        <w:spacing w:after="90"/>
      </w:pPr>
      <w:r>
        <w:t xml:space="preserve">Live NAV pulled from the mfapi.in REST API for 6 schemes (HDFC Top 100, SBI Bluechip, ICICI Bluechip, Nippon Large Cap, Axis Bluechip, Kotak Bluechip) via scripts/live_nav_fetch.py — no authentication required.</w:t>
      </w:r>
    </w:p>
    <w:p>
      <w:pPr>
        <w:pStyle w:val="Heading2"/>
        <w:spacing w:after="150" w:before="300"/>
      </w:pPr>
      <w:r>
        <w:t xml:space="preserve">3.2 Transform</w:t>
      </w:r>
    </w:p>
    <w:p>
      <w:pPr>
        <w:pStyle w:val="ListParagraph"/>
        <w:numPr>
          <w:ilvl w:val="0"/>
          <w:numId w:val="1"/>
        </w:numPr>
        <w:spacing w:after="90"/>
      </w:pPr>
      <w:r>
        <w:t xml:space="preserve">Dates parsed to proper datetime types; NAV series sorted per fund and forward-filled across weekends/holidays.</w:t>
      </w:r>
    </w:p>
    <w:p>
      <w:pPr>
        <w:pStyle w:val="ListParagraph"/>
        <w:numPr>
          <w:ilvl w:val="0"/>
          <w:numId w:val="1"/>
        </w:numPr>
        <w:spacing w:after="90"/>
      </w:pPr>
      <w:r>
        <w:t xml:space="preserve">Duplicate rows removed; NAV values validated as strictly positive.</w:t>
      </w:r>
    </w:p>
    <w:p>
      <w:pPr>
        <w:pStyle w:val="ListParagraph"/>
        <w:numPr>
          <w:ilvl w:val="0"/>
          <w:numId w:val="1"/>
        </w:numPr>
        <w:spacing w:after="90"/>
      </w:pPr>
      <w:r>
        <w:t xml:space="preserve">Transaction types standardised to title case (SIP / Lumpsum / Redemption); transaction amounts validated as positive; KYC status values checked against expected categories.</w:t>
      </w:r>
    </w:p>
    <w:p>
      <w:pPr>
        <w:pStyle w:val="ListParagraph"/>
        <w:numPr>
          <w:ilvl w:val="0"/>
          <w:numId w:val="1"/>
        </w:numPr>
        <w:spacing w:after="90"/>
      </w:pPr>
      <w:r>
        <w:t xml:space="preserve">Performance metrics coerced to numeric, with expense ratios and Sharpe ratios flagged for out-of-range values.</w:t>
      </w:r>
    </w:p>
    <w:p>
      <w:pPr>
        <w:pStyle w:val="Heading2"/>
        <w:spacing w:after="150" w:before="300"/>
      </w:pPr>
      <w:r>
        <w:t xml:space="preserve">3.3 Load — Star Schema</w:t>
      </w:r>
    </w:p>
    <w:p>
      <w:pPr>
        <w:spacing w:after="160"/>
      </w:pPr>
      <w:r>
        <w:t xml:space="preserve">A star schema separates slow-changing descriptive attributes (dimensions) from fast-growing measurements (facts). dim_fund and dim_date describe “things” — a scheme, a calendar day — and change rarely. fact_nav, fact_transactions, fact_performance, fact_aum and fact_sip_industry record events and measurements, each referencing dim_fund via the amfi_code foreign key. This is the same pattern used by production BI systems at firms such as Zerodha, Groww and Paytm Money, and it is what allows Power BI to build clean relationships and cross-filter automatically across pages. Cleaned data is loaded into the schema via SQLAlchemy (scripts/load_to_db.py):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tblHeader/>
        </w:trPr>
        <w:tc>
          <w:tcPr>
            <w:tcW w:type="dxa" w:w="3000"/>
            <w:shd w:fill="1E2761" w:val="clear"/>
          </w:tcPr>
          <w:p>
            <w:r>
              <w:rPr>
                <w:b/>
                <w:bCs/>
                <w:color w:val="FFFFFF"/>
                <w:sz w:val="20"/>
                <w:szCs w:val="20"/>
              </w:rPr>
              <w:t xml:space="preserve">Table</w:t>
            </w:r>
          </w:p>
        </w:tc>
        <w:tc>
          <w:tcPr>
            <w:tcW w:type="dxa" w:w="2500"/>
            <w:shd w:fill="1E2761" w:val="clear"/>
          </w:tcPr>
          <w:p>
            <w:r>
              <w:rPr>
                <w:b/>
                <w:bCs/>
                <w:color w:val="FFFFFF"/>
                <w:sz w:val="20"/>
                <w:szCs w:val="20"/>
              </w:rPr>
              <w:t xml:space="preserve">Type</w:t>
            </w:r>
          </w:p>
        </w:tc>
        <w:tc>
          <w:tcPr>
            <w:tcW w:type="dxa" w:w="2500"/>
            <w:shd w:fill="1E2761" w:val="clear"/>
          </w:tcPr>
          <w:p>
            <w:r>
              <w:rPr>
                <w:b/>
                <w:bCs/>
                <w:color w:val="FFFFFF"/>
                <w:sz w:val="20"/>
                <w:szCs w:val="20"/>
              </w:rPr>
              <w:t xml:space="preserve">Rows</w:t>
            </w:r>
          </w:p>
        </w:tc>
      </w:tr>
      <w:tr>
        <w:tc>
          <w:tcPr>
            <w:tcW w:type="dxa" w:w="3000"/>
            <w:shd w:fill="FFFFFF" w:val="clear"/>
          </w:tcPr>
          <w:p>
            <w:r>
              <w:rPr>
                <w:sz w:val="20"/>
                <w:szCs w:val="20"/>
              </w:rPr>
              <w:t xml:space="preserve">dim_fund</w:t>
            </w:r>
          </w:p>
        </w:tc>
        <w:tc>
          <w:tcPr>
            <w:tcW w:type="dxa" w:w="2500"/>
            <w:shd w:fill="FFFFFF" w:val="clear"/>
          </w:tcPr>
          <w:p>
            <w:r>
              <w:rPr>
                <w:sz w:val="20"/>
                <w:szCs w:val="20"/>
              </w:rPr>
              <w:t xml:space="preserve">Dimension</w:t>
            </w:r>
          </w:p>
        </w:tc>
        <w:tc>
          <w:tcPr>
            <w:tcW w:type="dxa" w:w="2500"/>
            <w:shd w:fill="FFFFFF" w:val="clear"/>
          </w:tcPr>
          <w:p>
            <w:r>
              <w:rPr>
                <w:sz w:val="20"/>
                <w:szCs w:val="20"/>
              </w:rPr>
              <w:t xml:space="preserve">40</w:t>
            </w:r>
          </w:p>
        </w:tc>
      </w:tr>
      <w:tr>
        <w:tc>
          <w:tcPr>
            <w:tcW w:type="dxa" w:w="3000"/>
            <w:shd w:fill="F2F4FA" w:val="clear"/>
          </w:tcPr>
          <w:p>
            <w:r>
              <w:rPr>
                <w:sz w:val="20"/>
                <w:szCs w:val="20"/>
              </w:rPr>
              <w:t xml:space="preserve">dim_date</w:t>
            </w:r>
          </w:p>
        </w:tc>
        <w:tc>
          <w:tcPr>
            <w:tcW w:type="dxa" w:w="2500"/>
            <w:shd w:fill="F2F4FA" w:val="clear"/>
          </w:tcPr>
          <w:p>
            <w:r>
              <w:rPr>
                <w:sz w:val="20"/>
                <w:szCs w:val="20"/>
              </w:rPr>
              <w:t xml:space="preserve">Dimension</w:t>
            </w:r>
          </w:p>
        </w:tc>
        <w:tc>
          <w:tcPr>
            <w:tcW w:type="dxa" w:w="2500"/>
            <w:shd w:fill="F2F4FA" w:val="clear"/>
          </w:tcPr>
          <w:p>
            <w:r>
              <w:rPr>
                <w:sz w:val="20"/>
                <w:szCs w:val="20"/>
              </w:rPr>
              <w:t xml:space="preserve">~1,612</w:t>
            </w:r>
          </w:p>
        </w:tc>
      </w:tr>
      <w:tr>
        <w:tc>
          <w:tcPr>
            <w:tcW w:type="dxa" w:w="3000"/>
            <w:shd w:fill="FFFFFF" w:val="clear"/>
          </w:tcPr>
          <w:p>
            <w:r>
              <w:rPr>
                <w:sz w:val="20"/>
                <w:szCs w:val="20"/>
              </w:rPr>
              <w:t xml:space="preserve">fact_nav</w:t>
            </w:r>
          </w:p>
        </w:tc>
        <w:tc>
          <w:tcPr>
            <w:tcW w:type="dxa" w:w="2500"/>
            <w:shd w:fill="FFFFFF" w:val="clear"/>
          </w:tcPr>
          <w:p>
            <w:r>
              <w:rPr>
                <w:sz w:val="20"/>
                <w:szCs w:val="20"/>
              </w:rPr>
              <w:t xml:space="preserve">Fact</w:t>
            </w:r>
          </w:p>
        </w:tc>
        <w:tc>
          <w:tcPr>
            <w:tcW w:type="dxa" w:w="2500"/>
            <w:shd w:fill="FFFFFF" w:val="clear"/>
          </w:tcPr>
          <w:p>
            <w:r>
              <w:rPr>
                <w:sz w:val="20"/>
                <w:szCs w:val="20"/>
              </w:rPr>
              <w:t xml:space="preserve">46,000</w:t>
            </w:r>
          </w:p>
        </w:tc>
      </w:tr>
      <w:tr>
        <w:tc>
          <w:tcPr>
            <w:tcW w:type="dxa" w:w="3000"/>
            <w:shd w:fill="F2F4FA" w:val="clear"/>
          </w:tcPr>
          <w:p>
            <w:r>
              <w:rPr>
                <w:sz w:val="20"/>
                <w:szCs w:val="20"/>
              </w:rPr>
              <w:t xml:space="preserve">fact_transactions</w:t>
            </w:r>
          </w:p>
        </w:tc>
        <w:tc>
          <w:tcPr>
            <w:tcW w:type="dxa" w:w="2500"/>
            <w:shd w:fill="F2F4FA" w:val="clear"/>
          </w:tcPr>
          <w:p>
            <w:r>
              <w:rPr>
                <w:sz w:val="20"/>
                <w:szCs w:val="20"/>
              </w:rPr>
              <w:t xml:space="preserve">Fact</w:t>
            </w:r>
          </w:p>
        </w:tc>
        <w:tc>
          <w:tcPr>
            <w:tcW w:type="dxa" w:w="2500"/>
            <w:shd w:fill="F2F4FA" w:val="clear"/>
          </w:tcPr>
          <w:p>
            <w:r>
              <w:rPr>
                <w:sz w:val="20"/>
                <w:szCs w:val="20"/>
              </w:rPr>
              <w:t xml:space="preserve">32,778</w:t>
            </w:r>
          </w:p>
        </w:tc>
      </w:tr>
      <w:tr>
        <w:tc>
          <w:tcPr>
            <w:tcW w:type="dxa" w:w="3000"/>
            <w:shd w:fill="FFFFFF" w:val="clear"/>
          </w:tcPr>
          <w:p>
            <w:r>
              <w:rPr>
                <w:sz w:val="20"/>
                <w:szCs w:val="20"/>
              </w:rPr>
              <w:t xml:space="preserve">fact_performance</w:t>
            </w:r>
          </w:p>
        </w:tc>
        <w:tc>
          <w:tcPr>
            <w:tcW w:type="dxa" w:w="2500"/>
            <w:shd w:fill="FFFFFF" w:val="clear"/>
          </w:tcPr>
          <w:p>
            <w:r>
              <w:rPr>
                <w:sz w:val="20"/>
                <w:szCs w:val="20"/>
              </w:rPr>
              <w:t xml:space="preserve">Fact</w:t>
            </w:r>
          </w:p>
        </w:tc>
        <w:tc>
          <w:tcPr>
            <w:tcW w:type="dxa" w:w="2500"/>
            <w:shd w:fill="FFFFFF" w:val="clear"/>
          </w:tcPr>
          <w:p>
            <w:r>
              <w:rPr>
                <w:sz w:val="20"/>
                <w:szCs w:val="20"/>
              </w:rPr>
              <w:t xml:space="preserve">40</w:t>
            </w:r>
          </w:p>
        </w:tc>
      </w:tr>
      <w:tr>
        <w:tc>
          <w:tcPr>
            <w:tcW w:type="dxa" w:w="3000"/>
            <w:shd w:fill="F2F4FA" w:val="clear"/>
          </w:tcPr>
          <w:p>
            <w:r>
              <w:rPr>
                <w:sz w:val="20"/>
                <w:szCs w:val="20"/>
              </w:rPr>
              <w:t xml:space="preserve">fact_aum</w:t>
            </w:r>
          </w:p>
        </w:tc>
        <w:tc>
          <w:tcPr>
            <w:tcW w:type="dxa" w:w="2500"/>
            <w:shd w:fill="F2F4FA" w:val="clear"/>
          </w:tcPr>
          <w:p>
            <w:r>
              <w:rPr>
                <w:sz w:val="20"/>
                <w:szCs w:val="20"/>
              </w:rPr>
              <w:t xml:space="preserve">Fact</w:t>
            </w:r>
          </w:p>
        </w:tc>
        <w:tc>
          <w:tcPr>
            <w:tcW w:type="dxa" w:w="2500"/>
            <w:shd w:fill="F2F4FA" w:val="clear"/>
          </w:tcPr>
          <w:p>
            <w:r>
              <w:rPr>
                <w:sz w:val="20"/>
                <w:szCs w:val="20"/>
              </w:rPr>
              <w:t xml:space="preserve">90</w:t>
            </w:r>
          </w:p>
        </w:tc>
      </w:tr>
      <w:tr>
        <w:tc>
          <w:tcPr>
            <w:tcW w:type="dxa" w:w="3000"/>
            <w:shd w:fill="FFFFFF" w:val="clear"/>
          </w:tcPr>
          <w:p>
            <w:r>
              <w:rPr>
                <w:sz w:val="20"/>
                <w:szCs w:val="20"/>
              </w:rPr>
              <w:t xml:space="preserve">fact_sip_industry</w:t>
            </w:r>
          </w:p>
        </w:tc>
        <w:tc>
          <w:tcPr>
            <w:tcW w:type="dxa" w:w="2500"/>
            <w:shd w:fill="FFFFFF" w:val="clear"/>
          </w:tcPr>
          <w:p>
            <w:r>
              <w:rPr>
                <w:sz w:val="20"/>
                <w:szCs w:val="20"/>
              </w:rPr>
              <w:t xml:space="preserve">Fact</w:t>
            </w:r>
          </w:p>
        </w:tc>
        <w:tc>
          <w:tcPr>
            <w:tcW w:type="dxa" w:w="2500"/>
            <w:shd w:fill="FFFFFF" w:val="clear"/>
          </w:tcPr>
          <w:p>
            <w:r>
              <w:rPr>
                <w:sz w:val="20"/>
                <w:szCs w:val="20"/>
              </w:rPr>
              <w:t xml:space="preserve">48</w:t>
            </w:r>
          </w:p>
        </w:tc>
      </w:tr>
    </w:tbl>
    <w:p>
      <w:pPr>
        <w:spacing w:after="200"/>
      </w:pPr>
    </w:p>
    <w:p>
      <w:pPr>
        <w:pStyle w:val="Heading2"/>
        <w:spacing w:after="150" w:before="300"/>
      </w:pPr>
      <w:r>
        <w:t xml:space="preserve">3.4 Analyse &amp; Visualise</w:t>
      </w:r>
    </w:p>
    <w:p>
      <w:pPr>
        <w:spacing w:after="160"/>
      </w:pPr>
      <w:r>
        <w:t xml:space="preserve">Analysis was carried out across four Jupyter notebooks (EDA, Performance Analytics, Advanced Analytics) using pandas, NumPy, SciPy, Matplotlib, Seaborn and Plotly, with results surfaced in a 4-page Power BI dashboard built directly against the SQLite database and processed CSVs.</w:t>
      </w:r>
    </w:p>
    <w:p>
      <w:pPr>
        <w:pStyle w:val="Heading1"/>
        <w:spacing w:after="200" w:before="400"/>
      </w:pPr>
      <w:r>
        <w:t xml:space="preserve">4. Technical Stack</w:t>
      </w:r>
    </w:p>
    <w:p>
      <w:pPr>
        <w:spacing w:after="160"/>
      </w:pPr>
      <w:r>
        <w:t xml:space="preserve">The platform was built entirely on free, industry-standard tooling — no paid services or licences were required.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400"/>
      </w:tblGrid>
      <w:tr>
        <w:trPr>
          <w:tblHeader/>
        </w:trPr>
        <w:tc>
          <w:tcPr>
            <w:tcW w:type="dxa" w:w="2600"/>
            <w:shd w:fill="1E2761" w:val="clear"/>
          </w:tcPr>
          <w:p>
            <w:r>
              <w:rPr>
                <w:b/>
                <w:bCs/>
                <w:color w:val="FFFFFF"/>
                <w:sz w:val="20"/>
                <w:szCs w:val="20"/>
              </w:rPr>
              <w:t xml:space="preserve">Category</w:t>
            </w:r>
          </w:p>
        </w:tc>
        <w:tc>
          <w:tcPr>
            <w:tcW w:type="dxa" w:w="2800"/>
            <w:shd w:fill="1E2761" w:val="clear"/>
          </w:tcPr>
          <w:p>
            <w:r>
              <w:rPr>
                <w:b/>
                <w:bCs/>
                <w:color w:val="FFFFFF"/>
                <w:sz w:val="20"/>
                <w:szCs w:val="20"/>
              </w:rPr>
              <w:t xml:space="preserve">Tool / Library</w:t>
            </w:r>
          </w:p>
        </w:tc>
        <w:tc>
          <w:tcPr>
            <w:tcW w:type="dxa" w:w="3400"/>
            <w:shd w:fill="1E2761" w:val="clear"/>
          </w:tcPr>
          <w:p>
            <w:r>
              <w:rPr>
                <w:b/>
                <w:bCs/>
                <w:color w:val="FFFFFF"/>
                <w:sz w:val="20"/>
                <w:szCs w:val="20"/>
              </w:rPr>
              <w:t xml:space="preserve">Purpose</w:t>
            </w:r>
          </w:p>
        </w:tc>
      </w:tr>
      <w:tr>
        <w:tc>
          <w:tcPr>
            <w:tcW w:type="dxa" w:w="2600"/>
            <w:shd w:fill="FFFFFF" w:val="clear"/>
          </w:tcPr>
          <w:p>
            <w:r>
              <w:rPr>
                <w:sz w:val="20"/>
                <w:szCs w:val="20"/>
              </w:rPr>
              <w:t xml:space="preserve">Language</w:t>
            </w:r>
          </w:p>
        </w:tc>
        <w:tc>
          <w:tcPr>
            <w:tcW w:type="dxa" w:w="2800"/>
            <w:shd w:fill="FFFFFF" w:val="clear"/>
          </w:tcPr>
          <w:p>
            <w:r>
              <w:rPr>
                <w:sz w:val="20"/>
                <w:szCs w:val="20"/>
              </w:rPr>
              <w:t xml:space="preserve">Python 3.13</w:t>
            </w:r>
          </w:p>
        </w:tc>
        <w:tc>
          <w:tcPr>
            <w:tcW w:type="dxa" w:w="3400"/>
            <w:shd w:fill="FFFFFF" w:val="clear"/>
          </w:tcPr>
          <w:p>
            <w:r>
              <w:rPr>
                <w:sz w:val="20"/>
                <w:szCs w:val="20"/>
              </w:rPr>
              <w:t xml:space="preserve">All data processing, ETL, analytics</w:t>
            </w:r>
          </w:p>
        </w:tc>
      </w:tr>
      <w:tr>
        <w:tc>
          <w:tcPr>
            <w:tcW w:type="dxa" w:w="2600"/>
            <w:shd w:fill="F2F4FA" w:val="clear"/>
          </w:tcPr>
          <w:p>
            <w:r>
              <w:rPr>
                <w:sz w:val="20"/>
                <w:szCs w:val="20"/>
              </w:rPr>
              <w:t xml:space="preserve">Data manipulation</w:t>
            </w:r>
          </w:p>
        </w:tc>
        <w:tc>
          <w:tcPr>
            <w:tcW w:type="dxa" w:w="2800"/>
            <w:shd w:fill="F2F4FA" w:val="clear"/>
          </w:tcPr>
          <w:p>
            <w:r>
              <w:rPr>
                <w:sz w:val="20"/>
                <w:szCs w:val="20"/>
              </w:rPr>
              <w:t xml:space="preserve">Pandas 2.x</w:t>
            </w:r>
          </w:p>
        </w:tc>
        <w:tc>
          <w:tcPr>
            <w:tcW w:type="dxa" w:w="3400"/>
            <w:shd w:fill="F2F4FA" w:val="clear"/>
          </w:tcPr>
          <w:p>
            <w:r>
              <w:rPr>
                <w:sz w:val="20"/>
                <w:szCs w:val="20"/>
              </w:rPr>
              <w:t xml:space="preserve">DataFrames, cleaning, aggregation</w:t>
            </w:r>
          </w:p>
        </w:tc>
      </w:tr>
      <w:tr>
        <w:tc>
          <w:tcPr>
            <w:tcW w:type="dxa" w:w="2600"/>
            <w:shd w:fill="FFFFFF" w:val="clear"/>
          </w:tcPr>
          <w:p>
            <w:r>
              <w:rPr>
                <w:sz w:val="20"/>
                <w:szCs w:val="20"/>
              </w:rPr>
              <w:t xml:space="preserve">Numerical computing</w:t>
            </w:r>
          </w:p>
        </w:tc>
        <w:tc>
          <w:tcPr>
            <w:tcW w:type="dxa" w:w="2800"/>
            <w:shd w:fill="FFFFFF" w:val="clear"/>
          </w:tcPr>
          <w:p>
            <w:r>
              <w:rPr>
                <w:sz w:val="20"/>
                <w:szCs w:val="20"/>
              </w:rPr>
              <w:t xml:space="preserve">NumPy</w:t>
            </w:r>
          </w:p>
        </w:tc>
        <w:tc>
          <w:tcPr>
            <w:tcW w:type="dxa" w:w="3400"/>
            <w:shd w:fill="FFFFFF" w:val="clear"/>
          </w:tcPr>
          <w:p>
            <w:r>
              <w:rPr>
                <w:sz w:val="20"/>
                <w:szCs w:val="20"/>
              </w:rPr>
              <w:t xml:space="preserve">Risk metrics, statistical functions</w:t>
            </w:r>
          </w:p>
        </w:tc>
      </w:tr>
      <w:tr>
        <w:tc>
          <w:tcPr>
            <w:tcW w:type="dxa" w:w="2600"/>
            <w:shd w:fill="F2F4FA" w:val="clear"/>
          </w:tcPr>
          <w:p>
            <w:r>
              <w:rPr>
                <w:sz w:val="20"/>
                <w:szCs w:val="20"/>
              </w:rPr>
              <w:t xml:space="preserve">Statistics</w:t>
            </w:r>
          </w:p>
        </w:tc>
        <w:tc>
          <w:tcPr>
            <w:tcW w:type="dxa" w:w="2800"/>
            <w:shd w:fill="F2F4FA" w:val="clear"/>
          </w:tcPr>
          <w:p>
            <w:r>
              <w:rPr>
                <w:sz w:val="20"/>
                <w:szCs w:val="20"/>
              </w:rPr>
              <w:t xml:space="preserve">SciPy</w:t>
            </w:r>
          </w:p>
        </w:tc>
        <w:tc>
          <w:tcPr>
            <w:tcW w:type="dxa" w:w="3400"/>
            <w:shd w:fill="F2F4FA" w:val="clear"/>
          </w:tcPr>
          <w:p>
            <w:r>
              <w:rPr>
                <w:sz w:val="20"/>
                <w:szCs w:val="20"/>
              </w:rPr>
              <w:t xml:space="preserve">OLS regression for Alpha/Beta</w:t>
            </w:r>
          </w:p>
        </w:tc>
      </w:tr>
      <w:tr>
        <w:tc>
          <w:tcPr>
            <w:tcW w:type="dxa" w:w="2600"/>
            <w:shd w:fill="FFFFFF" w:val="clear"/>
          </w:tcPr>
          <w:p>
            <w:r>
              <w:rPr>
                <w:sz w:val="20"/>
                <w:szCs w:val="20"/>
              </w:rPr>
              <w:t xml:space="preserve">Visualisation</w:t>
            </w:r>
          </w:p>
        </w:tc>
        <w:tc>
          <w:tcPr>
            <w:tcW w:type="dxa" w:w="2800"/>
            <w:shd w:fill="FFFFFF" w:val="clear"/>
          </w:tcPr>
          <w:p>
            <w:r>
              <w:rPr>
                <w:sz w:val="20"/>
                <w:szCs w:val="20"/>
              </w:rPr>
              <w:t xml:space="preserve">Matplotlib / Seaborn</w:t>
            </w:r>
          </w:p>
        </w:tc>
        <w:tc>
          <w:tcPr>
            <w:tcW w:type="dxa" w:w="3400"/>
            <w:shd w:fill="FFFFFF" w:val="clear"/>
          </w:tcPr>
          <w:p>
            <w:r>
              <w:rPr>
                <w:sz w:val="20"/>
                <w:szCs w:val="20"/>
              </w:rPr>
              <w:t xml:space="preserve">Static charts for the report</w:t>
            </w:r>
          </w:p>
        </w:tc>
      </w:tr>
      <w:tr>
        <w:tc>
          <w:tcPr>
            <w:tcW w:type="dxa" w:w="2600"/>
            <w:shd w:fill="F2F4FA" w:val="clear"/>
          </w:tcPr>
          <w:p>
            <w:r>
              <w:rPr>
                <w:sz w:val="20"/>
                <w:szCs w:val="20"/>
              </w:rPr>
              <w:t xml:space="preserve">Visualisation</w:t>
            </w:r>
          </w:p>
        </w:tc>
        <w:tc>
          <w:tcPr>
            <w:tcW w:type="dxa" w:w="2800"/>
            <w:shd w:fill="F2F4FA" w:val="clear"/>
          </w:tcPr>
          <w:p>
            <w:r>
              <w:rPr>
                <w:sz w:val="20"/>
                <w:szCs w:val="20"/>
              </w:rPr>
              <w:t xml:space="preserve">Plotly</w:t>
            </w:r>
          </w:p>
        </w:tc>
        <w:tc>
          <w:tcPr>
            <w:tcW w:type="dxa" w:w="3400"/>
            <w:shd w:fill="F2F4FA" w:val="clear"/>
          </w:tcPr>
          <w:p>
            <w:r>
              <w:rPr>
                <w:sz w:val="20"/>
                <w:szCs w:val="20"/>
              </w:rPr>
              <w:t xml:space="preserve">Interactive charts within notebooks</w:t>
            </w:r>
          </w:p>
        </w:tc>
      </w:tr>
      <w:tr>
        <w:tc>
          <w:tcPr>
            <w:tcW w:type="dxa" w:w="2600"/>
            <w:shd w:fill="FFFFFF" w:val="clear"/>
          </w:tcPr>
          <w:p>
            <w:r>
              <w:rPr>
                <w:sz w:val="20"/>
                <w:szCs w:val="20"/>
              </w:rPr>
              <w:t xml:space="preserve">Database</w:t>
            </w:r>
          </w:p>
        </w:tc>
        <w:tc>
          <w:tcPr>
            <w:tcW w:type="dxa" w:w="2800"/>
            <w:shd w:fill="FFFFFF" w:val="clear"/>
          </w:tcPr>
          <w:p>
            <w:r>
              <w:rPr>
                <w:sz w:val="20"/>
                <w:szCs w:val="20"/>
              </w:rPr>
              <w:t xml:space="preserve">SQLite 3</w:t>
            </w:r>
          </w:p>
        </w:tc>
        <w:tc>
          <w:tcPr>
            <w:tcW w:type="dxa" w:w="3400"/>
            <w:shd w:fill="FFFFFF" w:val="clear"/>
          </w:tcPr>
          <w:p>
            <w:r>
              <w:rPr>
                <w:sz w:val="20"/>
                <w:szCs w:val="20"/>
              </w:rPr>
              <w:t xml:space="preserve">Local relational star-schema database</w:t>
            </w:r>
          </w:p>
        </w:tc>
      </w:tr>
      <w:tr>
        <w:tc>
          <w:tcPr>
            <w:tcW w:type="dxa" w:w="2600"/>
            <w:shd w:fill="F2F4FA" w:val="clear"/>
          </w:tcPr>
          <w:p>
            <w:r>
              <w:rPr>
                <w:sz w:val="20"/>
                <w:szCs w:val="20"/>
              </w:rPr>
              <w:t xml:space="preserve">ORM</w:t>
            </w:r>
          </w:p>
        </w:tc>
        <w:tc>
          <w:tcPr>
            <w:tcW w:type="dxa" w:w="2800"/>
            <w:shd w:fill="F2F4FA" w:val="clear"/>
          </w:tcPr>
          <w:p>
            <w:r>
              <w:rPr>
                <w:sz w:val="20"/>
                <w:szCs w:val="20"/>
              </w:rPr>
              <w:t xml:space="preserve">SQLAlchemy 2.0</w:t>
            </w:r>
          </w:p>
        </w:tc>
        <w:tc>
          <w:tcPr>
            <w:tcW w:type="dxa" w:w="3400"/>
            <w:shd w:fill="F2F4FA" w:val="clear"/>
          </w:tcPr>
          <w:p>
            <w:r>
              <w:rPr>
                <w:sz w:val="20"/>
                <w:szCs w:val="20"/>
              </w:rPr>
              <w:t xml:space="preserve">Python-to-SQLite interface</w:t>
            </w:r>
          </w:p>
        </w:tc>
      </w:tr>
      <w:tr>
        <w:tc>
          <w:tcPr>
            <w:tcW w:type="dxa" w:w="2600"/>
            <w:shd w:fill="FFFFFF" w:val="clear"/>
          </w:tcPr>
          <w:p>
            <w:r>
              <w:rPr>
                <w:sz w:val="20"/>
                <w:szCs w:val="20"/>
              </w:rPr>
              <w:t xml:space="preserve">Notebooks</w:t>
            </w:r>
          </w:p>
        </w:tc>
        <w:tc>
          <w:tcPr>
            <w:tcW w:type="dxa" w:w="2800"/>
            <w:shd w:fill="FFFFFF" w:val="clear"/>
          </w:tcPr>
          <w:p>
            <w:r>
              <w:rPr>
                <w:sz w:val="20"/>
                <w:szCs w:val="20"/>
              </w:rPr>
              <w:t xml:space="preserve">Jupyter (via VS Code)</w:t>
            </w:r>
          </w:p>
        </w:tc>
        <w:tc>
          <w:tcPr>
            <w:tcW w:type="dxa" w:w="3400"/>
            <w:shd w:fill="FFFFFF" w:val="clear"/>
          </w:tcPr>
          <w:p>
            <w:r>
              <w:rPr>
                <w:sz w:val="20"/>
                <w:szCs w:val="20"/>
              </w:rPr>
              <w:t xml:space="preserve">EDA and analytics notebooks</w:t>
            </w:r>
          </w:p>
        </w:tc>
      </w:tr>
      <w:tr>
        <w:tc>
          <w:tcPr>
            <w:tcW w:type="dxa" w:w="2600"/>
            <w:shd w:fill="F2F4FA" w:val="clear"/>
          </w:tcPr>
          <w:p>
            <w:r>
              <w:rPr>
                <w:sz w:val="20"/>
                <w:szCs w:val="20"/>
              </w:rPr>
              <w:t xml:space="preserve">Dashboard</w:t>
            </w:r>
          </w:p>
        </w:tc>
        <w:tc>
          <w:tcPr>
            <w:tcW w:type="dxa" w:w="2800"/>
            <w:shd w:fill="F2F4FA" w:val="clear"/>
          </w:tcPr>
          <w:p>
            <w:r>
              <w:rPr>
                <w:sz w:val="20"/>
                <w:szCs w:val="20"/>
              </w:rPr>
              <w:t xml:space="preserve">Power BI Desktop</w:t>
            </w:r>
          </w:p>
        </w:tc>
        <w:tc>
          <w:tcPr>
            <w:tcW w:type="dxa" w:w="3400"/>
            <w:shd w:fill="F2F4FA" w:val="clear"/>
          </w:tcPr>
          <w:p>
            <w:r>
              <w:rPr>
                <w:sz w:val="20"/>
                <w:szCs w:val="20"/>
              </w:rPr>
              <w:t xml:space="preserve">Interactive 4-page BI dashboard</w:t>
            </w:r>
          </w:p>
        </w:tc>
      </w:tr>
      <w:tr>
        <w:tc>
          <w:tcPr>
            <w:tcW w:type="dxa" w:w="2600"/>
            <w:shd w:fill="FFFFFF" w:val="clear"/>
          </w:tcPr>
          <w:p>
            <w:r>
              <w:rPr>
                <w:sz w:val="20"/>
                <w:szCs w:val="20"/>
              </w:rPr>
              <w:t xml:space="preserve">API</w:t>
            </w:r>
          </w:p>
        </w:tc>
        <w:tc>
          <w:tcPr>
            <w:tcW w:type="dxa" w:w="2800"/>
            <w:shd w:fill="FFFFFF" w:val="clear"/>
          </w:tcPr>
          <w:p>
            <w:r>
              <w:rPr>
                <w:sz w:val="20"/>
                <w:szCs w:val="20"/>
              </w:rPr>
              <w:t xml:space="preserve">mfapi.in REST API</w:t>
            </w:r>
          </w:p>
        </w:tc>
        <w:tc>
          <w:tcPr>
            <w:tcW w:type="dxa" w:w="3400"/>
            <w:shd w:fill="FFFFFF" w:val="clear"/>
          </w:tcPr>
          <w:p>
            <w:r>
              <w:rPr>
                <w:sz w:val="20"/>
                <w:szCs w:val="20"/>
              </w:rPr>
              <w:t xml:space="preserve">Live historical NAV, no authentication</w:t>
            </w:r>
          </w:p>
        </w:tc>
      </w:tr>
      <w:tr>
        <w:tc>
          <w:tcPr>
            <w:tcW w:type="dxa" w:w="2600"/>
            <w:shd w:fill="F2F4FA" w:val="clear"/>
          </w:tcPr>
          <w:p>
            <w:r>
              <w:rPr>
                <w:sz w:val="20"/>
                <w:szCs w:val="20"/>
              </w:rPr>
              <w:t xml:space="preserve">HTTP client</w:t>
            </w:r>
          </w:p>
        </w:tc>
        <w:tc>
          <w:tcPr>
            <w:tcW w:type="dxa" w:w="2800"/>
            <w:shd w:fill="F2F4FA" w:val="clear"/>
          </w:tcPr>
          <w:p>
            <w:r>
              <w:rPr>
                <w:sz w:val="20"/>
                <w:szCs w:val="20"/>
              </w:rPr>
              <w:t xml:space="preserve">Requests</w:t>
            </w:r>
          </w:p>
        </w:tc>
        <w:tc>
          <w:tcPr>
            <w:tcW w:type="dxa" w:w="3400"/>
            <w:shd w:fill="F2F4FA" w:val="clear"/>
          </w:tcPr>
          <w:p>
            <w:r>
              <w:rPr>
                <w:sz w:val="20"/>
                <w:szCs w:val="20"/>
              </w:rPr>
              <w:t xml:space="preserve">API calls from Python</w:t>
            </w:r>
          </w:p>
        </w:tc>
      </w:tr>
      <w:tr>
        <w:tc>
          <w:tcPr>
            <w:tcW w:type="dxa" w:w="2600"/>
            <w:shd w:fill="FFFFFF" w:val="clear"/>
          </w:tcPr>
          <w:p>
            <w:r>
              <w:rPr>
                <w:sz w:val="20"/>
                <w:szCs w:val="20"/>
              </w:rPr>
              <w:t xml:space="preserve">IDE</w:t>
            </w:r>
          </w:p>
        </w:tc>
        <w:tc>
          <w:tcPr>
            <w:tcW w:type="dxa" w:w="2800"/>
            <w:shd w:fill="FFFFFF" w:val="clear"/>
          </w:tcPr>
          <w:p>
            <w:r>
              <w:rPr>
                <w:sz w:val="20"/>
                <w:szCs w:val="20"/>
              </w:rPr>
              <w:t xml:space="preserve">VS Code</w:t>
            </w:r>
          </w:p>
        </w:tc>
        <w:tc>
          <w:tcPr>
            <w:tcW w:type="dxa" w:w="3400"/>
            <w:shd w:fill="FFFFFF" w:val="clear"/>
          </w:tcPr>
          <w:p>
            <w:r>
              <w:rPr>
                <w:sz w:val="20"/>
                <w:szCs w:val="20"/>
              </w:rPr>
              <w:t xml:space="preserve">Code development, notebook execution</w:t>
            </w:r>
          </w:p>
        </w:tc>
      </w:tr>
      <w:tr>
        <w:tc>
          <w:tcPr>
            <w:tcW w:type="dxa" w:w="2600"/>
            <w:shd w:fill="F2F4FA" w:val="clear"/>
          </w:tcPr>
          <w:p>
            <w:r>
              <w:rPr>
                <w:sz w:val="20"/>
                <w:szCs w:val="20"/>
              </w:rPr>
              <w:t xml:space="preserve">Version control</w:t>
            </w:r>
          </w:p>
        </w:tc>
        <w:tc>
          <w:tcPr>
            <w:tcW w:type="dxa" w:w="2800"/>
            <w:shd w:fill="F2F4FA" w:val="clear"/>
          </w:tcPr>
          <w:p>
            <w:r>
              <w:rPr>
                <w:sz w:val="20"/>
                <w:szCs w:val="20"/>
              </w:rPr>
              <w:t xml:space="preserve">Git + GitHub</w:t>
            </w:r>
          </w:p>
        </w:tc>
        <w:tc>
          <w:tcPr>
            <w:tcW w:type="dxa" w:w="3400"/>
            <w:shd w:fill="F2F4FA" w:val="clear"/>
          </w:tcPr>
          <w:p>
            <w:r>
              <w:rPr>
                <w:sz w:val="20"/>
                <w:szCs w:val="20"/>
              </w:rPr>
              <w:t xml:space="preserve">Code versioning, submission, v1.0 tag</w:t>
            </w:r>
          </w:p>
        </w:tc>
      </w:tr>
    </w:tbl>
    <w:p>
      <w:pPr>
        <w:spacing w:after="200"/>
      </w:pPr>
    </w:p>
    <w:p>
      <w:pPr>
        <w:pStyle w:val="Heading1"/>
        <w:spacing w:after="200" w:before="400"/>
      </w:pPr>
      <w:r>
        <w:t xml:space="preserve">5. Project Timeline — 7-Day Build Process</w:t>
      </w:r>
    </w:p>
    <w:p>
      <w:pPr>
        <w:spacing w:after="160"/>
      </w:pPr>
      <w:r>
        <w:t xml:space="preserve">The project was executed as a structured 7-day sprint, with each day producing a self-contained, git-committed deliverable. This section summarises the actual build sequence.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900"/>
      </w:tblGrid>
      <w:tr>
        <w:trPr>
          <w:tblHeader/>
        </w:trPr>
        <w:tc>
          <w:tcPr>
            <w:tcW w:type="dxa" w:w="700"/>
            <w:shd w:fill="1E2761" w:val="clear"/>
          </w:tcPr>
          <w:p>
            <w:r>
              <w:rPr>
                <w:b/>
                <w:bCs/>
                <w:color w:val="FFFFFF"/>
                <w:sz w:val="20"/>
                <w:szCs w:val="20"/>
              </w:rPr>
              <w:t xml:space="preserve">Day</w:t>
            </w:r>
          </w:p>
        </w:tc>
        <w:tc>
          <w:tcPr>
            <w:tcW w:type="dxa" w:w="3200"/>
            <w:shd w:fill="1E2761" w:val="clear"/>
          </w:tcPr>
          <w:p>
            <w:r>
              <w:rPr>
                <w:b/>
                <w:bCs/>
                <w:color w:val="FFFFFF"/>
                <w:sz w:val="20"/>
                <w:szCs w:val="20"/>
              </w:rPr>
              <w:t xml:space="preserve">Focus</w:t>
            </w:r>
          </w:p>
        </w:tc>
        <w:tc>
          <w:tcPr>
            <w:tcW w:type="dxa" w:w="4900"/>
            <w:shd w:fill="1E2761" w:val="clear"/>
          </w:tcPr>
          <w:p>
            <w:r>
              <w:rPr>
                <w:b/>
                <w:bCs/>
                <w:color w:val="FFFFFF"/>
                <w:sz w:val="20"/>
                <w:szCs w:val="20"/>
              </w:rPr>
              <w:t xml:space="preserve">Key Deliverables</w:t>
            </w:r>
          </w:p>
        </w:tc>
      </w:tr>
      <w:tr>
        <w:tc>
          <w:tcPr>
            <w:tcW w:type="dxa" w:w="700"/>
            <w:shd w:fill="FFFFFF" w:val="clear"/>
          </w:tcPr>
          <w:p>
            <w:r>
              <w:rPr>
                <w:sz w:val="20"/>
                <w:szCs w:val="20"/>
              </w:rPr>
              <w:t xml:space="preserve">1</w:t>
            </w:r>
          </w:p>
        </w:tc>
        <w:tc>
          <w:tcPr>
            <w:tcW w:type="dxa" w:w="3200"/>
            <w:shd w:fill="FFFFFF" w:val="clear"/>
          </w:tcPr>
          <w:p>
            <w:r>
              <w:rPr>
                <w:sz w:val="20"/>
                <w:szCs w:val="20"/>
              </w:rPr>
              <w:t xml:space="preserve">Project setup &amp; data ingestion</w:t>
            </w:r>
          </w:p>
        </w:tc>
        <w:tc>
          <w:tcPr>
            <w:tcW w:type="dxa" w:w="4900"/>
            <w:shd w:fill="FFFFFF" w:val="clear"/>
          </w:tcPr>
          <w:p>
            <w:r>
              <w:rPr>
                <w:sz w:val="20"/>
                <w:szCs w:val="20"/>
              </w:rPr>
              <w:t xml:space="preserve">Folder structure, virtual environment, data_ingestion.py, live_nav_fetch.py, 16 raw CSVs, first GitHub commit</w:t>
            </w:r>
          </w:p>
        </w:tc>
      </w:tr>
      <w:tr>
        <w:tc>
          <w:tcPr>
            <w:tcW w:type="dxa" w:w="700"/>
            <w:shd w:fill="F2F4FA" w:val="clear"/>
          </w:tcPr>
          <w:p>
            <w:r>
              <w:rPr>
                <w:sz w:val="20"/>
                <w:szCs w:val="20"/>
              </w:rPr>
              <w:t xml:space="preserve">2</w:t>
            </w:r>
          </w:p>
        </w:tc>
        <w:tc>
          <w:tcPr>
            <w:tcW w:type="dxa" w:w="3200"/>
            <w:shd w:fill="F2F4FA" w:val="clear"/>
          </w:tcPr>
          <w:p>
            <w:r>
              <w:rPr>
                <w:sz w:val="20"/>
                <w:szCs w:val="20"/>
              </w:rPr>
              <w:t xml:space="preserve">Data cleaning &amp; database design</w:t>
            </w:r>
          </w:p>
        </w:tc>
        <w:tc>
          <w:tcPr>
            <w:tcW w:type="dxa" w:w="4900"/>
            <w:shd w:fill="F2F4FA" w:val="clear"/>
          </w:tcPr>
          <w:p>
            <w:r>
              <w:rPr>
                <w:sz w:val="20"/>
                <w:szCs w:val="20"/>
              </w:rPr>
              <w:t xml:space="preserve">3 cleaned core datasets + 7 pass-through CSVs, 7-table star schema (schema.sql), bluestock_mf.db loaded, 10 SQL queries, data dictionary</w:t>
            </w:r>
          </w:p>
        </w:tc>
      </w:tr>
      <w:tr>
        <w:tc>
          <w:tcPr>
            <w:tcW w:type="dxa" w:w="700"/>
            <w:shd w:fill="FFFFFF" w:val="clear"/>
          </w:tcPr>
          <w:p>
            <w:r>
              <w:rPr>
                <w:sz w:val="20"/>
                <w:szCs w:val="20"/>
              </w:rPr>
              <w:t xml:space="preserve">3</w:t>
            </w:r>
          </w:p>
        </w:tc>
        <w:tc>
          <w:tcPr>
            <w:tcW w:type="dxa" w:w="3200"/>
            <w:shd w:fill="FFFFFF" w:val="clear"/>
          </w:tcPr>
          <w:p>
            <w:r>
              <w:rPr>
                <w:sz w:val="20"/>
                <w:szCs w:val="20"/>
              </w:rPr>
              <w:t xml:space="preserve">Exploratory data analysis</w:t>
            </w:r>
          </w:p>
        </w:tc>
        <w:tc>
          <w:tcPr>
            <w:tcW w:type="dxa" w:w="4900"/>
            <w:shd w:fill="FFFFFF" w:val="clear"/>
          </w:tcPr>
          <w:p>
            <w:r>
              <w:rPr>
                <w:sz w:val="20"/>
                <w:szCs w:val="20"/>
              </w:rPr>
              <w:t xml:space="preserve">EDA_Analysis.ipynb with 19 charts (NAV trends, AUM growth, SIP flows, demographics, correlation, sector allocation)</w:t>
            </w:r>
          </w:p>
        </w:tc>
      </w:tr>
      <w:tr>
        <w:tc>
          <w:tcPr>
            <w:tcW w:type="dxa" w:w="700"/>
            <w:shd w:fill="F2F4FA" w:val="clear"/>
          </w:tcPr>
          <w:p>
            <w:r>
              <w:rPr>
                <w:sz w:val="20"/>
                <w:szCs w:val="20"/>
              </w:rPr>
              <w:t xml:space="preserve">4</w:t>
            </w:r>
          </w:p>
        </w:tc>
        <w:tc>
          <w:tcPr>
            <w:tcW w:type="dxa" w:w="3200"/>
            <w:shd w:fill="F2F4FA" w:val="clear"/>
          </w:tcPr>
          <w:p>
            <w:r>
              <w:rPr>
                <w:sz w:val="20"/>
                <w:szCs w:val="20"/>
              </w:rPr>
              <w:t xml:space="preserve">Fund performance analytics</w:t>
            </w:r>
          </w:p>
        </w:tc>
        <w:tc>
          <w:tcPr>
            <w:tcW w:type="dxa" w:w="4900"/>
            <w:shd w:fill="F2F4FA" w:val="clear"/>
          </w:tcPr>
          <w:p>
            <w:r>
              <w:rPr>
                <w:sz w:val="20"/>
                <w:szCs w:val="20"/>
              </w:rPr>
              <w:t xml:space="preserve">CAGR, Sharpe, Sortino, Alpha/Beta, Max Drawdown per fund; composite fund scorecard; benchmark comparison chart</w:t>
            </w:r>
          </w:p>
        </w:tc>
      </w:tr>
      <w:tr>
        <w:tc>
          <w:tcPr>
            <w:tcW w:type="dxa" w:w="700"/>
            <w:shd w:fill="FFFFFF" w:val="clear"/>
          </w:tcPr>
          <w:p>
            <w:r>
              <w:rPr>
                <w:sz w:val="20"/>
                <w:szCs w:val="20"/>
              </w:rPr>
              <w:t xml:space="preserve">5</w:t>
            </w:r>
          </w:p>
        </w:tc>
        <w:tc>
          <w:tcPr>
            <w:tcW w:type="dxa" w:w="3200"/>
            <w:shd w:fill="FFFFFF" w:val="clear"/>
          </w:tcPr>
          <w:p>
            <w:r>
              <w:rPr>
                <w:sz w:val="20"/>
                <w:szCs w:val="20"/>
              </w:rPr>
              <w:t xml:space="preserve">Power BI dashboard</w:t>
            </w:r>
          </w:p>
        </w:tc>
        <w:tc>
          <w:tcPr>
            <w:tcW w:type="dxa" w:w="4900"/>
            <w:shd w:fill="FFFFFF" w:val="clear"/>
          </w:tcPr>
          <w:p>
            <w:r>
              <w:rPr>
                <w:sz w:val="20"/>
                <w:szCs w:val="20"/>
              </w:rPr>
              <w:t xml:space="preserve">4-page interactive dashboard (bluestock_mf_dashboard.pbix), PDF export, 4 page screenshots</w:t>
            </w:r>
          </w:p>
        </w:tc>
      </w:tr>
      <w:tr>
        <w:tc>
          <w:tcPr>
            <w:tcW w:type="dxa" w:w="700"/>
            <w:shd w:fill="F2F4FA" w:val="clear"/>
          </w:tcPr>
          <w:p>
            <w:r>
              <w:rPr>
                <w:sz w:val="20"/>
                <w:szCs w:val="20"/>
              </w:rPr>
              <w:t xml:space="preserve">6</w:t>
            </w:r>
          </w:p>
        </w:tc>
        <w:tc>
          <w:tcPr>
            <w:tcW w:type="dxa" w:w="3200"/>
            <w:shd w:fill="F2F4FA" w:val="clear"/>
          </w:tcPr>
          <w:p>
            <w:r>
              <w:rPr>
                <w:sz w:val="20"/>
                <w:szCs w:val="20"/>
              </w:rPr>
              <w:t xml:space="preserve">Advanced analytics &amp; risk</w:t>
            </w:r>
          </w:p>
        </w:tc>
        <w:tc>
          <w:tcPr>
            <w:tcW w:type="dxa" w:w="4900"/>
            <w:shd w:fill="F2F4FA" w:val="clear"/>
          </w:tcPr>
          <w:p>
            <w:r>
              <w:rPr>
                <w:sz w:val="20"/>
                <w:szCs w:val="20"/>
              </w:rPr>
              <w:t xml:space="preserve">VaR/CVaR, rolling 90-day Sharpe, investor cohort analysis, SIP continuity analysis, sector HHI, rule-based fund recommender</w:t>
            </w:r>
          </w:p>
        </w:tc>
      </w:tr>
      <w:tr>
        <w:tc>
          <w:tcPr>
            <w:tcW w:type="dxa" w:w="700"/>
            <w:shd w:fill="FFFFFF" w:val="clear"/>
          </w:tcPr>
          <w:p>
            <w:r>
              <w:rPr>
                <w:sz w:val="20"/>
                <w:szCs w:val="20"/>
              </w:rPr>
              <w:t xml:space="preserve">7</w:t>
            </w:r>
          </w:p>
        </w:tc>
        <w:tc>
          <w:tcPr>
            <w:tcW w:type="dxa" w:w="3200"/>
            <w:shd w:fill="FFFFFF" w:val="clear"/>
          </w:tcPr>
          <w:p>
            <w:r>
              <w:rPr>
                <w:sz w:val="20"/>
                <w:szCs w:val="20"/>
              </w:rPr>
              <w:t xml:space="preserve">Final report &amp; presentation</w:t>
            </w:r>
          </w:p>
        </w:tc>
        <w:tc>
          <w:tcPr>
            <w:tcW w:type="dxa" w:w="4900"/>
            <w:shd w:fill="FFFFFF" w:val="clear"/>
          </w:tcPr>
          <w:p>
            <w:r>
              <w:rPr>
                <w:sz w:val="20"/>
                <w:szCs w:val="20"/>
              </w:rPr>
              <w:t xml:space="preserve">This report, 12-slide deck, cleaned scripts, README.md, final GitHub push and v1.0 tag</w:t>
            </w:r>
          </w:p>
        </w:tc>
      </w:tr>
    </w:tbl>
    <w:p>
      <w:pPr>
        <w:spacing w:after="200"/>
      </w:pPr>
    </w:p>
    <w:p>
      <w:pPr>
        <w:spacing w:after="160"/>
      </w:pPr>
      <w:r>
        <w:t xml:space="preserve">A full breakdown of the sub-tasks completed on each day, including the exact acceptance criteria used to confirm each day's work, is preserved in the project's Git commit history.</w:t>
      </w:r>
    </w:p>
    <w:p>
      <w:r>
        <w:br w:type="page"/>
      </w:r>
    </w:p>
    <w:p>
      <w:pPr>
        <w:pStyle w:val="Heading1"/>
        <w:spacing w:after="200" w:before="400"/>
      </w:pPr>
      <w:r>
        <w:t xml:space="preserve">6. Exploratory Data Analysis — Findings</w:t>
      </w:r>
    </w:p>
    <w:p>
      <w:pPr>
        <w:spacing w:after="160"/>
      </w:pPr>
      <w:r>
        <w:t xml:space="preserve">Full detail is in notebooks/EDA_Analysis.ipynb, which contains 19 charts in total — exceeding the original 15-chart target with several supplementary views (folio mix by asset class, normalised NAV by category, expense ratio by plan, monthly flows by transaction type, and ranked category inflows). Headline findings, chart by chart:</w:t>
      </w:r>
    </w:p>
    <w:p>
      <w:pPr>
        <w:pStyle w:val="ListParagraph"/>
        <w:numPr>
          <w:ilvl w:val="0"/>
          <w:numId w:val="1"/>
        </w:numPr>
        <w:spacing w:after="90"/>
      </w:pPr>
      <w:r>
        <w:t xml:space="preserve">Raw NAV levels are not comparable across funds — schemes launched at very different NAV bases, so growth must be read via normalised/indexed returns, not absolute NAV (Chart 1).</w:t>
      </w:r>
    </w:p>
    <w:p>
      <w:pPr>
        <w:pStyle w:val="ListParagraph"/>
        <w:numPr>
          <w:ilvl w:val="0"/>
          <w:numId w:val="1"/>
        </w:numPr>
        <w:spacing w:after="90"/>
      </w:pPr>
      <w:r>
        <w:t xml:space="preserve">SBI Mutual Fund is the clear AUM leader across all four years (2022–2025), consistent with its real-world position as India's largest AMC (Chart 2).</w:t>
      </w:r>
    </w:p>
    <w:p>
      <w:pPr>
        <w:pStyle w:val="ListParagraph"/>
        <w:numPr>
          <w:ilvl w:val="0"/>
          <w:numId w:val="1"/>
        </w:numPr>
        <w:spacing w:after="90"/>
      </w:pPr>
      <w:r>
        <w:t xml:space="preserve">Monthly SIP inflows show sustained, near-linear growth, peaking at the real-world milestone of Rs. 31,002 crore in December 2025 (Chart 3).</w:t>
      </w:r>
    </w:p>
    <w:p>
      <w:pPr>
        <w:pStyle w:val="ListParagraph"/>
        <w:numPr>
          <w:ilvl w:val="0"/>
          <w:numId w:val="1"/>
        </w:numPr>
        <w:spacing w:after="90"/>
      </w:pPr>
      <w:r>
        <w:t xml:space="preserve">Category-wise inflow intensity is heavily skewed toward a small number of high-flow categories in any given month, visible as concentrated “hot cells” in the heatmap rather than an even spread (Chart 4).</w:t>
      </w:r>
    </w:p>
    <w:p>
      <w:pPr>
        <w:pStyle w:val="ListParagraph"/>
        <w:numPr>
          <w:ilvl w:val="0"/>
          <w:numId w:val="1"/>
        </w:numPr>
        <w:spacing w:after="90"/>
      </w:pPr>
      <w:r>
        <w:t xml:space="preserve">Investor demographics show fairly even SIP participation across age bands, with no single age group dominating investment volume (Chart 5).</w:t>
      </w:r>
    </w:p>
    <w:p>
      <w:pPr>
        <w:pStyle w:val="ListParagraph"/>
        <w:numPr>
          <w:ilvl w:val="0"/>
          <w:numId w:val="1"/>
        </w:numPr>
        <w:spacing w:after="90"/>
      </w:pPr>
      <w:r>
        <w:t xml:space="preserve">SIP contribution by state is led by a cluster of high-income and high-population states, with a broadly even T30 vs B30 city-tier split rather than one tier dominating (Chart 6).</w:t>
      </w:r>
    </w:p>
    <w:p>
      <w:pPr>
        <w:pStyle w:val="ListParagraph"/>
        <w:numPr>
          <w:ilvl w:val="0"/>
          <w:numId w:val="1"/>
        </w:numPr>
        <w:spacing w:after="90"/>
      </w:pPr>
      <w:r>
        <w:t xml:space="preserve">Total industry folio count nearly doubled over the sample window, from 13.26 crore (Jan 2022) to 26.12 crore (Dec 2025) (Chart 7).</w:t>
      </w:r>
    </w:p>
    <w:p>
      <w:pPr>
        <w:pStyle w:val="ListParagraph"/>
        <w:numPr>
          <w:ilvl w:val="0"/>
          <w:numId w:val="1"/>
        </w:numPr>
        <w:spacing w:after="90"/>
      </w:pPr>
      <w:r>
        <w:t xml:space="preserve">Return correlations across the 10 sampled funds are surprisingly low (mostly between -0.07 and +0.07), suggesting the sampled schemes' daily return movements are largely idiosyncratic rather than driven by a single shared market factor at the daily-return granularity used here (Chart 8).</w:t>
      </w:r>
    </w:p>
    <w:p>
      <w:pPr>
        <w:pStyle w:val="ListParagraph"/>
        <w:numPr>
          <w:ilvl w:val="0"/>
          <w:numId w:val="1"/>
        </w:numPr>
        <w:spacing w:after="90"/>
      </w:pPr>
      <w:r>
        <w:t xml:space="preserve">Equity portfolio holdings are concentrated in a handful of sectors (financial services, technology, and energy dominate), visible clearly in the sector-allocation donut (Chart 9).</w:t>
      </w:r>
    </w:p>
    <w:p>
      <w:pPr>
        <w:pStyle w:val="ListParagraph"/>
        <w:numPr>
          <w:ilvl w:val="0"/>
          <w:numId w:val="1"/>
        </w:numPr>
        <w:spacing w:after="90"/>
      </w:pPr>
      <w:r>
        <w:t xml:space="preserve">Direct plans consistently carry lower expense ratios than Regular plans across every fund family, confirming the expected distributor-commission effect (Chart 13).</w:t>
      </w:r>
    </w:p>
    <w:p>
      <w:r>
        <w:br w:type="page"/>
      </w:r>
    </w:p>
    <w:p>
      <w:pPr>
        <w:spacing w:after="60" w:before="120" w:line="240" w:lineRule="auto"/>
        <w:jc w:val="center"/>
      </w:pPr>
      <w:r>
        <w:drawing>
          <wp:inline distT="0" distB="0" distL="0" distR="0">
            <wp:extent cx="57626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95550"/>
                    </a:xfrm>
                    <a:prstGeom prst="rect">
                      <a:avLst/>
                    </a:prstGeom>
                  </pic:spPr>
                </pic:pic>
              </a:graphicData>
            </a:graphic>
          </wp:inline>
        </w:drawing>
      </w:r>
    </w:p>
    <w:p>
      <w:pPr>
        <w:spacing w:after="300"/>
        <w:jc w:val="center"/>
      </w:pPr>
      <w:r>
        <w:rPr>
          <w:i/>
          <w:iCs/>
          <w:color w:val="595959"/>
          <w:sz w:val="18"/>
          <w:szCs w:val="18"/>
        </w:rPr>
        <w:t xml:space="preserve">Chart 1 — NAV trend, all 40 schemes (2022–2026).</w:t>
      </w:r>
    </w:p>
    <w:p>
      <w:pPr>
        <w:spacing w:after="60" w:before="120" w:line="240" w:lineRule="auto"/>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76550"/>
                    </a:xfrm>
                    <a:prstGeom prst="rect">
                      <a:avLst/>
                    </a:prstGeom>
                  </pic:spPr>
                </pic:pic>
              </a:graphicData>
            </a:graphic>
          </wp:inline>
        </w:drawing>
      </w:r>
    </w:p>
    <w:p>
      <w:pPr>
        <w:spacing w:after="300"/>
        <w:jc w:val="center"/>
      </w:pPr>
      <w:r>
        <w:rPr>
          <w:i/>
          <w:iCs/>
          <w:color w:val="595959"/>
          <w:sz w:val="18"/>
          <w:szCs w:val="18"/>
        </w:rPr>
        <w:t xml:space="preserve">Chart 2 — AUM growth by fund house, 2022–2025. SBI Mutual Fund leads every year.</w:t>
      </w:r>
    </w:p>
    <w:p>
      <w:r>
        <w:br w:type="page"/>
      </w:r>
    </w:p>
    <w:p>
      <w:pPr>
        <w:spacing w:after="60" w:before="120" w:line="240" w:lineRule="auto"/>
        <w:jc w:val="center"/>
      </w:pPr>
      <w:r>
        <w:drawing>
          <wp:inline distT="0" distB="0" distL="0" distR="0">
            <wp:extent cx="576262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14800"/>
                    </a:xfrm>
                    <a:prstGeom prst="rect">
                      <a:avLst/>
                    </a:prstGeom>
                  </pic:spPr>
                </pic:pic>
              </a:graphicData>
            </a:graphic>
          </wp:inline>
        </w:drawing>
      </w:r>
    </w:p>
    <w:p>
      <w:pPr>
        <w:spacing w:after="300"/>
        <w:jc w:val="center"/>
      </w:pPr>
      <w:r>
        <w:rPr>
          <w:i/>
          <w:iCs/>
          <w:color w:val="595959"/>
          <w:sz w:val="18"/>
          <w:szCs w:val="18"/>
        </w:rPr>
        <w:t xml:space="preserve">Chart 3 — Monthly SIP inflow trend, with the Dec-2025 all-time-high milestone annotated.</w:t>
      </w:r>
    </w:p>
    <w:p>
      <w:pPr>
        <w:spacing w:after="60" w:before="120" w:line="240" w:lineRule="auto"/>
        <w:jc w:val="center"/>
      </w:pPr>
      <w:r>
        <w:drawing>
          <wp:inline distT="0" distB="0" distL="0" distR="0">
            <wp:extent cx="57626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57475"/>
                    </a:xfrm>
                    <a:prstGeom prst="rect">
                      <a:avLst/>
                    </a:prstGeom>
                  </pic:spPr>
                </pic:pic>
              </a:graphicData>
            </a:graphic>
          </wp:inline>
        </w:drawing>
      </w:r>
    </w:p>
    <w:p>
      <w:pPr>
        <w:spacing w:after="300"/>
        <w:jc w:val="center"/>
      </w:pPr>
      <w:r>
        <w:rPr>
          <w:i/>
          <w:iCs/>
          <w:color w:val="595959"/>
          <w:sz w:val="18"/>
          <w:szCs w:val="18"/>
        </w:rPr>
        <w:t xml:space="preserve">Chart 7 — Industry folio count growth with key milestones annotated.</w:t>
      </w:r>
    </w:p>
    <w:p>
      <w:r>
        <w:br w:type="page"/>
      </w:r>
    </w:p>
    <w:p>
      <w:pPr>
        <w:spacing w:after="60" w:before="120" w:line="240" w:lineRule="auto"/>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57600"/>
                    </a:xfrm>
                    <a:prstGeom prst="rect">
                      <a:avLst/>
                    </a:prstGeom>
                  </pic:spPr>
                </pic:pic>
              </a:graphicData>
            </a:graphic>
          </wp:inline>
        </w:drawing>
      </w:r>
    </w:p>
    <w:p>
      <w:pPr>
        <w:spacing w:after="300"/>
        <w:jc w:val="center"/>
      </w:pPr>
      <w:r>
        <w:rPr>
          <w:i/>
          <w:iCs/>
          <w:color w:val="595959"/>
          <w:sz w:val="18"/>
          <w:szCs w:val="18"/>
        </w:rPr>
        <w:t xml:space="preserve">Chart 8 — NAV return correlation matrix (10 sampled funds).</w:t>
      </w:r>
    </w:p>
    <w:p>
      <w:pPr>
        <w:spacing w:after="60" w:before="120" w:line="240" w:lineRule="auto"/>
        <w:jc w:val="center"/>
      </w:pPr>
      <w:r>
        <w:drawing>
          <wp:inline distT="0" distB="0" distL="0" distR="0">
            <wp:extent cx="42100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4210050"/>
                    </a:xfrm>
                    <a:prstGeom prst="rect">
                      <a:avLst/>
                    </a:prstGeom>
                  </pic:spPr>
                </pic:pic>
              </a:graphicData>
            </a:graphic>
          </wp:inline>
        </w:drawing>
      </w:r>
    </w:p>
    <w:p>
      <w:pPr>
        <w:spacing w:after="300"/>
        <w:jc w:val="center"/>
      </w:pPr>
      <w:r>
        <w:rPr>
          <w:i/>
          <w:iCs/>
          <w:color w:val="595959"/>
          <w:sz w:val="18"/>
          <w:szCs w:val="18"/>
        </w:rPr>
        <w:t xml:space="preserve">Chart 9 — Sector allocation across equity fund portfolios.</w:t>
      </w:r>
    </w:p>
    <w:p>
      <w:pPr>
        <w:pStyle w:val="Heading1"/>
        <w:spacing w:after="200" w:before="400"/>
      </w:pPr>
      <w:r>
        <w:t xml:space="preserve">7. Fund Performance Analysis</w:t>
      </w:r>
    </w:p>
    <w:p>
      <w:pPr>
        <w:spacing w:after="160"/>
      </w:pPr>
      <w:r>
        <w:t xml:space="preserve">Detail is in notebooks/Performance_Analytics.ipynb. Per-fund CAGR (1/3/5yr), Sharpe ratio, Sortino ratio, Alpha/Beta (via OLS regression against Nifty 100), and Maximum Drawdown were computed from daily NAV history, then combined into a composite 0–100 Fund Scorecard.</w:t>
      </w:r>
    </w:p>
    <w:p>
      <w:pPr>
        <w:pStyle w:val="Heading2"/>
        <w:spacing w:after="150" w:before="300"/>
      </w:pPr>
      <w:r>
        <w:t xml:space="preserve">7.1 Methodology — Formulas Used</w:t>
      </w:r>
    </w:p>
    <w:p>
      <w:pPr>
        <w:pStyle w:val="ListParagraph"/>
        <w:numPr>
          <w:ilvl w:val="0"/>
          <w:numId w:val="1"/>
        </w:numPr>
        <w:spacing w:after="90"/>
      </w:pPr>
      <w:r>
        <w:t xml:space="preserve">Daily return: r_t = (NAV_t / NAV_(t-1)) − 1</w:t>
      </w:r>
    </w:p>
    <w:p>
      <w:pPr>
        <w:pStyle w:val="ListParagraph"/>
        <w:numPr>
          <w:ilvl w:val="0"/>
          <w:numId w:val="1"/>
        </w:numPr>
        <w:spacing w:after="90"/>
      </w:pPr>
      <w:r>
        <w:t xml:space="preserve">CAGR (n years): (NAV_end / NAV_start) ^ (1/n) − 1, using actual elapsed time between first and last observation in the window</w:t>
      </w:r>
    </w:p>
    <w:p>
      <w:pPr>
        <w:pStyle w:val="ListParagraph"/>
        <w:numPr>
          <w:ilvl w:val="0"/>
          <w:numId w:val="1"/>
        </w:numPr>
        <w:spacing w:after="90"/>
      </w:pPr>
      <w:r>
        <w:t xml:space="preserve">Sharpe ratio (annualised): ((mean(r) × 252) − Rf) / (std(r) × √252), with Rf = 6.5% (RBI repo-rate proxy)</w:t>
      </w:r>
    </w:p>
    <w:p>
      <w:pPr>
        <w:pStyle w:val="ListParagraph"/>
        <w:numPr>
          <w:ilvl w:val="0"/>
          <w:numId w:val="1"/>
        </w:numPr>
        <w:spacing w:after="90"/>
      </w:pPr>
      <w:r>
        <w:t xml:space="preserve">Sortino ratio: same numerator as Sharpe, but the denominator uses only the standard deviation of negative-return days (downside deviation)</w:t>
      </w:r>
    </w:p>
    <w:p>
      <w:pPr>
        <w:pStyle w:val="ListParagraph"/>
        <w:numPr>
          <w:ilvl w:val="0"/>
          <w:numId w:val="1"/>
        </w:numPr>
        <w:spacing w:after="90"/>
      </w:pPr>
      <w:r>
        <w:t xml:space="preserve">Alpha / Beta: OLS regression of fund daily returns on Nifty 100 daily returns; Alpha = intercept × 252 (annualised), Beta = regression slope</w:t>
      </w:r>
    </w:p>
    <w:p>
      <w:pPr>
        <w:pStyle w:val="ListParagraph"/>
        <w:numPr>
          <w:ilvl w:val="0"/>
          <w:numId w:val="1"/>
        </w:numPr>
        <w:spacing w:after="90"/>
      </w:pPr>
      <w:r>
        <w:t xml:space="preserve">Maximum drawdown: min(NAV / running_max(NAV) − 1) — the worst peak-to-trough decline over the observed period</w:t>
      </w:r>
    </w:p>
    <w:p>
      <w:pPr>
        <w:pStyle w:val="ListParagraph"/>
        <w:numPr>
          <w:ilvl w:val="0"/>
          <w:numId w:val="1"/>
        </w:numPr>
        <w:spacing w:after="90"/>
      </w:pPr>
      <w:r>
        <w:t xml:space="preserve">Fund Scorecard (0–100): 30% × percentile-rank(3yr return) + 25% × percentile-rank(Sharpe) + 20% × percentile-rank(Alpha) + 15% × percentile-rank(expense ratio, inverted) + 10% × percentile-rank(max drawdown, inverted)</w:t>
      </w:r>
    </w:p>
    <w:p>
      <w:pPr>
        <w:pStyle w:val="Heading2"/>
        <w:spacing w:after="150" w:before="300"/>
      </w:pPr>
      <w:r>
        <w:t xml:space="preserve">7.2 Top 5 Funds — Composite Scorecard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E2761" w:val="clear"/>
          </w:tcPr>
          <w:p>
            <w:r>
              <w:rPr>
                <w:b/>
                <w:bCs/>
                <w:color w:val="FFFFFF"/>
                <w:sz w:val="20"/>
                <w:szCs w:val="20"/>
              </w:rPr>
              <w:t xml:space="preserve">Rank</w:t>
            </w:r>
          </w:p>
        </w:tc>
        <w:tc>
          <w:tcPr>
            <w:tcW w:type="dxa" w:w="6300"/>
            <w:shd w:fill="1E2761" w:val="clear"/>
          </w:tcPr>
          <w:p>
            <w:r>
              <w:rPr>
                <w:b/>
                <w:bCs/>
                <w:color w:val="FFFFFF"/>
                <w:sz w:val="20"/>
                <w:szCs w:val="20"/>
              </w:rPr>
              <w:t xml:space="preserve">Scheme</w:t>
            </w:r>
          </w:p>
        </w:tc>
        <w:tc>
          <w:tcPr>
            <w:tcW w:type="dxa" w:w="1800"/>
            <w:shd w:fill="1E2761" w:val="clear"/>
          </w:tcPr>
          <w:p>
            <w:r>
              <w:rPr>
                <w:b/>
                <w:bCs/>
                <w:color w:val="FFFFFF"/>
                <w:sz w:val="20"/>
                <w:szCs w:val="20"/>
              </w:rPr>
              <w:t xml:space="preserve">Score (0–100)</w:t>
            </w:r>
          </w:p>
        </w:tc>
      </w:tr>
      <w:tr>
        <w:tc>
          <w:tcPr>
            <w:tcW w:type="dxa" w:w="900"/>
            <w:shd w:fill="FFFFFF" w:val="clear"/>
          </w:tcPr>
          <w:p>
            <w:r>
              <w:rPr>
                <w:sz w:val="20"/>
                <w:szCs w:val="20"/>
              </w:rPr>
              <w:t xml:space="preserve">1</w:t>
            </w:r>
          </w:p>
        </w:tc>
        <w:tc>
          <w:tcPr>
            <w:tcW w:type="dxa" w:w="6300"/>
            <w:shd w:fill="FFFFFF" w:val="clear"/>
          </w:tcPr>
          <w:p>
            <w:r>
              <w:rPr>
                <w:sz w:val="20"/>
                <w:szCs w:val="20"/>
              </w:rPr>
              <w:t xml:space="preserve">Mirae Asset Large Cap Fund - Regular - Growth</w:t>
            </w:r>
          </w:p>
        </w:tc>
        <w:tc>
          <w:tcPr>
            <w:tcW w:type="dxa" w:w="1800"/>
            <w:shd w:fill="FFFFFF" w:val="clear"/>
          </w:tcPr>
          <w:p>
            <w:r>
              <w:rPr>
                <w:sz w:val="20"/>
                <w:szCs w:val="20"/>
              </w:rPr>
              <w:t xml:space="preserve">86.25</w:t>
            </w:r>
          </w:p>
        </w:tc>
      </w:tr>
      <w:tr>
        <w:tc>
          <w:tcPr>
            <w:tcW w:type="dxa" w:w="900"/>
            <w:shd w:fill="F2F4FA" w:val="clear"/>
          </w:tcPr>
          <w:p>
            <w:r>
              <w:rPr>
                <w:sz w:val="20"/>
                <w:szCs w:val="20"/>
              </w:rPr>
              <w:t xml:space="preserve">2</w:t>
            </w:r>
          </w:p>
        </w:tc>
        <w:tc>
          <w:tcPr>
            <w:tcW w:type="dxa" w:w="6300"/>
            <w:shd w:fill="F2F4FA" w:val="clear"/>
          </w:tcPr>
          <w:p>
            <w:r>
              <w:rPr>
                <w:sz w:val="20"/>
                <w:szCs w:val="20"/>
              </w:rPr>
              <w:t xml:space="preserve">ICICI Pru Midcap Fund - Regular - Growth</w:t>
            </w:r>
          </w:p>
        </w:tc>
        <w:tc>
          <w:tcPr>
            <w:tcW w:type="dxa" w:w="1800"/>
            <w:shd w:fill="F2F4FA" w:val="clear"/>
          </w:tcPr>
          <w:p>
            <w:r>
              <w:rPr>
                <w:sz w:val="20"/>
                <w:szCs w:val="20"/>
              </w:rPr>
              <w:t xml:space="preserve">82.25</w:t>
            </w:r>
          </w:p>
        </w:tc>
      </w:tr>
      <w:tr>
        <w:tc>
          <w:tcPr>
            <w:tcW w:type="dxa" w:w="900"/>
            <w:shd w:fill="FFFFFF" w:val="clear"/>
          </w:tcPr>
          <w:p>
            <w:r>
              <w:rPr>
                <w:sz w:val="20"/>
                <w:szCs w:val="20"/>
              </w:rPr>
              <w:t xml:space="preserve">3</w:t>
            </w:r>
          </w:p>
        </w:tc>
        <w:tc>
          <w:tcPr>
            <w:tcW w:type="dxa" w:w="6300"/>
            <w:shd w:fill="FFFFFF" w:val="clear"/>
          </w:tcPr>
          <w:p>
            <w:r>
              <w:rPr>
                <w:sz w:val="20"/>
                <w:szCs w:val="20"/>
              </w:rPr>
              <w:t xml:space="preserve">Kotak Flexicap Fund - Regular - Growth</w:t>
            </w:r>
          </w:p>
        </w:tc>
        <w:tc>
          <w:tcPr>
            <w:tcW w:type="dxa" w:w="1800"/>
            <w:shd w:fill="FFFFFF" w:val="clear"/>
          </w:tcPr>
          <w:p>
            <w:r>
              <w:rPr>
                <w:sz w:val="20"/>
                <w:szCs w:val="20"/>
              </w:rPr>
              <w:t xml:space="preserve">82.00</w:t>
            </w:r>
          </w:p>
        </w:tc>
      </w:tr>
      <w:tr>
        <w:tc>
          <w:tcPr>
            <w:tcW w:type="dxa" w:w="900"/>
            <w:shd w:fill="F2F4FA" w:val="clear"/>
          </w:tcPr>
          <w:p>
            <w:r>
              <w:rPr>
                <w:sz w:val="20"/>
                <w:szCs w:val="20"/>
              </w:rPr>
              <w:t xml:space="preserve">4</w:t>
            </w:r>
          </w:p>
        </w:tc>
        <w:tc>
          <w:tcPr>
            <w:tcW w:type="dxa" w:w="6300"/>
            <w:shd w:fill="F2F4FA" w:val="clear"/>
          </w:tcPr>
          <w:p>
            <w:r>
              <w:rPr>
                <w:sz w:val="20"/>
                <w:szCs w:val="20"/>
              </w:rPr>
              <w:t xml:space="preserve">HDFC Mid-Cap Opportunities Fund - Regular - Growth</w:t>
            </w:r>
          </w:p>
        </w:tc>
        <w:tc>
          <w:tcPr>
            <w:tcW w:type="dxa" w:w="1800"/>
            <w:shd w:fill="F2F4FA" w:val="clear"/>
          </w:tcPr>
          <w:p>
            <w:r>
              <w:rPr>
                <w:sz w:val="20"/>
                <w:szCs w:val="20"/>
              </w:rPr>
              <w:t xml:space="preserve">80.75</w:t>
            </w:r>
          </w:p>
        </w:tc>
      </w:tr>
      <w:tr>
        <w:tc>
          <w:tcPr>
            <w:tcW w:type="dxa" w:w="900"/>
            <w:shd w:fill="FFFFFF" w:val="clear"/>
          </w:tcPr>
          <w:p>
            <w:r>
              <w:rPr>
                <w:sz w:val="20"/>
                <w:szCs w:val="20"/>
              </w:rPr>
              <w:t xml:space="preserve">5</w:t>
            </w:r>
          </w:p>
        </w:tc>
        <w:tc>
          <w:tcPr>
            <w:tcW w:type="dxa" w:w="6300"/>
            <w:shd w:fill="FFFFFF" w:val="clear"/>
          </w:tcPr>
          <w:p>
            <w:r>
              <w:rPr>
                <w:sz w:val="20"/>
                <w:szCs w:val="20"/>
              </w:rPr>
              <w:t xml:space="preserve">ICICI Pru Bluechip Fund - Direct - Growth</w:t>
            </w:r>
          </w:p>
        </w:tc>
        <w:tc>
          <w:tcPr>
            <w:tcW w:type="dxa" w:w="1800"/>
            <w:shd w:fill="FFFFFF" w:val="clear"/>
          </w:tcPr>
          <w:p>
            <w:r>
              <w:rPr>
                <w:sz w:val="20"/>
                <w:szCs w:val="20"/>
              </w:rPr>
              <w:t xml:space="preserve">80.00</w:t>
            </w:r>
          </w:p>
        </w:tc>
      </w:tr>
    </w:tbl>
    <w:p>
      <w:pPr>
        <w:spacing w:after="200"/>
      </w:pPr>
    </w:p>
    <w:p>
      <w:pPr>
        <w:spacing w:after="160"/>
      </w:pPr>
      <w:r>
        <w:t xml:space="preserve">Cross-checking against the raw Sharpe-ratio leaderboard confirms the EDA observation above: pure Sharpe ranking is dominated by low-volatility Liquid funds (e.g. ICICI Pru Liquid Fund, Sharpe 7.68), while the composite scorecard — which blends return, Alpha, expense ratio and drawdown — surfaces genuinely strong actively-managed equity funds instead. This is a deliberate and important design choice: Sharpe ratio alone is a poor fund-selection signal when comparing across very different risk categories.</w:t>
      </w:r>
    </w:p>
    <w:p>
      <w:r>
        <w:br w:type="page"/>
      </w:r>
    </w:p>
    <w:p>
      <w:pPr>
        <w:spacing w:after="60" w:before="120" w:line="240" w:lineRule="auto"/>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76550"/>
                    </a:xfrm>
                    <a:prstGeom prst="rect">
                      <a:avLst/>
                    </a:prstGeom>
                  </pic:spPr>
                </pic:pic>
              </a:graphicData>
            </a:graphic>
          </wp:inline>
        </w:drawing>
      </w:r>
    </w:p>
    <w:p>
      <w:pPr>
        <w:spacing w:after="300"/>
        <w:jc w:val="center"/>
      </w:pPr>
      <w:r>
        <w:rPr>
          <w:i/>
          <w:iCs/>
          <w:color w:val="595959"/>
          <w:sz w:val="18"/>
          <w:szCs w:val="18"/>
        </w:rPr>
        <w:t xml:space="preserve">Top 5 scorecard funds vs Nifty 100, normalised 3-year growth (base = 100).</w:t>
      </w:r>
    </w:p>
    <w:p>
      <w:pPr>
        <w:spacing w:after="60" w:before="120" w:line="240" w:lineRule="auto"/>
        <w:jc w:val="center"/>
      </w:pPr>
      <w:r>
        <w:drawing>
          <wp:inline distT="0" distB="0" distL="0" distR="0">
            <wp:extent cx="576262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114800"/>
                    </a:xfrm>
                    <a:prstGeom prst="rect">
                      <a:avLst/>
                    </a:prstGeom>
                  </pic:spPr>
                </pic:pic>
              </a:graphicData>
            </a:graphic>
          </wp:inline>
        </w:drawing>
      </w:r>
    </w:p>
    <w:p>
      <w:pPr>
        <w:spacing w:after="300"/>
        <w:jc w:val="center"/>
      </w:pPr>
      <w:r>
        <w:rPr>
          <w:i/>
          <w:iCs/>
          <w:color w:val="595959"/>
          <w:sz w:val="18"/>
          <w:szCs w:val="18"/>
        </w:rPr>
        <w:t xml:space="preserve">Normalised NAV growth by category (base 100 = Jan 2022) — Equity funds visibly outpace Debt over the sample window.</w:t>
      </w:r>
    </w:p>
    <w:p>
      <w:r>
        <w:br w:type="page"/>
      </w:r>
    </w:p>
    <w:p>
      <w:pPr>
        <w:pStyle w:val="Heading1"/>
        <w:spacing w:after="200" w:before="400"/>
      </w:pPr>
      <w:r>
        <w:t xml:space="preserve">8. Advanced Analytics &amp; Risk Metrics</w:t>
      </w:r>
    </w:p>
    <w:p>
      <w:pPr>
        <w:spacing w:after="160"/>
      </w:pPr>
      <w:r>
        <w:t xml:space="preserve">Detail is in notebooks/advanced_analytics.ipynb (data/processed/var_cvar_report.csv, cohort_analysis.csv, sip_continuity.csv, sector_hhi.csv).</w:t>
      </w:r>
    </w:p>
    <w:p>
      <w:pPr>
        <w:pStyle w:val="Heading2"/>
        <w:spacing w:after="150" w:before="300"/>
      </w:pPr>
      <w:r>
        <w:t xml:space="preserve">8.1 Value at Risk (95%) and Conditional VaR</w:t>
      </w:r>
    </w:p>
    <w:p>
      <w:pPr>
        <w:spacing w:after="160"/>
      </w:pPr>
      <w:r>
        <w:t xml:space="preserve">Historical VaR was computed as the 5th percentile of each fund's daily return distribution; CVaR as the mean return below that threshold. The highest tail-risk funds are concentrated in the Small Cap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1800"/>
      </w:tblGrid>
      <w:tr>
        <w:trPr>
          <w:tblHeader/>
        </w:trPr>
        <w:tc>
          <w:tcPr>
            <w:tcW w:type="dxa" w:w="5200"/>
            <w:shd w:fill="1E2761" w:val="clear"/>
          </w:tcPr>
          <w:p>
            <w:r>
              <w:rPr>
                <w:b/>
                <w:bCs/>
                <w:color w:val="FFFFFF"/>
                <w:sz w:val="20"/>
                <w:szCs w:val="20"/>
              </w:rPr>
              <w:t xml:space="preserve">Scheme</w:t>
            </w:r>
          </w:p>
        </w:tc>
        <w:tc>
          <w:tcPr>
            <w:tcW w:type="dxa" w:w="2000"/>
            <w:shd w:fill="1E2761" w:val="clear"/>
          </w:tcPr>
          <w:p>
            <w:r>
              <w:rPr>
                <w:b/>
                <w:bCs/>
                <w:color w:val="FFFFFF"/>
                <w:sz w:val="20"/>
                <w:szCs w:val="20"/>
              </w:rPr>
              <w:t xml:space="preserve">VaR (95%)</w:t>
            </w:r>
          </w:p>
        </w:tc>
        <w:tc>
          <w:tcPr>
            <w:tcW w:type="dxa" w:w="1800"/>
            <w:shd w:fill="1E2761" w:val="clear"/>
          </w:tcPr>
          <w:p>
            <w:r>
              <w:rPr>
                <w:b/>
                <w:bCs/>
                <w:color w:val="FFFFFF"/>
                <w:sz w:val="20"/>
                <w:szCs w:val="20"/>
              </w:rPr>
              <w:t xml:space="preserve">CVaR (95%)</w:t>
            </w:r>
          </w:p>
        </w:tc>
      </w:tr>
      <w:tr>
        <w:tc>
          <w:tcPr>
            <w:tcW w:type="dxa" w:w="5200"/>
            <w:shd w:fill="FFFFFF" w:val="clear"/>
          </w:tcPr>
          <w:p>
            <w:r>
              <w:rPr>
                <w:sz w:val="20"/>
                <w:szCs w:val="20"/>
              </w:rPr>
              <w:t xml:space="preserve">SBI Small Cap Fund - Direct Plan - Growth</w:t>
            </w:r>
          </w:p>
        </w:tc>
        <w:tc>
          <w:tcPr>
            <w:tcW w:type="dxa" w:w="2000"/>
            <w:shd w:fill="FFFFFF" w:val="clear"/>
          </w:tcPr>
          <w:p>
            <w:r>
              <w:rPr>
                <w:sz w:val="20"/>
                <w:szCs w:val="20"/>
              </w:rPr>
              <w:t xml:space="preserve">-2.69%</w:t>
            </w:r>
          </w:p>
        </w:tc>
        <w:tc>
          <w:tcPr>
            <w:tcW w:type="dxa" w:w="1800"/>
            <w:shd w:fill="FFFFFF" w:val="clear"/>
          </w:tcPr>
          <w:p>
            <w:r>
              <w:rPr>
                <w:sz w:val="20"/>
                <w:szCs w:val="20"/>
              </w:rPr>
              <w:t xml:space="preserve">-3.24%</w:t>
            </w:r>
          </w:p>
        </w:tc>
      </w:tr>
      <w:tr>
        <w:tc>
          <w:tcPr>
            <w:tcW w:type="dxa" w:w="5200"/>
            <w:shd w:fill="F2F4FA" w:val="clear"/>
          </w:tcPr>
          <w:p>
            <w:r>
              <w:rPr>
                <w:sz w:val="20"/>
                <w:szCs w:val="20"/>
              </w:rPr>
              <w:t xml:space="preserve">Axis Small Cap Fund - Regular - Growth</w:t>
            </w:r>
          </w:p>
        </w:tc>
        <w:tc>
          <w:tcPr>
            <w:tcW w:type="dxa" w:w="2000"/>
            <w:shd w:fill="F2F4FA" w:val="clear"/>
          </w:tcPr>
          <w:p>
            <w:r>
              <w:rPr>
                <w:sz w:val="20"/>
                <w:szCs w:val="20"/>
              </w:rPr>
              <w:t xml:space="preserve">-2.62%</w:t>
            </w:r>
          </w:p>
        </w:tc>
        <w:tc>
          <w:tcPr>
            <w:tcW w:type="dxa" w:w="1800"/>
            <w:shd w:fill="F2F4FA" w:val="clear"/>
          </w:tcPr>
          <w:p>
            <w:r>
              <w:rPr>
                <w:sz w:val="20"/>
                <w:szCs w:val="20"/>
              </w:rPr>
              <w:t xml:space="preserve">-3.17%</w:t>
            </w:r>
          </w:p>
        </w:tc>
      </w:tr>
      <w:tr>
        <w:tc>
          <w:tcPr>
            <w:tcW w:type="dxa" w:w="5200"/>
            <w:shd w:fill="FFFFFF" w:val="clear"/>
          </w:tcPr>
          <w:p>
            <w:r>
              <w:rPr>
                <w:sz w:val="20"/>
                <w:szCs w:val="20"/>
              </w:rPr>
              <w:t xml:space="preserve">ABSL Small Cap Fund - Regular - Growth</w:t>
            </w:r>
          </w:p>
        </w:tc>
        <w:tc>
          <w:tcPr>
            <w:tcW w:type="dxa" w:w="2000"/>
            <w:shd w:fill="FFFFFF" w:val="clear"/>
          </w:tcPr>
          <w:p>
            <w:r>
              <w:rPr>
                <w:sz w:val="20"/>
                <w:szCs w:val="20"/>
              </w:rPr>
              <w:t xml:space="preserve">-2.60%</w:t>
            </w:r>
          </w:p>
        </w:tc>
        <w:tc>
          <w:tcPr>
            <w:tcW w:type="dxa" w:w="1800"/>
            <w:shd w:fill="FFFFFF" w:val="clear"/>
          </w:tcPr>
          <w:p>
            <w:r>
              <w:rPr>
                <w:sz w:val="20"/>
                <w:szCs w:val="20"/>
              </w:rPr>
              <w:t xml:space="preserve">-3.25%</w:t>
            </w:r>
          </w:p>
        </w:tc>
      </w:tr>
    </w:tbl>
    <w:p>
      <w:pPr>
        <w:spacing w:after="200"/>
      </w:pPr>
    </w:p>
    <w:p>
      <w:pPr>
        <w:spacing w:after="160"/>
      </w:pPr>
      <w:r>
        <w:t xml:space="preserve">VaR at 95% confidence means there is a 5% historical chance of a single-day loss exceeding the stated figure; CVaR (Expected Shortfall) is the average loss on those worst 5% of days — a more conservative tail-risk measure than VaR alone, since it captures how bad the bad days actually get rather than just the threshold.</w:t>
      </w:r>
    </w:p>
    <w:p>
      <w:pPr>
        <w:pStyle w:val="Heading2"/>
        <w:spacing w:after="150" w:before="300"/>
      </w:pPr>
      <w:r>
        <w:t xml:space="preserve">8.2 Rolling 90-Day Sharpe Ratio</w:t>
      </w:r>
    </w:p>
    <w:p>
      <w:pPr>
        <w:spacing w:after="160"/>
      </w:pPr>
      <w:r>
        <w:t xml:space="preserve">Rolling Sharpe was tracked for 5 representative funds. All five show highly regime-dependent risk-adjusted performance, repeatedly swinging from strongly negative (as low as -5, mid-2023) to strongly positive (4–6, by 2025–26) — underscoring that short-window Sharpe ratios are unstable and should not be read as a stable fund characteristic.</w:t>
      </w:r>
    </w:p>
    <w:p>
      <w:r>
        <w:br w:type="page"/>
      </w:r>
    </w:p>
    <w:p>
      <w:pPr>
        <w:spacing w:after="60" w:before="120" w:line="240" w:lineRule="auto"/>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876550"/>
                    </a:xfrm>
                    <a:prstGeom prst="rect">
                      <a:avLst/>
                    </a:prstGeom>
                  </pic:spPr>
                </pic:pic>
              </a:graphicData>
            </a:graphic>
          </wp:inline>
        </w:drawing>
      </w:r>
    </w:p>
    <w:p>
      <w:pPr>
        <w:spacing w:after="300"/>
        <w:jc w:val="center"/>
      </w:pPr>
      <w:r>
        <w:rPr>
          <w:i/>
          <w:iCs/>
          <w:color w:val="595959"/>
          <w:sz w:val="18"/>
          <w:szCs w:val="18"/>
        </w:rPr>
        <w:t xml:space="preserve">Rolling 90-day Sharpe ratio, 5 tracked funds.</w:t>
      </w:r>
    </w:p>
    <w:p>
      <w:r>
        <w:br w:type="page"/>
      </w:r>
    </w:p>
    <w:p>
      <w:pPr>
        <w:pStyle w:val="Heading2"/>
        <w:spacing w:after="150" w:before="300"/>
      </w:pPr>
      <w:r>
        <w:t xml:space="preserve">8.3 Investor Cohort Analysis</w:t>
      </w:r>
    </w:p>
    <w:p>
      <w:pPr>
        <w:spacing w:after="160"/>
      </w:pPr>
      <w:r>
        <w:t xml:space="preserve">Investors were grouped by the year of their first transaction. The 2024 cohort dominates both by count and capital: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400"/>
        <w:gridCol w:w="1600"/>
      </w:tblGrid>
      <w:tr>
        <w:trPr>
          <w:tblHeader/>
        </w:trPr>
        <w:tc>
          <w:tcPr>
            <w:tcW w:type="dxa" w:w="1800"/>
            <w:shd w:fill="1E2761" w:val="clear"/>
          </w:tcPr>
          <w:p>
            <w:r>
              <w:rPr>
                <w:b/>
                <w:bCs/>
                <w:color w:val="FFFFFF"/>
                <w:sz w:val="20"/>
                <w:szCs w:val="20"/>
              </w:rPr>
              <w:t xml:space="preserve">Cohort Year</w:t>
            </w:r>
          </w:p>
        </w:tc>
        <w:tc>
          <w:tcPr>
            <w:tcW w:type="dxa" w:w="1900"/>
            <w:shd w:fill="1E2761" w:val="clear"/>
          </w:tcPr>
          <w:p>
            <w:r>
              <w:rPr>
                <w:b/>
                <w:bCs/>
                <w:color w:val="FFFFFF"/>
                <w:sz w:val="20"/>
                <w:szCs w:val="20"/>
              </w:rPr>
              <w:t xml:space="preserve">Avg SIP Amount</w:t>
            </w:r>
          </w:p>
        </w:tc>
        <w:tc>
          <w:tcPr>
            <w:tcW w:type="dxa" w:w="1900"/>
            <w:shd w:fill="1E2761" w:val="clear"/>
          </w:tcPr>
          <w:p>
            <w:r>
              <w:rPr>
                <w:b/>
                <w:bCs/>
                <w:color w:val="FFFFFF"/>
                <w:sz w:val="20"/>
                <w:szCs w:val="20"/>
              </w:rPr>
              <w:t xml:space="preserve">Total Invested</w:t>
            </w:r>
          </w:p>
        </w:tc>
        <w:tc>
          <w:tcPr>
            <w:tcW w:type="dxa" w:w="1400"/>
            <w:shd w:fill="1E2761" w:val="clear"/>
          </w:tcPr>
          <w:p>
            <w:r>
              <w:rPr>
                <w:b/>
                <w:bCs/>
                <w:color w:val="FFFFFF"/>
                <w:sz w:val="20"/>
                <w:szCs w:val="20"/>
              </w:rPr>
              <w:t xml:space="preserve">Investors</w:t>
            </w:r>
          </w:p>
        </w:tc>
        <w:tc>
          <w:tcPr>
            <w:tcW w:type="dxa" w:w="1600"/>
            <w:shd w:fill="1E2761" w:val="clear"/>
          </w:tcPr>
          <w:p>
            <w:r>
              <w:rPr>
                <w:b/>
                <w:bCs/>
                <w:color w:val="FFFFFF"/>
                <w:sz w:val="20"/>
                <w:szCs w:val="20"/>
              </w:rPr>
              <w:t xml:space="preserve">Top Fund (by code)</w:t>
            </w:r>
          </w:p>
        </w:tc>
      </w:tr>
      <w:tr>
        <w:tc>
          <w:tcPr>
            <w:tcW w:type="dxa" w:w="1800"/>
            <w:shd w:fill="FFFFFF" w:val="clear"/>
          </w:tcPr>
          <w:p>
            <w:r>
              <w:rPr>
                <w:sz w:val="20"/>
                <w:szCs w:val="20"/>
              </w:rPr>
              <w:t xml:space="preserve">2024</w:t>
            </w:r>
          </w:p>
        </w:tc>
        <w:tc>
          <w:tcPr>
            <w:tcW w:type="dxa" w:w="1900"/>
            <w:shd w:fill="FFFFFF" w:val="clear"/>
          </w:tcPr>
          <w:p>
            <w:r>
              <w:rPr>
                <w:sz w:val="20"/>
                <w:szCs w:val="20"/>
              </w:rPr>
              <w:t xml:space="preserve">Rs. 10,997</w:t>
            </w:r>
          </w:p>
        </w:tc>
        <w:tc>
          <w:tcPr>
            <w:tcW w:type="dxa" w:w="1900"/>
            <w:shd w:fill="FFFFFF" w:val="clear"/>
          </w:tcPr>
          <w:p>
            <w:r>
              <w:rPr>
                <w:sz w:val="20"/>
                <w:szCs w:val="20"/>
              </w:rPr>
              <w:t xml:space="preserve">Rs. 21.50 crore</w:t>
            </w:r>
          </w:p>
        </w:tc>
        <w:tc>
          <w:tcPr>
            <w:tcW w:type="dxa" w:w="1400"/>
            <w:shd w:fill="FFFFFF" w:val="clear"/>
          </w:tcPr>
          <w:p>
            <w:r>
              <w:rPr>
                <w:sz w:val="20"/>
                <w:szCs w:val="20"/>
              </w:rPr>
              <w:t xml:space="preserve">4,624</w:t>
            </w:r>
          </w:p>
        </w:tc>
        <w:tc>
          <w:tcPr>
            <w:tcW w:type="dxa" w:w="1600"/>
            <w:shd w:fill="FFFFFF" w:val="clear"/>
          </w:tcPr>
          <w:p>
            <w:r>
              <w:rPr>
                <w:sz w:val="20"/>
                <w:szCs w:val="20"/>
              </w:rPr>
              <w:t xml:space="preserve">125498</w:t>
            </w:r>
          </w:p>
        </w:tc>
      </w:tr>
      <w:tr>
        <w:tc>
          <w:tcPr>
            <w:tcW w:type="dxa" w:w="1800"/>
            <w:shd w:fill="F2F4FA" w:val="clear"/>
          </w:tcPr>
          <w:p>
            <w:r>
              <w:rPr>
                <w:sz w:val="20"/>
                <w:szCs w:val="20"/>
              </w:rPr>
              <w:t xml:space="preserve">2025</w:t>
            </w:r>
          </w:p>
        </w:tc>
        <w:tc>
          <w:tcPr>
            <w:tcW w:type="dxa" w:w="1900"/>
            <w:shd w:fill="F2F4FA" w:val="clear"/>
          </w:tcPr>
          <w:p>
            <w:r>
              <w:rPr>
                <w:sz w:val="20"/>
                <w:szCs w:val="20"/>
              </w:rPr>
              <w:t xml:space="preserve">Rs. 13,505</w:t>
            </w:r>
          </w:p>
        </w:tc>
        <w:tc>
          <w:tcPr>
            <w:tcW w:type="dxa" w:w="1900"/>
            <w:shd w:fill="F2F4FA" w:val="clear"/>
          </w:tcPr>
          <w:p>
            <w:r>
              <w:rPr>
                <w:sz w:val="20"/>
                <w:szCs w:val="20"/>
              </w:rPr>
              <w:t xml:space="preserve">Rs. 22.55 lakh</w:t>
            </w:r>
          </w:p>
        </w:tc>
        <w:tc>
          <w:tcPr>
            <w:tcW w:type="dxa" w:w="1400"/>
            <w:shd w:fill="F2F4FA" w:val="clear"/>
          </w:tcPr>
          <w:p>
            <w:r>
              <w:rPr>
                <w:sz w:val="20"/>
                <w:szCs w:val="20"/>
              </w:rPr>
              <w:t xml:space="preserve">138</w:t>
            </w:r>
          </w:p>
        </w:tc>
        <w:tc>
          <w:tcPr>
            <w:tcW w:type="dxa" w:w="1600"/>
            <w:shd w:fill="F2F4FA" w:val="clear"/>
          </w:tcPr>
          <w:p>
            <w:r>
              <w:rPr>
                <w:sz w:val="20"/>
                <w:szCs w:val="20"/>
              </w:rPr>
              <w:t xml:space="preserve">119599</w:t>
            </w:r>
          </w:p>
        </w:tc>
      </w:tr>
    </w:tbl>
    <w:p>
      <w:pPr>
        <w:spacing w:after="200"/>
      </w:pPr>
    </w:p>
    <w:p>
      <w:pPr>
        <w:spacing w:after="160"/>
      </w:pPr>
      <w:r>
        <w:t xml:space="preserve">The 2025 cohort's higher average SIP size (Rs. 13,505 vs Rs. 10,997) suggests newer investors in this dataset are committing larger monthly amounts per SIP — but their far smaller total headcount (138 vs 4,624) means 2024 remains the dominant year for both AUM contribution and platform reach.</w:t>
      </w:r>
    </w:p>
    <w:p>
      <w:pPr>
        <w:pStyle w:val="Heading2"/>
        <w:spacing w:after="150" w:before="300"/>
      </w:pPr>
      <w:r>
        <w:t xml:space="preserve">8.4 SIP Continuity — Key Finding</w:t>
      </w:r>
    </w:p>
    <w:p>
      <w:pPr>
        <w:spacing w:after="160"/>
      </w:pPr>
      <w:r>
        <w:t xml:space="preserve">For every investor with 6 or more SIP transactions, the average number of days between consecutive SIP payments was computed; investors averaging more than 35 days between SIPs were flagged “at-risk” for lapsing regularity.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tblGrid>
      <w:tr>
        <w:trPr>
          <w:tblHeader/>
        </w:trPr>
        <w:tc>
          <w:tcPr>
            <w:tcW w:type="dxa" w:w="4600"/>
            <w:shd w:fill="1E2761" w:val="clear"/>
          </w:tcPr>
          <w:p>
            <w:r>
              <w:rPr>
                <w:b/>
                <w:bCs/>
                <w:color w:val="FFFFFF"/>
                <w:sz w:val="20"/>
                <w:szCs w:val="20"/>
              </w:rPr>
              <w:t xml:space="preserve">Metric</w:t>
            </w:r>
          </w:p>
        </w:tc>
        <w:tc>
          <w:tcPr>
            <w:tcW w:type="dxa" w:w="2000"/>
            <w:shd w:fill="1E2761" w:val="clear"/>
          </w:tcPr>
          <w:p>
            <w:r>
              <w:rPr>
                <w:b/>
                <w:bCs/>
                <w:color w:val="FFFFFF"/>
                <w:sz w:val="20"/>
                <w:szCs w:val="20"/>
              </w:rPr>
              <w:t xml:space="preserve">Value</w:t>
            </w:r>
          </w:p>
        </w:tc>
      </w:tr>
      <w:tr>
        <w:tc>
          <w:tcPr>
            <w:tcW w:type="dxa" w:w="4600"/>
            <w:shd w:fill="FFFFFF" w:val="clear"/>
          </w:tcPr>
          <w:p>
            <w:r>
              <w:rPr>
                <w:sz w:val="20"/>
                <w:szCs w:val="20"/>
              </w:rPr>
              <w:t xml:space="preserve">Eligible investors (6+ SIPs)</w:t>
            </w:r>
          </w:p>
        </w:tc>
        <w:tc>
          <w:tcPr>
            <w:tcW w:type="dxa" w:w="2000"/>
            <w:shd w:fill="FFFFFF" w:val="clear"/>
          </w:tcPr>
          <w:p>
            <w:r>
              <w:rPr>
                <w:sz w:val="20"/>
                <w:szCs w:val="20"/>
              </w:rPr>
              <w:t xml:space="preserve">1,362</w:t>
            </w:r>
          </w:p>
        </w:tc>
      </w:tr>
      <w:tr>
        <w:tc>
          <w:tcPr>
            <w:tcW w:type="dxa" w:w="4600"/>
            <w:shd w:fill="F2F4FA" w:val="clear"/>
          </w:tcPr>
          <w:p>
            <w:r>
              <w:rPr>
                <w:sz w:val="20"/>
                <w:szCs w:val="20"/>
              </w:rPr>
              <w:t xml:space="preserve">At-risk investors (avg gap &gt; 35 days)</w:t>
            </w:r>
          </w:p>
        </w:tc>
        <w:tc>
          <w:tcPr>
            <w:tcW w:type="dxa" w:w="2000"/>
            <w:shd w:fill="F2F4FA" w:val="clear"/>
          </w:tcPr>
          <w:p>
            <w:r>
              <w:rPr>
                <w:sz w:val="20"/>
                <w:szCs w:val="20"/>
              </w:rPr>
              <w:t xml:space="preserve">1,332</w:t>
            </w:r>
          </w:p>
        </w:tc>
      </w:tr>
      <w:tr>
        <w:tc>
          <w:tcPr>
            <w:tcW w:type="dxa" w:w="4600"/>
            <w:shd w:fill="FFFFFF" w:val="clear"/>
          </w:tcPr>
          <w:p>
            <w:r>
              <w:rPr>
                <w:sz w:val="20"/>
                <w:szCs w:val="20"/>
              </w:rPr>
              <w:t xml:space="preserve">At-risk percentage</w:t>
            </w:r>
          </w:p>
        </w:tc>
        <w:tc>
          <w:tcPr>
            <w:tcW w:type="dxa" w:w="2000"/>
            <w:shd w:fill="FFFFFF" w:val="clear"/>
          </w:tcPr>
          <w:p>
            <w:r>
              <w:rPr>
                <w:sz w:val="20"/>
                <w:szCs w:val="20"/>
              </w:rPr>
              <w:t xml:space="preserve">97.8%</w:t>
            </w:r>
          </w:p>
        </w:tc>
      </w:tr>
    </w:tbl>
    <w:p>
      <w:pPr>
        <w:spacing w:after="200"/>
      </w:pPr>
    </w:p>
    <w:p>
      <w:pPr>
        <w:spacing w:after="160"/>
      </w:pPr>
      <w:r>
        <w:t xml:space="preserve">This is the most consequential finding in the project: despite being classified as “long-term” SIP investors by transaction count, the overwhelming majority are not sustaining a disciplined monthly cadence. This directly informs the retention recommendations in Section 11.</w:t>
      </w:r>
    </w:p>
    <w:p>
      <w:pPr>
        <w:pStyle w:val="Heading2"/>
        <w:spacing w:after="150" w:before="300"/>
      </w:pPr>
      <w:r>
        <w:t xml:space="preserve">8.5 Sector Concentration (HHI)</w:t>
      </w:r>
    </w:p>
    <w:p>
      <w:pPr>
        <w:spacing w:after="160"/>
      </w:pPr>
      <w:r>
        <w:t xml:space="preserve">The Herfindahl-Hirschman Index (HHI = Σ weight_i²) was computed per equity fund from sector-level portfolio weights, on a 0–10,000 scale where higher values indicate a portfolio concentrated in fewer sectors. Axis Bluechip Fund is the most sector-concentrated fund in the sample (HHI ≈ 2,968), followed by Mirae Asset Tax Saver Fund (≈2,550) and HDFC Mid-Cap Opportunities Fund Direct (≈2,532) — all indicating meaningfully reduced sector diversification relative to more balanced peers.</w:t>
      </w:r>
    </w:p>
    <w:p>
      <w:pPr>
        <w:spacing w:after="60" w:before="120" w:line="240" w:lineRule="auto"/>
        <w:jc w:val="center"/>
      </w:pPr>
      <w:r>
        <w:drawing>
          <wp:inline distT="0" distB="0" distL="0" distR="0">
            <wp:extent cx="5762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457575"/>
                    </a:xfrm>
                    <a:prstGeom prst="rect">
                      <a:avLst/>
                    </a:prstGeom>
                  </pic:spPr>
                </pic:pic>
              </a:graphicData>
            </a:graphic>
          </wp:inline>
        </w:drawing>
      </w:r>
    </w:p>
    <w:p>
      <w:pPr>
        <w:spacing w:after="300"/>
        <w:jc w:val="center"/>
      </w:pPr>
      <w:r>
        <w:rPr>
          <w:i/>
          <w:iCs/>
          <w:color w:val="595959"/>
          <w:sz w:val="18"/>
          <w:szCs w:val="18"/>
        </w:rPr>
        <w:t xml:space="preserve">Top 10 most sector-concentrated equity funds by HHI.</w:t>
      </w:r>
    </w:p>
    <w:p>
      <w:pPr>
        <w:pStyle w:val="Heading2"/>
        <w:spacing w:after="150" w:before="300"/>
      </w:pPr>
      <w:r>
        <w:t xml:space="preserve">8.6 Simple Fund Recommender</w:t>
      </w:r>
    </w:p>
    <w:p>
      <w:pPr>
        <w:spacing w:after="160"/>
      </w:pPr>
      <w:r>
        <w:t xml:space="preserve">A rule-based recommender (scripts/recommender.py) maps investor risk appetite (Low / Moderate / High) to matching SEBI risk categories and returns the top 3 funds by Sharpe ratio within that band. Sample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type="dxa" w:w="2200"/>
            <w:shd w:fill="1E2761" w:val="clear"/>
          </w:tcPr>
          <w:p>
            <w:r>
              <w:rPr>
                <w:b/>
                <w:bCs/>
                <w:color w:val="FFFFFF"/>
                <w:sz w:val="20"/>
                <w:szCs w:val="20"/>
              </w:rPr>
              <w:t xml:space="preserve">Risk Appetite</w:t>
            </w:r>
          </w:p>
        </w:tc>
        <w:tc>
          <w:tcPr>
            <w:tcW w:type="dxa" w:w="5200"/>
            <w:shd w:fill="1E2761" w:val="clear"/>
          </w:tcPr>
          <w:p>
            <w:r>
              <w:rPr>
                <w:b/>
                <w:bCs/>
                <w:color w:val="FFFFFF"/>
                <w:sz w:val="20"/>
                <w:szCs w:val="20"/>
              </w:rPr>
              <w:t xml:space="preserve">Top Recommendation</w:t>
            </w:r>
          </w:p>
        </w:tc>
        <w:tc>
          <w:tcPr>
            <w:tcW w:type="dxa" w:w="1600"/>
            <w:shd w:fill="1E2761" w:val="clear"/>
          </w:tcPr>
          <w:p>
            <w:r>
              <w:rPr>
                <w:b/>
                <w:bCs/>
                <w:color w:val="FFFFFF"/>
                <w:sz w:val="20"/>
                <w:szCs w:val="20"/>
              </w:rPr>
              <w:t xml:space="preserve">Sharpe</w:t>
            </w:r>
          </w:p>
        </w:tc>
      </w:tr>
      <w:tr>
        <w:tc>
          <w:tcPr>
            <w:tcW w:type="dxa" w:w="2200"/>
            <w:shd w:fill="FFFFFF" w:val="clear"/>
          </w:tcPr>
          <w:p>
            <w:r>
              <w:rPr>
                <w:sz w:val="20"/>
                <w:szCs w:val="20"/>
              </w:rPr>
              <w:t xml:space="preserve">Low</w:t>
            </w:r>
          </w:p>
        </w:tc>
        <w:tc>
          <w:tcPr>
            <w:tcW w:type="dxa" w:w="5200"/>
            <w:shd w:fill="FFFFFF" w:val="clear"/>
          </w:tcPr>
          <w:p>
            <w:r>
              <w:rPr>
                <w:sz w:val="20"/>
                <w:szCs w:val="20"/>
              </w:rPr>
              <w:t xml:space="preserve">ICICI Pru Liquid Fund - Regular - Growth</w:t>
            </w:r>
          </w:p>
        </w:tc>
        <w:tc>
          <w:tcPr>
            <w:tcW w:type="dxa" w:w="1600"/>
            <w:shd w:fill="FFFFFF" w:val="clear"/>
          </w:tcPr>
          <w:p>
            <w:r>
              <w:rPr>
                <w:sz w:val="20"/>
                <w:szCs w:val="20"/>
              </w:rPr>
              <w:t xml:space="preserve">7.68</w:t>
            </w:r>
          </w:p>
        </w:tc>
      </w:tr>
      <w:tr>
        <w:tc>
          <w:tcPr>
            <w:tcW w:type="dxa" w:w="2200"/>
            <w:shd w:fill="F2F4FA" w:val="clear"/>
          </w:tcPr>
          <w:p>
            <w:r>
              <w:rPr>
                <w:sz w:val="20"/>
                <w:szCs w:val="20"/>
              </w:rPr>
              <w:t xml:space="preserve">Moderate</w:t>
            </w:r>
          </w:p>
        </w:tc>
        <w:tc>
          <w:tcPr>
            <w:tcW w:type="dxa" w:w="5200"/>
            <w:shd w:fill="F2F4FA" w:val="clear"/>
          </w:tcPr>
          <w:p>
            <w:r>
              <w:rPr>
                <w:sz w:val="20"/>
                <w:szCs w:val="20"/>
              </w:rPr>
              <w:t xml:space="preserve">HDFC Top 100 Fund - Regular Plan - Growth</w:t>
            </w:r>
          </w:p>
        </w:tc>
        <w:tc>
          <w:tcPr>
            <w:tcW w:type="dxa" w:w="1600"/>
            <w:shd w:fill="F2F4FA" w:val="clear"/>
          </w:tcPr>
          <w:p>
            <w:r>
              <w:rPr>
                <w:sz w:val="20"/>
                <w:szCs w:val="20"/>
              </w:rPr>
              <w:t xml:space="preserve">1.06</w:t>
            </w:r>
          </w:p>
        </w:tc>
      </w:tr>
      <w:tr>
        <w:tc>
          <w:tcPr>
            <w:tcW w:type="dxa" w:w="2200"/>
            <w:shd w:fill="FFFFFF" w:val="clear"/>
          </w:tcPr>
          <w:p>
            <w:r>
              <w:rPr>
                <w:sz w:val="20"/>
                <w:szCs w:val="20"/>
              </w:rPr>
              <w:t xml:space="preserve">High</w:t>
            </w:r>
          </w:p>
        </w:tc>
        <w:tc>
          <w:tcPr>
            <w:tcW w:type="dxa" w:w="5200"/>
            <w:shd w:fill="FFFFFF" w:val="clear"/>
          </w:tcPr>
          <w:p>
            <w:r>
              <w:rPr>
                <w:sz w:val="20"/>
                <w:szCs w:val="20"/>
              </w:rPr>
              <w:t xml:space="preserve">Kotak Emerging Equity Fund - Regular - Growth</w:t>
            </w:r>
          </w:p>
        </w:tc>
        <w:tc>
          <w:tcPr>
            <w:tcW w:type="dxa" w:w="1600"/>
            <w:shd w:fill="FFFFFF" w:val="clear"/>
          </w:tcPr>
          <w:p>
            <w:r>
              <w:rPr>
                <w:sz w:val="20"/>
                <w:szCs w:val="20"/>
              </w:rPr>
              <w:t xml:space="preserve">0.96</w:t>
            </w:r>
          </w:p>
        </w:tc>
      </w:tr>
    </w:tbl>
    <w:p>
      <w:pPr>
        <w:spacing w:after="200"/>
      </w:pPr>
    </w:p>
    <w:p>
      <w:r>
        <w:br w:type="page"/>
      </w:r>
    </w:p>
    <w:p>
      <w:pPr>
        <w:pStyle w:val="Heading1"/>
        <w:spacing w:after="200" w:before="400"/>
      </w:pPr>
      <w:r>
        <w:t xml:space="preserve">9. Interactive Dashboard</w:t>
      </w:r>
    </w:p>
    <w:p>
      <w:pPr>
        <w:spacing w:after="160"/>
      </w:pPr>
      <w:r>
        <w:t xml:space="preserve">The Power BI dashboard (dashboard/bluestock_mf_dashboard.pbix) consists of 4 pages, each with interactive slicers and cross-filtering. All charts share consistent styling and were built directly against the SQLite database and processed CSVs, with several DAX measures created to pin KPI cards and trend charts to the latest available period (e.g. Total AUM (Latest), Latest SIP Inflow) rather than double-counting across historical quarters.</w:t>
      </w:r>
    </w:p>
    <w:p>
      <w:pPr>
        <w:pStyle w:val="Heading2"/>
        <w:spacing w:after="150" w:before="300"/>
      </w:pPr>
      <w:r>
        <w:t xml:space="preserve">9.1 Page 1 — Industry Overview</w:t>
      </w:r>
    </w:p>
    <w:p>
      <w:pPr>
        <w:spacing w:after="160"/>
      </w:pPr>
      <w:r>
        <w:t xml:space="preserve">KPI cards (Total AUM, Latest SIP Inflow, Latest Folios, Scheme Count), an industry AUM trend line, and an AUM-by-fund-house bar chart confirming SBI Mutual Fund's dominance.</w:t>
      </w:r>
    </w:p>
    <w:p>
      <w:pPr>
        <w:spacing w:after="60" w:before="120" w:line="240" w:lineRule="auto"/>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71825"/>
                    </a:xfrm>
                    <a:prstGeom prst="rect">
                      <a:avLst/>
                    </a:prstGeom>
                  </pic:spPr>
                </pic:pic>
              </a:graphicData>
            </a:graphic>
          </wp:inline>
        </w:drawing>
      </w:r>
    </w:p>
    <w:p>
      <w:pPr>
        <w:spacing w:after="300"/>
        <w:jc w:val="center"/>
      </w:pPr>
      <w:r>
        <w:rPr>
          <w:i/>
          <w:iCs/>
          <w:color w:val="595959"/>
          <w:sz w:val="18"/>
          <w:szCs w:val="18"/>
        </w:rPr>
        <w:t xml:space="preserve">Dashboard Page 1 — Industry Overview.</w:t>
      </w:r>
    </w:p>
    <w:p>
      <w:pPr>
        <w:pStyle w:val="Heading2"/>
        <w:spacing w:after="150" w:before="300"/>
      </w:pPr>
      <w:r>
        <w:t xml:space="preserve">9.2 Page 2 — Fund Performance</w:t>
      </w:r>
    </w:p>
    <w:p>
      <w:pPr>
        <w:spacing w:after="160"/>
      </w:pPr>
      <w:r>
        <w:t xml:space="preserve">A sortable fund scorecard table, a return-vs-drawdown scatter plot, a NAV trend line, and slicers for fund house, category and plan.</w:t>
      </w:r>
    </w:p>
    <w:p>
      <w:pPr>
        <w:spacing w:after="60" w:before="120" w:line="240" w:lineRule="auto"/>
        <w:jc w:val="center"/>
      </w:pPr>
      <w:r>
        <w:drawing>
          <wp:inline distT="0" distB="0" distL="0" distR="0">
            <wp:extent cx="57626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333750"/>
                    </a:xfrm>
                    <a:prstGeom prst="rect">
                      <a:avLst/>
                    </a:prstGeom>
                  </pic:spPr>
                </pic:pic>
              </a:graphicData>
            </a:graphic>
          </wp:inline>
        </w:drawing>
      </w:r>
    </w:p>
    <w:p>
      <w:pPr>
        <w:spacing w:after="300"/>
        <w:jc w:val="center"/>
      </w:pPr>
      <w:r>
        <w:rPr>
          <w:i/>
          <w:iCs/>
          <w:color w:val="595959"/>
          <w:sz w:val="18"/>
          <w:szCs w:val="18"/>
        </w:rPr>
        <w:t xml:space="preserve">Dashboard Page 2 — Fund Performance.</w:t>
      </w:r>
    </w:p>
    <w:p>
      <w:pPr>
        <w:pStyle w:val="Heading2"/>
        <w:spacing w:after="150" w:before="300"/>
      </w:pPr>
      <w:r>
        <w:t xml:space="preserve">9.3 Page 3 — Investor Analytics</w:t>
      </w:r>
    </w:p>
    <w:p>
      <w:pPr>
        <w:spacing w:after="160"/>
      </w:pPr>
      <w:r>
        <w:t xml:space="preserve">Transaction amount by state, a SIP/Lumpsum/Redemption donut, average SIP amount by age group, and transaction-volume trend, with slicers for state, age group and city tier.</w:t>
      </w:r>
    </w:p>
    <w:p>
      <w:pPr>
        <w:spacing w:after="60" w:before="120" w:line="240" w:lineRule="auto"/>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86125"/>
                    </a:xfrm>
                    <a:prstGeom prst="rect">
                      <a:avLst/>
                    </a:prstGeom>
                  </pic:spPr>
                </pic:pic>
              </a:graphicData>
            </a:graphic>
          </wp:inline>
        </w:drawing>
      </w:r>
    </w:p>
    <w:p>
      <w:pPr>
        <w:spacing w:after="300"/>
        <w:jc w:val="center"/>
      </w:pPr>
      <w:r>
        <w:rPr>
          <w:i/>
          <w:iCs/>
          <w:color w:val="595959"/>
          <w:sz w:val="18"/>
          <w:szCs w:val="18"/>
        </w:rPr>
        <w:t xml:space="preserve">Dashboard Page 3 — Investor Analytics.</w:t>
      </w:r>
    </w:p>
    <w:p>
      <w:pPr>
        <w:pStyle w:val="Heading2"/>
        <w:spacing w:after="150" w:before="300"/>
      </w:pPr>
      <w:r>
        <w:t xml:space="preserve">9.4 Page 4 — SIP &amp; Market Trends</w:t>
      </w:r>
    </w:p>
    <w:p>
      <w:pPr>
        <w:spacing w:after="160"/>
      </w:pPr>
      <w:r>
        <w:t xml:space="preserve">SIP inflow trend and Nifty 50 index level (shown as two time-aligned charts — see Section 10 on the dual-axis limitation), a category-inflow heatmap (Matrix visual with conditional background-colour formatting), and a Top-5-categories-by-net-inflow chart.</w:t>
      </w:r>
    </w:p>
    <w:p>
      <w:pPr>
        <w:spacing w:after="60" w:before="120" w:line="240" w:lineRule="auto"/>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314700"/>
                    </a:xfrm>
                    <a:prstGeom prst="rect">
                      <a:avLst/>
                    </a:prstGeom>
                  </pic:spPr>
                </pic:pic>
              </a:graphicData>
            </a:graphic>
          </wp:inline>
        </w:drawing>
      </w:r>
    </w:p>
    <w:p>
      <w:pPr>
        <w:spacing w:after="300"/>
        <w:jc w:val="center"/>
      </w:pPr>
      <w:r>
        <w:rPr>
          <w:i/>
          <w:iCs/>
          <w:color w:val="595959"/>
          <w:sz w:val="18"/>
          <w:szCs w:val="18"/>
        </w:rPr>
        <w:t xml:space="preserve">Dashboard Page 4 — SIP &amp; Market Trends.</w:t>
      </w:r>
    </w:p>
    <w:p>
      <w:r>
        <w:br w:type="page"/>
      </w:r>
    </w:p>
    <w:p>
      <w:pPr>
        <w:pStyle w:val="Heading1"/>
        <w:spacing w:after="200" w:before="400"/>
      </w:pPr>
      <w:r>
        <w:t xml:space="preserve">10. Limitations</w:t>
      </w:r>
    </w:p>
    <w:p>
      <w:pPr>
        <w:pStyle w:val="ListParagraph"/>
        <w:numPr>
          <w:ilvl w:val="0"/>
          <w:numId w:val="1"/>
        </w:numPr>
        <w:spacing w:after="90"/>
      </w:pPr>
      <w:r>
        <w:t xml:space="preserve">Sample scope: the platform analyses 40 schemes, not the full ~1,908-scheme Indian MF universe — dashboard KPI totals are proportionally smaller than the real industry headline figures quoted in Section 2.2.</w:t>
      </w:r>
    </w:p>
    <w:p>
      <w:pPr>
        <w:pStyle w:val="ListParagraph"/>
        <w:numPr>
          <w:ilvl w:val="0"/>
          <w:numId w:val="1"/>
        </w:numPr>
        <w:spacing w:after="90"/>
      </w:pPr>
      <w:r>
        <w:t xml:space="preserve">Simulated transactions: investor transaction data is synthetically generated (though built from realistic demographic/behavioural distributions), so investor-level findings (e.g. SIP continuity) describe patterns in the simulation rather than verified real-world investor behaviour.</w:t>
      </w:r>
    </w:p>
    <w:p>
      <w:pPr>
        <w:pStyle w:val="ListParagraph"/>
        <w:numPr>
          <w:ilvl w:val="0"/>
          <w:numId w:val="1"/>
        </w:numPr>
        <w:spacing w:after="90"/>
      </w:pPr>
      <w:r>
        <w:t xml:space="preserve">Dual-axis combo chart: Page 4 was originally intended to show SIP inflow and Nifty 50 as a single dual-axis combo chart. A cross-table relationship (linking monthly SIP data to daily benchmark data) was built but did not filter correctly inside the combo visual; the two series are instead shown as two time-aligned charts on the same page. This preserves the same comparison for the viewer without the single-visual mechanic.</w:t>
      </w:r>
    </w:p>
    <w:p>
      <w:pPr>
        <w:pStyle w:val="ListParagraph"/>
        <w:numPr>
          <w:ilvl w:val="0"/>
          <w:numId w:val="1"/>
        </w:numPr>
        <w:spacing w:after="90"/>
      </w:pPr>
      <w:r>
        <w:t xml:space="preserve">Drill-through was not implemented on the dashboard (time-boxed as an optional enhancement per the project brief) — noted here rather than left silently absent.</w:t>
      </w:r>
    </w:p>
    <w:p>
      <w:pPr>
        <w:pStyle w:val="ListParagraph"/>
        <w:numPr>
          <w:ilvl w:val="0"/>
          <w:numId w:val="1"/>
        </w:numPr>
        <w:spacing w:after="90"/>
      </w:pPr>
      <w:r>
        <w:t xml:space="preserve">A small fraction of transaction records reference amfi_codes outside the 40-scheme master list (identified during Day 1 data-quality checks); these do not join to fund-level detail and are excluded from fund-specific slicing.</w:t>
      </w:r>
    </w:p>
    <w:p>
      <w:pPr>
        <w:pStyle w:val="Heading1"/>
        <w:spacing w:after="200" w:before="400"/>
      </w:pPr>
      <w:r>
        <w:t xml:space="preserve">11. Recommendations</w:t>
      </w:r>
    </w:p>
    <w:p>
      <w:pPr>
        <w:pStyle w:val="ListParagraph"/>
        <w:numPr>
          <w:ilvl w:val="0"/>
          <w:numId w:val="1"/>
        </w:numPr>
        <w:spacing w:after="90"/>
      </w:pPr>
      <w:r>
        <w:t xml:space="preserve">Prioritise SIP-continuity retention outreach: given 97.8% of long-term SIP investors show gaps &gt;35 days, an AMC-side nudge/reminder programme targeting investors whose SIP gap exceeds ~35 days could materially improve retained AUM.</w:t>
      </w:r>
    </w:p>
    <w:p>
      <w:pPr>
        <w:pStyle w:val="ListParagraph"/>
        <w:numPr>
          <w:ilvl w:val="0"/>
          <w:numId w:val="1"/>
        </w:numPr>
        <w:spacing w:after="90"/>
      </w:pPr>
      <w:r>
        <w:t xml:space="preserve">Don't rank funds by raw Sharpe ratio alone across categories — use a composite, category-aware score (as built in Section 7) to avoid systematically favouring low-volatility Liquid funds over genuinely strong equity performers.</w:t>
      </w:r>
    </w:p>
    <w:p>
      <w:pPr>
        <w:pStyle w:val="ListParagraph"/>
        <w:numPr>
          <w:ilvl w:val="0"/>
          <w:numId w:val="1"/>
        </w:numPr>
        <w:spacing w:after="90"/>
      </w:pPr>
      <w:r>
        <w:t xml:space="preserve">Extend the risk dashboard with rolling VaR/CVaR (not just a single-window snapshot) given how much rolling Sharpe varies over time (Section 8.2) — a point-in-time risk metric can be misleading for fund selection.</w:t>
      </w:r>
    </w:p>
    <w:p>
      <w:pPr>
        <w:pStyle w:val="ListParagraph"/>
        <w:numPr>
          <w:ilvl w:val="0"/>
          <w:numId w:val="1"/>
        </w:numPr>
        <w:spacing w:after="90"/>
      </w:pPr>
      <w:r>
        <w:t xml:space="preserve">Flag high-HHI funds (Section 8.5) explicitly to retail investors comparing “similar” category funds, since sector concentration is not visible from category labels alone.</w:t>
      </w:r>
    </w:p>
    <w:p>
      <w:pPr>
        <w:pStyle w:val="ListParagraph"/>
        <w:numPr>
          <w:ilvl w:val="0"/>
          <w:numId w:val="1"/>
        </w:numPr>
        <w:spacing w:after="90"/>
      </w:pPr>
      <w:r>
        <w:t xml:space="preserve">For a production version, replace the simulated transaction dataset with real (anonymised) investor data to validate whether the SIP-continuity finding holds outside this simulation.</w:t>
      </w:r>
    </w:p>
    <w:p>
      <w:r>
        <w:br w:type="page"/>
      </w:r>
    </w:p>
    <w:p>
      <w:pPr>
        <w:pStyle w:val="Heading1"/>
        <w:spacing w:after="200" w:before="400"/>
      </w:pPr>
      <w:r>
        <w:t xml:space="preserve">12. Appendix A — Sample SQL Queries</w:t>
      </w:r>
    </w:p>
    <w:p>
      <w:pPr>
        <w:spacing w:after="160"/>
      </w:pPr>
      <w:r>
        <w:t xml:space="preserve">Ten analytical SQL queries were written and tested against the star schema (sql/queries.sql); three representative examples are reproduced below.</w:t>
      </w:r>
    </w:p>
    <w:p>
      <w:pPr>
        <w:pStyle w:val="Heading2"/>
        <w:spacing w:after="150" w:before="300"/>
      </w:pPr>
      <w:r>
        <w:t xml:space="preserve">Top 5 funds by AUM</w:t>
      </w:r>
    </w:p>
    <w:p>
      <w:pPr>
        <w:spacing w:after="160"/>
      </w:pPr>
      <w:r>
        <w:rPr>
          <w:rFonts w:ascii="Courier New" w:cs="Courier New" w:eastAsia="Courier New" w:hAnsi="Courier New"/>
          <w:sz w:val="18"/>
          <w:szCs w:val="18"/>
        </w:rPr>
        <w:t xml:space="preserve">SELECT fund_house, aum_crore FROM fact_aum ORDER BY aum_crore DESC LIMIT 5;</w:t>
      </w:r>
    </w:p>
    <w:p>
      <w:pPr>
        <w:pStyle w:val="Heading2"/>
        <w:spacing w:after="150" w:before="300"/>
      </w:pPr>
      <w:r>
        <w:t xml:space="preserve">Top 5 funds by Sharpe ratio (joined to fund names)</w:t>
      </w:r>
    </w:p>
    <w:p>
      <w:pPr>
        <w:spacing w:after="160"/>
      </w:pPr>
      <w:r>
        <w:rPr>
          <w:rFonts w:ascii="Courier New" w:cs="Courier New" w:eastAsia="Courier New" w:hAnsi="Courier New"/>
          <w:sz w:val="18"/>
          <w:szCs w:val="18"/>
        </w:rPr>
        <w:t xml:space="preserve">SELECT df.scheme_name, fp.sharpe_ratio FROM fact_performance fp JOIN dim_fund df ON fp.amfi_code = df.amfi_code ORDER BY fp.sharpe_ratio DESC LIMIT 5;</w:t>
      </w:r>
    </w:p>
    <w:p>
      <w:pPr>
        <w:pStyle w:val="Heading2"/>
        <w:spacing w:after="150" w:before="300"/>
      </w:pPr>
      <w:r>
        <w:t xml:space="preserve">Average SIP amount by age group</w:t>
      </w:r>
    </w:p>
    <w:p>
      <w:pPr>
        <w:spacing w:after="160"/>
      </w:pPr>
      <w:r>
        <w:rPr>
          <w:rFonts w:ascii="Courier New" w:cs="Courier New" w:eastAsia="Courier New" w:hAnsi="Courier New"/>
          <w:sz w:val="18"/>
          <w:szCs w:val="18"/>
        </w:rPr>
        <w:t xml:space="preserve">SELECT age_group, AVG(amount_inr) AS avg_amount FROM fact_transactions WHERE transaction_type = 'Sip' GROUP BY age_group;</w:t>
      </w:r>
    </w:p>
    <w:p>
      <w:pPr>
        <w:spacing w:after="160"/>
      </w:pPr>
      <w:r>
        <w:t xml:space="preserve">Full query set, including transactions-by-state, funds under 1% expense ratio, risk-category counts, and worst single-day NAV drops per fund, is available in sql/queries.sql.</w:t>
      </w:r>
    </w:p>
    <w:p>
      <w:pPr>
        <w:pStyle w:val="Heading1"/>
        <w:spacing w:after="200" w:before="400"/>
      </w:pPr>
      <w:r>
        <w:t xml:space="preserve">13. Appendix B — Data Dictionary</w:t>
      </w:r>
    </w:p>
    <w:p>
      <w:pPr>
        <w:spacing w:after="160"/>
      </w:pPr>
      <w:r>
        <w:t xml:space="preserve">Full detail is maintained in data_dictionary.md. Core table definitions:</w:t>
      </w:r>
    </w:p>
    <w:p>
      <w:pPr>
        <w:pStyle w:val="Heading2"/>
        <w:spacing w:after="150" w:before="300"/>
      </w:pPr>
      <w:r>
        <w:t xml:space="preserve">dim_fund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800"/>
      </w:tblGrid>
      <w:tr>
        <w:trPr>
          <w:tblHeader/>
        </w:trPr>
        <w:tc>
          <w:tcPr>
            <w:tcW w:type="dxa" w:w="3200"/>
            <w:shd w:fill="1E2761" w:val="clear"/>
          </w:tcPr>
          <w:p>
            <w:r>
              <w:rPr>
                <w:b/>
                <w:bCs/>
                <w:color w:val="FFFFFF"/>
                <w:sz w:val="20"/>
                <w:szCs w:val="20"/>
              </w:rPr>
              <w:t xml:space="preserve">Column</w:t>
            </w:r>
          </w:p>
        </w:tc>
        <w:tc>
          <w:tcPr>
            <w:tcW w:type="dxa" w:w="1800"/>
            <w:shd w:fill="1E2761" w:val="clear"/>
          </w:tcPr>
          <w:p>
            <w:r>
              <w:rPr>
                <w:b/>
                <w:bCs/>
                <w:color w:val="FFFFFF"/>
                <w:sz w:val="20"/>
                <w:szCs w:val="20"/>
              </w:rPr>
              <w:t xml:space="preserve">Type</w:t>
            </w:r>
          </w:p>
        </w:tc>
        <w:tc>
          <w:tcPr>
            <w:tcW w:type="dxa" w:w="3800"/>
            <w:shd w:fill="1E2761" w:val="clear"/>
          </w:tcPr>
          <w:p>
            <w:r>
              <w:rPr>
                <w:b/>
                <w:bCs/>
                <w:color w:val="FFFFFF"/>
                <w:sz w:val="20"/>
                <w:szCs w:val="20"/>
              </w:rPr>
              <w:t xml:space="preserve">Description</w:t>
            </w:r>
          </w:p>
        </w:tc>
      </w:tr>
      <w:tr>
        <w:tc>
          <w:tcPr>
            <w:tcW w:type="dxa" w:w="3200"/>
            <w:shd w:fill="FFFFFF" w:val="clear"/>
          </w:tcPr>
          <w:p>
            <w:r>
              <w:rPr>
                <w:sz w:val="20"/>
                <w:szCs w:val="20"/>
              </w:rPr>
              <w:t xml:space="preserve">amfi_code</w:t>
            </w:r>
          </w:p>
        </w:tc>
        <w:tc>
          <w:tcPr>
            <w:tcW w:type="dxa" w:w="1800"/>
            <w:shd w:fill="FFFFFF" w:val="clear"/>
          </w:tcPr>
          <w:p>
            <w:r>
              <w:rPr>
                <w:sz w:val="20"/>
                <w:szCs w:val="20"/>
              </w:rPr>
              <w:t xml:space="preserve">TEXT (PK)</w:t>
            </w:r>
          </w:p>
        </w:tc>
        <w:tc>
          <w:tcPr>
            <w:tcW w:type="dxa" w:w="3800"/>
            <w:shd w:fill="FFFFFF" w:val="clear"/>
          </w:tcPr>
          <w:p>
            <w:r>
              <w:rPr>
                <w:sz w:val="20"/>
                <w:szCs w:val="20"/>
              </w:rPr>
              <w:t xml:space="preserve">Unique AMFI scheme code</w:t>
            </w:r>
          </w:p>
        </w:tc>
      </w:tr>
      <w:tr>
        <w:tc>
          <w:tcPr>
            <w:tcW w:type="dxa" w:w="3200"/>
            <w:shd w:fill="F2F4FA" w:val="clear"/>
          </w:tcPr>
          <w:p>
            <w:r>
              <w:rPr>
                <w:sz w:val="20"/>
                <w:szCs w:val="20"/>
              </w:rPr>
              <w:t xml:space="preserve">fund_house</w:t>
            </w:r>
          </w:p>
        </w:tc>
        <w:tc>
          <w:tcPr>
            <w:tcW w:type="dxa" w:w="1800"/>
            <w:shd w:fill="F2F4FA" w:val="clear"/>
          </w:tcPr>
          <w:p>
            <w:r>
              <w:rPr>
                <w:sz w:val="20"/>
                <w:szCs w:val="20"/>
              </w:rPr>
              <w:t xml:space="preserve">TEXT</w:t>
            </w:r>
          </w:p>
        </w:tc>
        <w:tc>
          <w:tcPr>
            <w:tcW w:type="dxa" w:w="3800"/>
            <w:shd w:fill="F2F4FA" w:val="clear"/>
          </w:tcPr>
          <w:p>
            <w:r>
              <w:rPr>
                <w:sz w:val="20"/>
                <w:szCs w:val="20"/>
              </w:rPr>
              <w:t xml:space="preserve">AMC name</w:t>
            </w:r>
          </w:p>
        </w:tc>
      </w:tr>
      <w:tr>
        <w:tc>
          <w:tcPr>
            <w:tcW w:type="dxa" w:w="3200"/>
            <w:shd w:fill="FFFFFF" w:val="clear"/>
          </w:tcPr>
          <w:p>
            <w:r>
              <w:rPr>
                <w:sz w:val="20"/>
                <w:szCs w:val="20"/>
              </w:rPr>
              <w:t xml:space="preserve">scheme_name</w:t>
            </w:r>
          </w:p>
        </w:tc>
        <w:tc>
          <w:tcPr>
            <w:tcW w:type="dxa" w:w="1800"/>
            <w:shd w:fill="FFFFFF" w:val="clear"/>
          </w:tcPr>
          <w:p>
            <w:r>
              <w:rPr>
                <w:sz w:val="20"/>
                <w:szCs w:val="20"/>
              </w:rPr>
              <w:t xml:space="preserve">TEXT</w:t>
            </w:r>
          </w:p>
        </w:tc>
        <w:tc>
          <w:tcPr>
            <w:tcW w:type="dxa" w:w="3800"/>
            <w:shd w:fill="FFFFFF" w:val="clear"/>
          </w:tcPr>
          <w:p>
            <w:r>
              <w:rPr>
                <w:sz w:val="20"/>
                <w:szCs w:val="20"/>
              </w:rPr>
              <w:t xml:space="preserve">Full scheme name</w:t>
            </w:r>
          </w:p>
        </w:tc>
      </w:tr>
      <w:tr>
        <w:tc>
          <w:tcPr>
            <w:tcW w:type="dxa" w:w="3200"/>
            <w:shd w:fill="F2F4FA" w:val="clear"/>
          </w:tcPr>
          <w:p>
            <w:r>
              <w:rPr>
                <w:sz w:val="20"/>
                <w:szCs w:val="20"/>
              </w:rPr>
              <w:t xml:space="preserve">category / sub_category</w:t>
            </w:r>
          </w:p>
        </w:tc>
        <w:tc>
          <w:tcPr>
            <w:tcW w:type="dxa" w:w="1800"/>
            <w:shd w:fill="F2F4FA" w:val="clear"/>
          </w:tcPr>
          <w:p>
            <w:r>
              <w:rPr>
                <w:sz w:val="20"/>
                <w:szCs w:val="20"/>
              </w:rPr>
              <w:t xml:space="preserve">TEXT</w:t>
            </w:r>
          </w:p>
        </w:tc>
        <w:tc>
          <w:tcPr>
            <w:tcW w:type="dxa" w:w="3800"/>
            <w:shd w:fill="F2F4FA" w:val="clear"/>
          </w:tcPr>
          <w:p>
            <w:r>
              <w:rPr>
                <w:sz w:val="20"/>
                <w:szCs w:val="20"/>
              </w:rPr>
              <w:t xml:space="preserve">Equity/Debt; Large Cap/Mid Cap/etc.</w:t>
            </w:r>
          </w:p>
        </w:tc>
      </w:tr>
      <w:tr>
        <w:tc>
          <w:tcPr>
            <w:tcW w:type="dxa" w:w="3200"/>
            <w:shd w:fill="FFFFFF" w:val="clear"/>
          </w:tcPr>
          <w:p>
            <w:r>
              <w:rPr>
                <w:sz w:val="20"/>
                <w:szCs w:val="20"/>
              </w:rPr>
              <w:t xml:space="preserve">plan</w:t>
            </w:r>
          </w:p>
        </w:tc>
        <w:tc>
          <w:tcPr>
            <w:tcW w:type="dxa" w:w="1800"/>
            <w:shd w:fill="FFFFFF" w:val="clear"/>
          </w:tcPr>
          <w:p>
            <w:r>
              <w:rPr>
                <w:sz w:val="20"/>
                <w:szCs w:val="20"/>
              </w:rPr>
              <w:t xml:space="preserve">TEXT</w:t>
            </w:r>
          </w:p>
        </w:tc>
        <w:tc>
          <w:tcPr>
            <w:tcW w:type="dxa" w:w="3800"/>
            <w:shd w:fill="FFFFFF" w:val="clear"/>
          </w:tcPr>
          <w:p>
            <w:r>
              <w:rPr>
                <w:sz w:val="20"/>
                <w:szCs w:val="20"/>
              </w:rPr>
              <w:t xml:space="preserve">Regular or Direct</w:t>
            </w:r>
          </w:p>
        </w:tc>
      </w:tr>
      <w:tr>
        <w:tc>
          <w:tcPr>
            <w:tcW w:type="dxa" w:w="3200"/>
            <w:shd w:fill="F2F4FA" w:val="clear"/>
          </w:tcPr>
          <w:p>
            <w:r>
              <w:rPr>
                <w:sz w:val="20"/>
                <w:szCs w:val="20"/>
              </w:rPr>
              <w:t xml:space="preserve">expense_ratio_pct / exit_load_pct</w:t>
            </w:r>
          </w:p>
        </w:tc>
        <w:tc>
          <w:tcPr>
            <w:tcW w:type="dxa" w:w="1800"/>
            <w:shd w:fill="F2F4FA" w:val="clear"/>
          </w:tcPr>
          <w:p>
            <w:r>
              <w:rPr>
                <w:sz w:val="20"/>
                <w:szCs w:val="20"/>
              </w:rPr>
              <w:t xml:space="preserve">REAL</w:t>
            </w:r>
          </w:p>
        </w:tc>
        <w:tc>
          <w:tcPr>
            <w:tcW w:type="dxa" w:w="3800"/>
            <w:shd w:fill="F2F4FA" w:val="clear"/>
          </w:tcPr>
          <w:p>
            <w:r>
              <w:rPr>
                <w:sz w:val="20"/>
                <w:szCs w:val="20"/>
              </w:rPr>
              <w:t xml:space="preserve">Annual expense ratio %; exit load %</w:t>
            </w:r>
          </w:p>
        </w:tc>
      </w:tr>
      <w:tr>
        <w:tc>
          <w:tcPr>
            <w:tcW w:type="dxa" w:w="3200"/>
            <w:shd w:fill="FFFFFF" w:val="clear"/>
          </w:tcPr>
          <w:p>
            <w:r>
              <w:rPr>
                <w:sz w:val="20"/>
                <w:szCs w:val="20"/>
              </w:rPr>
              <w:t xml:space="preserve">risk_category</w:t>
            </w:r>
          </w:p>
        </w:tc>
        <w:tc>
          <w:tcPr>
            <w:tcW w:type="dxa" w:w="1800"/>
            <w:shd w:fill="FFFFFF" w:val="clear"/>
          </w:tcPr>
          <w:p>
            <w:r>
              <w:rPr>
                <w:sz w:val="20"/>
                <w:szCs w:val="20"/>
              </w:rPr>
              <w:t xml:space="preserve">TEXT</w:t>
            </w:r>
          </w:p>
        </w:tc>
        <w:tc>
          <w:tcPr>
            <w:tcW w:type="dxa" w:w="3800"/>
            <w:shd w:fill="FFFFFF" w:val="clear"/>
          </w:tcPr>
          <w:p>
            <w:r>
              <w:rPr>
                <w:sz w:val="20"/>
                <w:szCs w:val="20"/>
              </w:rPr>
              <w:t xml:space="preserve">SEBI risk grade (Low – Very High)</w:t>
            </w:r>
          </w:p>
        </w:tc>
      </w:tr>
    </w:tbl>
    <w:p>
      <w:pPr>
        <w:spacing w:after="200"/>
      </w:pPr>
    </w:p>
    <w:p>
      <w:pPr>
        <w:pStyle w:val="Heading2"/>
        <w:spacing w:after="150" w:before="300"/>
      </w:pPr>
      <w:r>
        <w:t xml:space="preserve">fact_nav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800"/>
      </w:tblGrid>
      <w:tr>
        <w:trPr>
          <w:tblHeader/>
        </w:trPr>
        <w:tc>
          <w:tcPr>
            <w:tcW w:type="dxa" w:w="3200"/>
            <w:shd w:fill="1E2761" w:val="clear"/>
          </w:tcPr>
          <w:p>
            <w:r>
              <w:rPr>
                <w:b/>
                <w:bCs/>
                <w:color w:val="FFFFFF"/>
                <w:sz w:val="20"/>
                <w:szCs w:val="20"/>
              </w:rPr>
              <w:t xml:space="preserve">Column</w:t>
            </w:r>
          </w:p>
        </w:tc>
        <w:tc>
          <w:tcPr>
            <w:tcW w:type="dxa" w:w="1800"/>
            <w:shd w:fill="1E2761" w:val="clear"/>
          </w:tcPr>
          <w:p>
            <w:r>
              <w:rPr>
                <w:b/>
                <w:bCs/>
                <w:color w:val="FFFFFF"/>
                <w:sz w:val="20"/>
                <w:szCs w:val="20"/>
              </w:rPr>
              <w:t xml:space="preserve">Type</w:t>
            </w:r>
          </w:p>
        </w:tc>
        <w:tc>
          <w:tcPr>
            <w:tcW w:type="dxa" w:w="3800"/>
            <w:shd w:fill="1E2761" w:val="clear"/>
          </w:tcPr>
          <w:p>
            <w:r>
              <w:rPr>
                <w:b/>
                <w:bCs/>
                <w:color w:val="FFFFFF"/>
                <w:sz w:val="20"/>
                <w:szCs w:val="20"/>
              </w:rPr>
              <w:t xml:space="preserve">Description</w:t>
            </w:r>
          </w:p>
        </w:tc>
      </w:tr>
      <w:tr>
        <w:tc>
          <w:tcPr>
            <w:tcW w:type="dxa" w:w="3200"/>
            <w:shd w:fill="FFFFFF" w:val="clear"/>
          </w:tcPr>
          <w:p>
            <w:r>
              <w:rPr>
                <w:sz w:val="20"/>
                <w:szCs w:val="20"/>
              </w:rPr>
              <w:t xml:space="preserve">amfi_code</w:t>
            </w:r>
          </w:p>
        </w:tc>
        <w:tc>
          <w:tcPr>
            <w:tcW w:type="dxa" w:w="1800"/>
            <w:shd w:fill="FFFFFF" w:val="clear"/>
          </w:tcPr>
          <w:p>
            <w:r>
              <w:rPr>
                <w:sz w:val="20"/>
                <w:szCs w:val="20"/>
              </w:rPr>
              <w:t xml:space="preserve">TEXT (FK)</w:t>
            </w:r>
          </w:p>
        </w:tc>
        <w:tc>
          <w:tcPr>
            <w:tcW w:type="dxa" w:w="3800"/>
            <w:shd w:fill="FFFFFF" w:val="clear"/>
          </w:tcPr>
          <w:p>
            <w:r>
              <w:rPr>
                <w:sz w:val="20"/>
                <w:szCs w:val="20"/>
              </w:rPr>
              <w:t xml:space="preserve">Links to dim_fund</w:t>
            </w:r>
          </w:p>
        </w:tc>
      </w:tr>
      <w:tr>
        <w:tc>
          <w:tcPr>
            <w:tcW w:type="dxa" w:w="3200"/>
            <w:shd w:fill="F2F4FA" w:val="clear"/>
          </w:tcPr>
          <w:p>
            <w:r>
              <w:rPr>
                <w:sz w:val="20"/>
                <w:szCs w:val="20"/>
              </w:rPr>
              <w:t xml:space="preserve">nav_date</w:t>
            </w:r>
          </w:p>
        </w:tc>
        <w:tc>
          <w:tcPr>
            <w:tcW w:type="dxa" w:w="1800"/>
            <w:shd w:fill="F2F4FA" w:val="clear"/>
          </w:tcPr>
          <w:p>
            <w:r>
              <w:rPr>
                <w:sz w:val="20"/>
                <w:szCs w:val="20"/>
              </w:rPr>
              <w:t xml:space="preserve">DATE</w:t>
            </w:r>
          </w:p>
        </w:tc>
        <w:tc>
          <w:tcPr>
            <w:tcW w:type="dxa" w:w="3800"/>
            <w:shd w:fill="F2F4FA" w:val="clear"/>
          </w:tcPr>
          <w:p>
            <w:r>
              <w:rPr>
                <w:sz w:val="20"/>
                <w:szCs w:val="20"/>
              </w:rPr>
              <w:t xml:space="preserve">NAV date</w:t>
            </w:r>
          </w:p>
        </w:tc>
      </w:tr>
      <w:tr>
        <w:tc>
          <w:tcPr>
            <w:tcW w:type="dxa" w:w="3200"/>
            <w:shd w:fill="FFFFFF" w:val="clear"/>
          </w:tcPr>
          <w:p>
            <w:r>
              <w:rPr>
                <w:sz w:val="20"/>
                <w:szCs w:val="20"/>
              </w:rPr>
              <w:t xml:space="preserve">nav</w:t>
            </w:r>
          </w:p>
        </w:tc>
        <w:tc>
          <w:tcPr>
            <w:tcW w:type="dxa" w:w="1800"/>
            <w:shd w:fill="FFFFFF" w:val="clear"/>
          </w:tcPr>
          <w:p>
            <w:r>
              <w:rPr>
                <w:sz w:val="20"/>
                <w:szCs w:val="20"/>
              </w:rPr>
              <w:t xml:space="preserve">REAL</w:t>
            </w:r>
          </w:p>
        </w:tc>
        <w:tc>
          <w:tcPr>
            <w:tcW w:type="dxa" w:w="3800"/>
            <w:shd w:fill="FFFFFF" w:val="clear"/>
          </w:tcPr>
          <w:p>
            <w:r>
              <w:rPr>
                <w:sz w:val="20"/>
                <w:szCs w:val="20"/>
              </w:rPr>
              <w:t xml:space="preserve">NAV value in Rs.</w:t>
            </w:r>
          </w:p>
        </w:tc>
      </w:tr>
      <w:tr>
        <w:tc>
          <w:tcPr>
            <w:tcW w:type="dxa" w:w="3200"/>
            <w:shd w:fill="F2F4FA" w:val="clear"/>
          </w:tcPr>
          <w:p>
            <w:r>
              <w:rPr>
                <w:sz w:val="20"/>
                <w:szCs w:val="20"/>
              </w:rPr>
              <w:t xml:space="preserve">daily_return_pct</w:t>
            </w:r>
          </w:p>
        </w:tc>
        <w:tc>
          <w:tcPr>
            <w:tcW w:type="dxa" w:w="1800"/>
            <w:shd w:fill="F2F4FA" w:val="clear"/>
          </w:tcPr>
          <w:p>
            <w:r>
              <w:rPr>
                <w:sz w:val="20"/>
                <w:szCs w:val="20"/>
              </w:rPr>
              <w:t xml:space="preserve">REAL</w:t>
            </w:r>
          </w:p>
        </w:tc>
        <w:tc>
          <w:tcPr>
            <w:tcW w:type="dxa" w:w="3800"/>
            <w:shd w:fill="F2F4FA" w:val="clear"/>
          </w:tcPr>
          <w:p>
            <w:r>
              <w:rPr>
                <w:sz w:val="20"/>
                <w:szCs w:val="20"/>
              </w:rPr>
              <w:t xml:space="preserve">Day-over-day % change (computed)</w:t>
            </w:r>
          </w:p>
        </w:tc>
      </w:tr>
    </w:tbl>
    <w:p>
      <w:pPr>
        <w:spacing w:after="200"/>
      </w:pPr>
    </w:p>
    <w:p>
      <w:pPr>
        <w:pStyle w:val="Heading2"/>
        <w:spacing w:after="150" w:before="300"/>
      </w:pPr>
      <w:r>
        <w:t xml:space="preserve">fact_transactions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800"/>
      </w:tblGrid>
      <w:tr>
        <w:trPr>
          <w:tblHeader/>
        </w:trPr>
        <w:tc>
          <w:tcPr>
            <w:tcW w:type="dxa" w:w="3200"/>
            <w:shd w:fill="1E2761" w:val="clear"/>
          </w:tcPr>
          <w:p>
            <w:r>
              <w:rPr>
                <w:b/>
                <w:bCs/>
                <w:color w:val="FFFFFF"/>
                <w:sz w:val="20"/>
                <w:szCs w:val="20"/>
              </w:rPr>
              <w:t xml:space="preserve">Column</w:t>
            </w:r>
          </w:p>
        </w:tc>
        <w:tc>
          <w:tcPr>
            <w:tcW w:type="dxa" w:w="1800"/>
            <w:shd w:fill="1E2761" w:val="clear"/>
          </w:tcPr>
          <w:p>
            <w:r>
              <w:rPr>
                <w:b/>
                <w:bCs/>
                <w:color w:val="FFFFFF"/>
                <w:sz w:val="20"/>
                <w:szCs w:val="20"/>
              </w:rPr>
              <w:t xml:space="preserve">Type</w:t>
            </w:r>
          </w:p>
        </w:tc>
        <w:tc>
          <w:tcPr>
            <w:tcW w:type="dxa" w:w="3800"/>
            <w:shd w:fill="1E2761" w:val="clear"/>
          </w:tcPr>
          <w:p>
            <w:r>
              <w:rPr>
                <w:b/>
                <w:bCs/>
                <w:color w:val="FFFFFF"/>
                <w:sz w:val="20"/>
                <w:szCs w:val="20"/>
              </w:rPr>
              <w:t xml:space="preserve">Description</w:t>
            </w:r>
          </w:p>
        </w:tc>
      </w:tr>
      <w:tr>
        <w:tc>
          <w:tcPr>
            <w:tcW w:type="dxa" w:w="3200"/>
            <w:shd w:fill="FFFFFF" w:val="clear"/>
          </w:tcPr>
          <w:p>
            <w:r>
              <w:rPr>
                <w:sz w:val="20"/>
                <w:szCs w:val="20"/>
              </w:rPr>
              <w:t xml:space="preserve">tx_id</w:t>
            </w:r>
          </w:p>
        </w:tc>
        <w:tc>
          <w:tcPr>
            <w:tcW w:type="dxa" w:w="1800"/>
            <w:shd w:fill="FFFFFF" w:val="clear"/>
          </w:tcPr>
          <w:p>
            <w:r>
              <w:rPr>
                <w:sz w:val="20"/>
                <w:szCs w:val="20"/>
              </w:rPr>
              <w:t xml:space="preserve">INTEGER (PK)</w:t>
            </w:r>
          </w:p>
        </w:tc>
        <w:tc>
          <w:tcPr>
            <w:tcW w:type="dxa" w:w="3800"/>
            <w:shd w:fill="FFFFFF" w:val="clear"/>
          </w:tcPr>
          <w:p>
            <w:r>
              <w:rPr>
                <w:sz w:val="20"/>
                <w:szCs w:val="20"/>
              </w:rPr>
              <w:t xml:space="preserve">Auto-generated transaction ID</w:t>
            </w:r>
          </w:p>
        </w:tc>
      </w:tr>
      <w:tr>
        <w:tc>
          <w:tcPr>
            <w:tcW w:type="dxa" w:w="3200"/>
            <w:shd w:fill="F2F4FA" w:val="clear"/>
          </w:tcPr>
          <w:p>
            <w:r>
              <w:rPr>
                <w:sz w:val="20"/>
                <w:szCs w:val="20"/>
              </w:rPr>
              <w:t xml:space="preserve">investor_id / amfi_code</w:t>
            </w:r>
          </w:p>
        </w:tc>
        <w:tc>
          <w:tcPr>
            <w:tcW w:type="dxa" w:w="1800"/>
            <w:shd w:fill="F2F4FA" w:val="clear"/>
          </w:tcPr>
          <w:p>
            <w:r>
              <w:rPr>
                <w:sz w:val="20"/>
                <w:szCs w:val="20"/>
              </w:rPr>
              <w:t xml:space="preserve">TEXT</w:t>
            </w:r>
          </w:p>
        </w:tc>
        <w:tc>
          <w:tcPr>
            <w:tcW w:type="dxa" w:w="3800"/>
            <w:shd w:fill="F2F4FA" w:val="clear"/>
          </w:tcPr>
          <w:p>
            <w:r>
              <w:rPr>
                <w:sz w:val="20"/>
                <w:szCs w:val="20"/>
              </w:rPr>
              <w:t xml:space="preserve">Investor identifier; fund reference (FK)</w:t>
            </w:r>
          </w:p>
        </w:tc>
      </w:tr>
      <w:tr>
        <w:tc>
          <w:tcPr>
            <w:tcW w:type="dxa" w:w="3200"/>
            <w:shd w:fill="FFFFFF" w:val="clear"/>
          </w:tcPr>
          <w:p>
            <w:r>
              <w:rPr>
                <w:sz w:val="20"/>
                <w:szCs w:val="20"/>
              </w:rPr>
              <w:t xml:space="preserve">transaction_type / amount_inr</w:t>
            </w:r>
          </w:p>
        </w:tc>
        <w:tc>
          <w:tcPr>
            <w:tcW w:type="dxa" w:w="1800"/>
            <w:shd w:fill="FFFFFF" w:val="clear"/>
          </w:tcPr>
          <w:p>
            <w:r>
              <w:rPr>
                <w:sz w:val="20"/>
                <w:szCs w:val="20"/>
              </w:rPr>
              <w:t xml:space="preserve">TEXT / INT</w:t>
            </w:r>
          </w:p>
        </w:tc>
        <w:tc>
          <w:tcPr>
            <w:tcW w:type="dxa" w:w="3800"/>
            <w:shd w:fill="FFFFFF" w:val="clear"/>
          </w:tcPr>
          <w:p>
            <w:r>
              <w:rPr>
                <w:sz w:val="20"/>
                <w:szCs w:val="20"/>
              </w:rPr>
              <w:t xml:space="preserve">SIP / Lumpsum / Redemption; amount in Rs.</w:t>
            </w:r>
          </w:p>
        </w:tc>
      </w:tr>
      <w:tr>
        <w:tc>
          <w:tcPr>
            <w:tcW w:type="dxa" w:w="3200"/>
            <w:shd w:fill="F2F4FA" w:val="clear"/>
          </w:tcPr>
          <w:p>
            <w:r>
              <w:rPr>
                <w:sz w:val="20"/>
                <w:szCs w:val="20"/>
              </w:rPr>
              <w:t xml:space="preserve">state, city, city_tier</w:t>
            </w:r>
          </w:p>
        </w:tc>
        <w:tc>
          <w:tcPr>
            <w:tcW w:type="dxa" w:w="1800"/>
            <w:shd w:fill="F2F4FA" w:val="clear"/>
          </w:tcPr>
          <w:p>
            <w:r>
              <w:rPr>
                <w:sz w:val="20"/>
                <w:szCs w:val="20"/>
              </w:rPr>
              <w:t xml:space="preserve">TEXT</w:t>
            </w:r>
          </w:p>
        </w:tc>
        <w:tc>
          <w:tcPr>
            <w:tcW w:type="dxa" w:w="3800"/>
            <w:shd w:fill="F2F4FA" w:val="clear"/>
          </w:tcPr>
          <w:p>
            <w:r>
              <w:rPr>
                <w:sz w:val="20"/>
                <w:szCs w:val="20"/>
              </w:rPr>
              <w:t xml:space="preserve">Investor location, T30/B30</w:t>
            </w:r>
          </w:p>
        </w:tc>
      </w:tr>
      <w:tr>
        <w:tc>
          <w:tcPr>
            <w:tcW w:type="dxa" w:w="3200"/>
            <w:shd w:fill="FFFFFF" w:val="clear"/>
          </w:tcPr>
          <w:p>
            <w:r>
              <w:rPr>
                <w:sz w:val="20"/>
                <w:szCs w:val="20"/>
              </w:rPr>
              <w:t xml:space="preserve">age_group, gender, annual_income_lakh</w:t>
            </w:r>
          </w:p>
        </w:tc>
        <w:tc>
          <w:tcPr>
            <w:tcW w:type="dxa" w:w="1800"/>
            <w:shd w:fill="FFFFFF" w:val="clear"/>
          </w:tcPr>
          <w:p>
            <w:r>
              <w:rPr>
                <w:sz w:val="20"/>
                <w:szCs w:val="20"/>
              </w:rPr>
              <w:t xml:space="preserve">—</w:t>
            </w:r>
          </w:p>
        </w:tc>
        <w:tc>
          <w:tcPr>
            <w:tcW w:type="dxa" w:w="3800"/>
            <w:shd w:fill="FFFFFF" w:val="clear"/>
          </w:tcPr>
          <w:p>
            <w:r>
              <w:rPr>
                <w:sz w:val="20"/>
                <w:szCs w:val="20"/>
              </w:rPr>
              <w:t xml:space="preserve">Investor demographics</w:t>
            </w:r>
          </w:p>
        </w:tc>
      </w:tr>
      <w:tr>
        <w:tc>
          <w:tcPr>
            <w:tcW w:type="dxa" w:w="3200"/>
            <w:shd w:fill="F2F4FA" w:val="clear"/>
          </w:tcPr>
          <w:p>
            <w:r>
              <w:rPr>
                <w:sz w:val="20"/>
                <w:szCs w:val="20"/>
              </w:rPr>
              <w:t xml:space="preserve">payment_mode, kyc_status</w:t>
            </w:r>
          </w:p>
        </w:tc>
        <w:tc>
          <w:tcPr>
            <w:tcW w:type="dxa" w:w="1800"/>
            <w:shd w:fill="F2F4FA" w:val="clear"/>
          </w:tcPr>
          <w:p>
            <w:r>
              <w:rPr>
                <w:sz w:val="20"/>
                <w:szCs w:val="20"/>
              </w:rPr>
              <w:t xml:space="preserve">TEXT</w:t>
            </w:r>
          </w:p>
        </w:tc>
        <w:tc>
          <w:tcPr>
            <w:tcW w:type="dxa" w:w="3800"/>
            <w:shd w:fill="F2F4FA" w:val="clear"/>
          </w:tcPr>
          <w:p>
            <w:r>
              <w:rPr>
                <w:sz w:val="20"/>
                <w:szCs w:val="20"/>
              </w:rPr>
              <w:t xml:space="preserve">Transaction metadata</w:t>
            </w:r>
          </w:p>
        </w:tc>
      </w:tr>
    </w:tbl>
    <w:p>
      <w:pPr>
        <w:spacing w:after="200"/>
      </w:pPr>
    </w:p>
    <w:p>
      <w:pPr>
        <w:pStyle w:val="Heading2"/>
        <w:spacing w:after="150" w:before="300"/>
      </w:pPr>
      <w:r>
        <w:t xml:space="preserve">fact_performance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800"/>
      </w:tblGrid>
      <w:tr>
        <w:trPr>
          <w:tblHeader/>
        </w:trPr>
        <w:tc>
          <w:tcPr>
            <w:tcW w:type="dxa" w:w="3200"/>
            <w:shd w:fill="1E2761" w:val="clear"/>
          </w:tcPr>
          <w:p>
            <w:r>
              <w:rPr>
                <w:b/>
                <w:bCs/>
                <w:color w:val="FFFFFF"/>
                <w:sz w:val="20"/>
                <w:szCs w:val="20"/>
              </w:rPr>
              <w:t xml:space="preserve">Column</w:t>
            </w:r>
          </w:p>
        </w:tc>
        <w:tc>
          <w:tcPr>
            <w:tcW w:type="dxa" w:w="1800"/>
            <w:shd w:fill="1E2761" w:val="clear"/>
          </w:tcPr>
          <w:p>
            <w:r>
              <w:rPr>
                <w:b/>
                <w:bCs/>
                <w:color w:val="FFFFFF"/>
                <w:sz w:val="20"/>
                <w:szCs w:val="20"/>
              </w:rPr>
              <w:t xml:space="preserve">Type</w:t>
            </w:r>
          </w:p>
        </w:tc>
        <w:tc>
          <w:tcPr>
            <w:tcW w:type="dxa" w:w="3800"/>
            <w:shd w:fill="1E2761" w:val="clear"/>
          </w:tcPr>
          <w:p>
            <w:r>
              <w:rPr>
                <w:b/>
                <w:bCs/>
                <w:color w:val="FFFFFF"/>
                <w:sz w:val="20"/>
                <w:szCs w:val="20"/>
              </w:rPr>
              <w:t xml:space="preserve">Description</w:t>
            </w:r>
          </w:p>
        </w:tc>
      </w:tr>
      <w:tr>
        <w:tc>
          <w:tcPr>
            <w:tcW w:type="dxa" w:w="3200"/>
            <w:shd w:fill="FFFFFF" w:val="clear"/>
          </w:tcPr>
          <w:p>
            <w:r>
              <w:rPr>
                <w:sz w:val="20"/>
                <w:szCs w:val="20"/>
              </w:rPr>
              <w:t xml:space="preserve">amfi_code</w:t>
            </w:r>
          </w:p>
        </w:tc>
        <w:tc>
          <w:tcPr>
            <w:tcW w:type="dxa" w:w="1800"/>
            <w:shd w:fill="FFFFFF" w:val="clear"/>
          </w:tcPr>
          <w:p>
            <w:r>
              <w:rPr>
                <w:sz w:val="20"/>
                <w:szCs w:val="20"/>
              </w:rPr>
              <w:t xml:space="preserve">TEXT (FK)</w:t>
            </w:r>
          </w:p>
        </w:tc>
        <w:tc>
          <w:tcPr>
            <w:tcW w:type="dxa" w:w="3800"/>
            <w:shd w:fill="FFFFFF" w:val="clear"/>
          </w:tcPr>
          <w:p>
            <w:r>
              <w:rPr>
                <w:sz w:val="20"/>
                <w:szCs w:val="20"/>
              </w:rPr>
              <w:t xml:space="preserve">Fund reference</w:t>
            </w:r>
          </w:p>
        </w:tc>
      </w:tr>
      <w:tr>
        <w:tc>
          <w:tcPr>
            <w:tcW w:type="dxa" w:w="3200"/>
            <w:shd w:fill="F2F4FA" w:val="clear"/>
          </w:tcPr>
          <w:p>
            <w:r>
              <w:rPr>
                <w:sz w:val="20"/>
                <w:szCs w:val="20"/>
              </w:rPr>
              <w:t xml:space="preserve">return_1yr_pct / 3yr / 5yr</w:t>
            </w:r>
          </w:p>
        </w:tc>
        <w:tc>
          <w:tcPr>
            <w:tcW w:type="dxa" w:w="1800"/>
            <w:shd w:fill="F2F4FA" w:val="clear"/>
          </w:tcPr>
          <w:p>
            <w:r>
              <w:rPr>
                <w:sz w:val="20"/>
                <w:szCs w:val="20"/>
              </w:rPr>
              <w:t xml:space="preserve">REAL</w:t>
            </w:r>
          </w:p>
        </w:tc>
        <w:tc>
          <w:tcPr>
            <w:tcW w:type="dxa" w:w="3800"/>
            <w:shd w:fill="F2F4FA" w:val="clear"/>
          </w:tcPr>
          <w:p>
            <w:r>
              <w:rPr>
                <w:sz w:val="20"/>
                <w:szCs w:val="20"/>
              </w:rPr>
              <w:t xml:space="preserve">Returns over each period</w:t>
            </w:r>
          </w:p>
        </w:tc>
      </w:tr>
      <w:tr>
        <w:tc>
          <w:tcPr>
            <w:tcW w:type="dxa" w:w="3200"/>
            <w:shd w:fill="FFFFFF" w:val="clear"/>
          </w:tcPr>
          <w:p>
            <w:r>
              <w:rPr>
                <w:sz w:val="20"/>
                <w:szCs w:val="20"/>
              </w:rPr>
              <w:t xml:space="preserve">alpha, beta</w:t>
            </w:r>
          </w:p>
        </w:tc>
        <w:tc>
          <w:tcPr>
            <w:tcW w:type="dxa" w:w="1800"/>
            <w:shd w:fill="FFFFFF" w:val="clear"/>
          </w:tcPr>
          <w:p>
            <w:r>
              <w:rPr>
                <w:sz w:val="20"/>
                <w:szCs w:val="20"/>
              </w:rPr>
              <w:t xml:space="preserve">REAL</w:t>
            </w:r>
          </w:p>
        </w:tc>
        <w:tc>
          <w:tcPr>
            <w:tcW w:type="dxa" w:w="3800"/>
            <w:shd w:fill="FFFFFF" w:val="clear"/>
          </w:tcPr>
          <w:p>
            <w:r>
              <w:rPr>
                <w:sz w:val="20"/>
                <w:szCs w:val="20"/>
              </w:rPr>
              <w:t xml:space="preserve">Risk-adjusted performance vs benchmark</w:t>
            </w:r>
          </w:p>
        </w:tc>
      </w:tr>
      <w:tr>
        <w:tc>
          <w:tcPr>
            <w:tcW w:type="dxa" w:w="3200"/>
            <w:shd w:fill="F2F4FA" w:val="clear"/>
          </w:tcPr>
          <w:p>
            <w:r>
              <w:rPr>
                <w:sz w:val="20"/>
                <w:szCs w:val="20"/>
              </w:rPr>
              <w:t xml:space="preserve">sharpe_ratio, sortino_ratio</w:t>
            </w:r>
          </w:p>
        </w:tc>
        <w:tc>
          <w:tcPr>
            <w:tcW w:type="dxa" w:w="1800"/>
            <w:shd w:fill="F2F4FA" w:val="clear"/>
          </w:tcPr>
          <w:p>
            <w:r>
              <w:rPr>
                <w:sz w:val="20"/>
                <w:szCs w:val="20"/>
              </w:rPr>
              <w:t xml:space="preserve">REAL</w:t>
            </w:r>
          </w:p>
        </w:tc>
        <w:tc>
          <w:tcPr>
            <w:tcW w:type="dxa" w:w="3800"/>
            <w:shd w:fill="F2F4FA" w:val="clear"/>
          </w:tcPr>
          <w:p>
            <w:r>
              <w:rPr>
                <w:sz w:val="20"/>
                <w:szCs w:val="20"/>
              </w:rPr>
              <w:t xml:space="preserve">Risk-adjusted return metrics</w:t>
            </w:r>
          </w:p>
        </w:tc>
      </w:tr>
      <w:tr>
        <w:tc>
          <w:tcPr>
            <w:tcW w:type="dxa" w:w="3200"/>
            <w:shd w:fill="FFFFFF" w:val="clear"/>
          </w:tcPr>
          <w:p>
            <w:r>
              <w:rPr>
                <w:sz w:val="20"/>
                <w:szCs w:val="20"/>
              </w:rPr>
              <w:t xml:space="preserve">max_drawdown_pct</w:t>
            </w:r>
          </w:p>
        </w:tc>
        <w:tc>
          <w:tcPr>
            <w:tcW w:type="dxa" w:w="1800"/>
            <w:shd w:fill="FFFFFF" w:val="clear"/>
          </w:tcPr>
          <w:p>
            <w:r>
              <w:rPr>
                <w:sz w:val="20"/>
                <w:szCs w:val="20"/>
              </w:rPr>
              <w:t xml:space="preserve">REAL</w:t>
            </w:r>
          </w:p>
        </w:tc>
        <w:tc>
          <w:tcPr>
            <w:tcW w:type="dxa" w:w="3800"/>
            <w:shd w:fill="FFFFFF" w:val="clear"/>
          </w:tcPr>
          <w:p>
            <w:r>
              <w:rPr>
                <w:sz w:val="20"/>
                <w:szCs w:val="20"/>
              </w:rPr>
              <w:t xml:space="preserve">Worst peak-to-trough decline</w:t>
            </w:r>
          </w:p>
        </w:tc>
      </w:tr>
    </w:tbl>
    <w:p>
      <w:pPr>
        <w:spacing w:after="200"/>
      </w:pPr>
    </w:p>
    <w:p>
      <w:r>
        <w:br w:type="page"/>
      </w:r>
    </w:p>
    <w:p>
      <w:pPr>
        <w:pStyle w:val="Heading1"/>
        <w:spacing w:after="200" w:before="400"/>
      </w:pPr>
      <w:r>
        <w:t xml:space="preserve">14. Appendix C — Deliverables &amp; Evaluation Checklist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700"/>
      </w:tblGrid>
      <w:tr>
        <w:trPr>
          <w:tblHeader/>
        </w:trPr>
        <w:tc>
          <w:tcPr>
            <w:tcW w:type="dxa" w:w="3600"/>
            <w:shd w:fill="1E2761" w:val="clear"/>
          </w:tcPr>
          <w:p>
            <w:r>
              <w:rPr>
                <w:b/>
                <w:bCs/>
                <w:color w:val="FFFFFF"/>
                <w:sz w:val="20"/>
                <w:szCs w:val="20"/>
              </w:rPr>
              <w:t xml:space="preserve">Deliverable</w:t>
            </w:r>
          </w:p>
        </w:tc>
        <w:tc>
          <w:tcPr>
            <w:tcW w:type="dxa" w:w="3800"/>
            <w:shd w:fill="1E2761" w:val="clear"/>
          </w:tcPr>
          <w:p>
            <w:r>
              <w:rPr>
                <w:b/>
                <w:bCs/>
                <w:color w:val="FFFFFF"/>
                <w:sz w:val="20"/>
                <w:szCs w:val="20"/>
              </w:rPr>
              <w:t xml:space="preserve">Format</w:t>
            </w:r>
          </w:p>
        </w:tc>
        <w:tc>
          <w:tcPr>
            <w:tcW w:type="dxa" w:w="1700"/>
            <w:shd w:fill="1E2761" w:val="clear"/>
          </w:tcPr>
          <w:p>
            <w:r>
              <w:rPr>
                <w:b/>
                <w:bCs/>
                <w:color w:val="FFFFFF"/>
                <w:sz w:val="20"/>
                <w:szCs w:val="20"/>
              </w:rPr>
              <w:t xml:space="preserve">Status</w:t>
            </w:r>
          </w:p>
        </w:tc>
      </w:tr>
      <w:tr>
        <w:tc>
          <w:tcPr>
            <w:tcW w:type="dxa" w:w="3600"/>
            <w:shd w:fill="FFFFFF" w:val="clear"/>
          </w:tcPr>
          <w:p>
            <w:r>
              <w:rPr>
                <w:sz w:val="20"/>
                <w:szCs w:val="20"/>
              </w:rPr>
              <w:t xml:space="preserve">ETL Pipeline Script</w:t>
            </w:r>
          </w:p>
        </w:tc>
        <w:tc>
          <w:tcPr>
            <w:tcW w:type="dxa" w:w="3800"/>
            <w:shd w:fill="FFFFFF" w:val="clear"/>
          </w:tcPr>
          <w:p>
            <w:r>
              <w:rPr>
                <w:sz w:val="20"/>
                <w:szCs w:val="20"/>
              </w:rPr>
              <w:t xml:space="preserve">Python (.py)</w:t>
            </w:r>
          </w:p>
        </w:tc>
        <w:tc>
          <w:tcPr>
            <w:tcW w:type="dxa" w:w="1700"/>
            <w:shd w:fill="FFFFFF" w:val="clear"/>
          </w:tcPr>
          <w:p>
            <w:r>
              <w:rPr>
                <w:sz w:val="20"/>
                <w:szCs w:val="20"/>
              </w:rPr>
              <w:t xml:space="preserve">Complete</w:t>
            </w:r>
          </w:p>
        </w:tc>
      </w:tr>
      <w:tr>
        <w:tc>
          <w:tcPr>
            <w:tcW w:type="dxa" w:w="3600"/>
            <w:shd w:fill="F2F4FA" w:val="clear"/>
          </w:tcPr>
          <w:p>
            <w:r>
              <w:rPr>
                <w:sz w:val="20"/>
                <w:szCs w:val="20"/>
              </w:rPr>
              <w:t xml:space="preserve">SQLite Database</w:t>
            </w:r>
          </w:p>
        </w:tc>
        <w:tc>
          <w:tcPr>
            <w:tcW w:type="dxa" w:w="3800"/>
            <w:shd w:fill="F2F4FA" w:val="clear"/>
          </w:tcPr>
          <w:p>
            <w:r>
              <w:rPr>
                <w:sz w:val="20"/>
                <w:szCs w:val="20"/>
              </w:rPr>
              <w:t xml:space="preserve">.db file (7-table star schema)</w:t>
            </w:r>
          </w:p>
        </w:tc>
        <w:tc>
          <w:tcPr>
            <w:tcW w:type="dxa" w:w="1700"/>
            <w:shd w:fill="F2F4FA" w:val="clear"/>
          </w:tcPr>
          <w:p>
            <w:r>
              <w:rPr>
                <w:sz w:val="20"/>
                <w:szCs w:val="20"/>
              </w:rPr>
              <w:t xml:space="preserve">Complete</w:t>
            </w:r>
          </w:p>
        </w:tc>
      </w:tr>
      <w:tr>
        <w:tc>
          <w:tcPr>
            <w:tcW w:type="dxa" w:w="3600"/>
            <w:shd w:fill="FFFFFF" w:val="clear"/>
          </w:tcPr>
          <w:p>
            <w:r>
              <w:rPr>
                <w:sz w:val="20"/>
                <w:szCs w:val="20"/>
              </w:rPr>
              <w:t xml:space="preserve">EDA Notebook</w:t>
            </w:r>
          </w:p>
        </w:tc>
        <w:tc>
          <w:tcPr>
            <w:tcW w:type="dxa" w:w="3800"/>
            <w:shd w:fill="FFFFFF" w:val="clear"/>
          </w:tcPr>
          <w:p>
            <w:r>
              <w:rPr>
                <w:sz w:val="20"/>
                <w:szCs w:val="20"/>
              </w:rPr>
              <w:t xml:space="preserve">.ipynb, 19 charts</w:t>
            </w:r>
          </w:p>
        </w:tc>
        <w:tc>
          <w:tcPr>
            <w:tcW w:type="dxa" w:w="1700"/>
            <w:shd w:fill="FFFFFF" w:val="clear"/>
          </w:tcPr>
          <w:p>
            <w:r>
              <w:rPr>
                <w:sz w:val="20"/>
                <w:szCs w:val="20"/>
              </w:rPr>
              <w:t xml:space="preserve">Complete</w:t>
            </w:r>
          </w:p>
        </w:tc>
      </w:tr>
      <w:tr>
        <w:tc>
          <w:tcPr>
            <w:tcW w:type="dxa" w:w="3600"/>
            <w:shd w:fill="F2F4FA" w:val="clear"/>
          </w:tcPr>
          <w:p>
            <w:r>
              <w:rPr>
                <w:sz w:val="20"/>
                <w:szCs w:val="20"/>
              </w:rPr>
              <w:t xml:space="preserve">Performance Metrics</w:t>
            </w:r>
          </w:p>
        </w:tc>
        <w:tc>
          <w:tcPr>
            <w:tcW w:type="dxa" w:w="3800"/>
            <w:shd w:fill="F2F4FA" w:val="clear"/>
          </w:tcPr>
          <w:p>
            <w:r>
              <w:rPr>
                <w:sz w:val="20"/>
                <w:szCs w:val="20"/>
              </w:rPr>
              <w:t xml:space="preserve">.ipynb + CSV</w:t>
            </w:r>
          </w:p>
        </w:tc>
        <w:tc>
          <w:tcPr>
            <w:tcW w:type="dxa" w:w="1700"/>
            <w:shd w:fill="F2F4FA" w:val="clear"/>
          </w:tcPr>
          <w:p>
            <w:r>
              <w:rPr>
                <w:sz w:val="20"/>
                <w:szCs w:val="20"/>
              </w:rPr>
              <w:t xml:space="preserve">Complete</w:t>
            </w:r>
          </w:p>
        </w:tc>
      </w:tr>
      <w:tr>
        <w:tc>
          <w:tcPr>
            <w:tcW w:type="dxa" w:w="3600"/>
            <w:shd w:fill="FFFFFF" w:val="clear"/>
          </w:tcPr>
          <w:p>
            <w:r>
              <w:rPr>
                <w:sz w:val="20"/>
                <w:szCs w:val="20"/>
              </w:rPr>
              <w:t xml:space="preserve">Interactive Dashboard</w:t>
            </w:r>
          </w:p>
        </w:tc>
        <w:tc>
          <w:tcPr>
            <w:tcW w:type="dxa" w:w="3800"/>
            <w:shd w:fill="FFFFFF" w:val="clear"/>
          </w:tcPr>
          <w:p>
            <w:r>
              <w:rPr>
                <w:sz w:val="20"/>
                <w:szCs w:val="20"/>
              </w:rPr>
              <w:t xml:space="preserve">.pbix, 4 pages</w:t>
            </w:r>
          </w:p>
        </w:tc>
        <w:tc>
          <w:tcPr>
            <w:tcW w:type="dxa" w:w="1700"/>
            <w:shd w:fill="FFFFFF" w:val="clear"/>
          </w:tcPr>
          <w:p>
            <w:r>
              <w:rPr>
                <w:sz w:val="20"/>
                <w:szCs w:val="20"/>
              </w:rPr>
              <w:t xml:space="preserve">Complete</w:t>
            </w:r>
          </w:p>
        </w:tc>
      </w:tr>
      <w:tr>
        <w:tc>
          <w:tcPr>
            <w:tcW w:type="dxa" w:w="3600"/>
            <w:shd w:fill="F2F4FA" w:val="clear"/>
          </w:tcPr>
          <w:p>
            <w:r>
              <w:rPr>
                <w:sz w:val="20"/>
                <w:szCs w:val="20"/>
              </w:rPr>
              <w:t xml:space="preserve">Advanced Analytics</w:t>
            </w:r>
          </w:p>
        </w:tc>
        <w:tc>
          <w:tcPr>
            <w:tcW w:type="dxa" w:w="3800"/>
            <w:shd w:fill="F2F4FA" w:val="clear"/>
          </w:tcPr>
          <w:p>
            <w:r>
              <w:rPr>
                <w:sz w:val="20"/>
                <w:szCs w:val="20"/>
              </w:rPr>
              <w:t xml:space="preserve">.ipynb + CSV + recommender.py</w:t>
            </w:r>
          </w:p>
        </w:tc>
        <w:tc>
          <w:tcPr>
            <w:tcW w:type="dxa" w:w="1700"/>
            <w:shd w:fill="F2F4FA" w:val="clear"/>
          </w:tcPr>
          <w:p>
            <w:r>
              <w:rPr>
                <w:sz w:val="20"/>
                <w:szCs w:val="20"/>
              </w:rPr>
              <w:t xml:space="preserve">Complete</w:t>
            </w:r>
          </w:p>
        </w:tc>
      </w:tr>
      <w:tr>
        <w:tc>
          <w:tcPr>
            <w:tcW w:type="dxa" w:w="3600"/>
            <w:shd w:fill="FFFFFF" w:val="clear"/>
          </w:tcPr>
          <w:p>
            <w:r>
              <w:rPr>
                <w:sz w:val="20"/>
                <w:szCs w:val="20"/>
              </w:rPr>
              <w:t xml:space="preserve">Final Report + Slides</w:t>
            </w:r>
          </w:p>
        </w:tc>
        <w:tc>
          <w:tcPr>
            <w:tcW w:type="dxa" w:w="3800"/>
            <w:shd w:fill="FFFFFF" w:val="clear"/>
          </w:tcPr>
          <w:p>
            <w:r>
              <w:rPr>
                <w:sz w:val="20"/>
                <w:szCs w:val="20"/>
              </w:rPr>
              <w:t xml:space="preserve">.pdf + .pptx</w:t>
            </w:r>
          </w:p>
        </w:tc>
        <w:tc>
          <w:tcPr>
            <w:tcW w:type="dxa" w:w="1700"/>
            <w:shd w:fill="FFFFFF" w:val="clear"/>
          </w:tcPr>
          <w:p>
            <w:r>
              <w:rPr>
                <w:sz w:val="20"/>
                <w:szCs w:val="20"/>
              </w:rPr>
              <w:t xml:space="preserve">Complete</w:t>
            </w:r>
          </w:p>
        </w:tc>
      </w:tr>
    </w:tbl>
    <w:p>
      <w:pPr>
        <w:spacing w:after="300"/>
      </w:pPr>
    </w:p>
    <w:p>
      <w:pPr>
        <w:spacing w:after="160"/>
      </w:pPr>
      <w:r>
        <w:rPr>
          <w:i/>
          <w:iCs/>
          <w:color w:val="595959"/>
        </w:rPr>
        <w:t xml:space="preserve">All code, notebooks, SQL, processed data, dashboard file, charts, and this report are available in the public GitHub repository, tagged v1.0.</w:t>
      </w:r>
    </w:p>
    <w:p>
      <w:r>
        <w:br w:type="page"/>
      </w:r>
    </w:p>
    <w:p>
      <w:pPr>
        <w:pStyle w:val="Heading1"/>
        <w:spacing w:after="200" w:before="400"/>
      </w:pPr>
      <w:r>
        <w:t xml:space="preserve">15. Appendix D — Bonus Challenge: Monte Carlo NAV Projection</w:t>
      </w:r>
    </w:p>
    <w:p>
      <w:pPr>
        <w:spacing w:after="160"/>
      </w:pPr>
      <w:r>
        <w:t xml:space="preserve">As an optional bonus extension (Bonus Challenge B3), a 5-year Monte Carlo simulation was built to project NAV growth with uncertainty bands for the top 5 composite-scorecard funds (scripts/monte_carlo_simulation.py).</w:t>
      </w:r>
    </w:p>
    <w:p>
      <w:pPr>
        <w:pStyle w:val="Heading2"/>
        <w:spacing w:after="150" w:before="300"/>
      </w:pPr>
      <w:r>
        <w:t xml:space="preserve">Methodology</w:t>
      </w:r>
    </w:p>
    <w:p>
      <w:pPr>
        <w:pStyle w:val="ListParagraph"/>
        <w:numPr>
          <w:ilvl w:val="0"/>
          <w:numId w:val="1"/>
        </w:numPr>
        <w:spacing w:after="90"/>
      </w:pPr>
      <w:r>
        <w:t xml:space="preserve">Daily log returns for each fund are estimated from its full historical NAV series (~4.5 years) as mean (μ) and standard deviation (σ).</w:t>
      </w:r>
    </w:p>
    <w:p>
      <w:pPr>
        <w:pStyle w:val="ListParagraph"/>
        <w:numPr>
          <w:ilvl w:val="0"/>
          <w:numId w:val="1"/>
        </w:numPr>
        <w:spacing w:after="90"/>
      </w:pPr>
      <w:r>
        <w:t xml:space="preserve">2,000 independent 5-year price paths are simulated per fund using Geometric Brownian Motion: NAV_t = NAV_0 × exp(cumsum((μ − 0.5σ²) + σ × Z_t)), with Z_t ~ N(0,1) drawn independently per trading day.</w:t>
      </w:r>
    </w:p>
    <w:p>
      <w:pPr>
        <w:pStyle w:val="ListParagraph"/>
        <w:numPr>
          <w:ilvl w:val="0"/>
          <w:numId w:val="1"/>
        </w:numPr>
        <w:spacing w:after="90"/>
      </w:pPr>
      <w:r>
        <w:t xml:space="preserve">The median path and the 10th–90th percentile band (an 80% confidence interval) are plotted for each fund.</w:t>
      </w:r>
    </w:p>
    <w:p>
      <w:pPr>
        <w:spacing w:after="60" w:before="120" w:line="240" w:lineRule="auto"/>
        <w:jc w:val="center"/>
      </w:pPr>
      <w:r>
        <w:drawing>
          <wp:inline distT="0" distB="0" distL="0" distR="0">
            <wp:extent cx="57626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209675"/>
                    </a:xfrm>
                    <a:prstGeom prst="rect">
                      <a:avLst/>
                    </a:prstGeom>
                  </pic:spPr>
                </pic:pic>
              </a:graphicData>
            </a:graphic>
          </wp:inline>
        </w:drawing>
      </w:r>
    </w:p>
    <w:p>
      <w:pPr>
        <w:spacing w:after="300"/>
        <w:jc w:val="center"/>
      </w:pPr>
      <w:r>
        <w:rPr>
          <w:i/>
          <w:iCs/>
          <w:color w:val="595959"/>
          <w:sz w:val="18"/>
          <w:szCs w:val="18"/>
        </w:rPr>
        <w:t xml:space="preserve">5-year Monte Carlo NAV projection, top 5 scorecard funds (2,000 simulations each, 80% confidence band).</w:t>
      </w:r>
    </w:p>
    <w:p>
      <w:pPr>
        <w:pStyle w:val="Heading2"/>
        <w:spacing w:after="150" w:before="300"/>
      </w:pPr>
      <w:r>
        <w:t xml:space="preserve">Median 5-Year Projected Return</w:t>
      </w:r>
    </w:p>
    <w:p>
      <w:pPr>
        <w:pStyle w:val="ListParagraph"/>
        <w:numPr>
          <w:ilvl w:val="0"/>
          <w:numId w:val="1"/>
        </w:numPr>
        <w:spacing w:after="90"/>
      </w:pPr>
      <w:r>
        <w:t xml:space="preserve">Mirae Asset Large Cap Fund: +250.7% (80% CI: +136.0% to +423.2%)</w:t>
      </w:r>
    </w:p>
    <w:p>
      <w:pPr>
        <w:pStyle w:val="ListParagraph"/>
        <w:numPr>
          <w:ilvl w:val="0"/>
          <w:numId w:val="1"/>
        </w:numPr>
        <w:spacing w:after="90"/>
      </w:pPr>
      <w:r>
        <w:t xml:space="preserve">ICICI Pru Midcap Fund: +260.0% (80% CI: +110.2% to +520.0%)</w:t>
      </w:r>
    </w:p>
    <w:p>
      <w:pPr>
        <w:pStyle w:val="ListParagraph"/>
        <w:numPr>
          <w:ilvl w:val="0"/>
          <w:numId w:val="1"/>
        </w:numPr>
        <w:spacing w:after="90"/>
      </w:pPr>
      <w:r>
        <w:t xml:space="preserve">Kotak Flexicap Fund: +245.6% (80% CI: +121.9% to +440.5%)</w:t>
      </w:r>
    </w:p>
    <w:p>
      <w:pPr>
        <w:pStyle w:val="ListParagraph"/>
        <w:numPr>
          <w:ilvl w:val="0"/>
          <w:numId w:val="1"/>
        </w:numPr>
        <w:spacing w:after="90"/>
      </w:pPr>
      <w:r>
        <w:t xml:space="preserve">HDFC Mid-Cap Opportunities Fund: +227.1% (80% CI: +92.8% to +457.7%)</w:t>
      </w:r>
    </w:p>
    <w:p>
      <w:pPr>
        <w:pStyle w:val="ListParagraph"/>
        <w:numPr>
          <w:ilvl w:val="0"/>
          <w:numId w:val="1"/>
        </w:numPr>
        <w:spacing w:after="90"/>
      </w:pPr>
      <w:r>
        <w:t xml:space="preserve">ICICI Pru Bluechip Fund (Direct): +161.7% (80% CI: +75.3% to +292.3%)</w:t>
      </w:r>
    </w:p>
    <w:p>
      <w:pPr>
        <w:spacing w:after="160"/>
      </w:pPr>
      <w:r>
        <w:rPr>
          <w:i/>
          <w:iCs/>
          <w:color w:val="595959"/>
        </w:rPr>
        <w:t xml:space="preserve">Caveat: this simulation assumes daily returns are independent and identically Normal-distributed — a simplification, not a forecast. Real markets exhibit volatility clustering and fatter tails than a Normal distribution captures, so the width of these bands should be read as illustrative rather than a precise risk bound. Full output: data/processed/monte_carlo_summary.csv.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Bluestock Fintech | Mutual Fund Analytics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1E2761"/>
      <w:sz w:val="32"/>
      <w:szCs w:val="32"/>
    </w:rPr>
  </w:style>
  <w:style w:type="paragraph" w:styleId="Heading2">
    <w:name w:val="Heading 2"/>
    <w:basedOn w:val="Normal"/>
    <w:next w:val="Normal"/>
    <w:qFormat/>
    <w:pPr>
      <w:spacing w:after="150" w:before="300"/>
      <w:outlineLvl w:val="1"/>
    </w:pPr>
    <w:rPr>
      <w:rFonts w:ascii="Cambria" w:cs="Cambria" w:eastAsia="Cambria" w:hAnsi="Cambria"/>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e48b5486f4ae266e397dbd5173b2f6ff0da814.png"/><Relationship Id="rId10" Type="http://schemas.openxmlformats.org/officeDocument/2006/relationships/image" Target="media/0596b6d396cd5b3e4c5feff877f24031fc23d03e.png"/><Relationship Id="rId11" Type="http://schemas.openxmlformats.org/officeDocument/2006/relationships/image" Target="media/ffe01e5596d39940027a3e7007ed2c70af3ec964.png"/><Relationship Id="rId12" Type="http://schemas.openxmlformats.org/officeDocument/2006/relationships/image" Target="media/d499fb4d193f9ca014e77cbe897565116f7ff205.png"/><Relationship Id="rId13" Type="http://schemas.openxmlformats.org/officeDocument/2006/relationships/image" Target="media/2d3920bc9864da98a61adbc32c3478c84c2ef138.png"/><Relationship Id="rId14" Type="http://schemas.openxmlformats.org/officeDocument/2006/relationships/image" Target="media/7c2621d151a20b571084c894e2884f48704d254f.png"/><Relationship Id="rId15" Type="http://schemas.openxmlformats.org/officeDocument/2006/relationships/image" Target="media/dd2d6e17db7e8ad0b72a592f3f6341fe52e931bc.png"/><Relationship Id="rId16" Type="http://schemas.openxmlformats.org/officeDocument/2006/relationships/image" Target="media/d7fcc71e8d03695b3f353b84e903f312d69139a8.png"/><Relationship Id="rId17" Type="http://schemas.openxmlformats.org/officeDocument/2006/relationships/image" Target="media/c422cd97e0765e09b843c9b1abee4cc67a5d862d.png"/><Relationship Id="rId18" Type="http://schemas.openxmlformats.org/officeDocument/2006/relationships/image" Target="media/169881132fe2b18bdb0eaac57a5b907c6a26ed78.png"/><Relationship Id="rId19" Type="http://schemas.openxmlformats.org/officeDocument/2006/relationships/image" Target="media/720d6463b61bdd41fa10d30c4b38b729c5d8596b.png"/><Relationship Id="rId20" Type="http://schemas.openxmlformats.org/officeDocument/2006/relationships/image" Target="media/8a3a4e9ead4f4f40a49ad14054ca6ad1ab663c1f.png"/><Relationship Id="rId21" Type="http://schemas.openxmlformats.org/officeDocument/2006/relationships/image" Target="media/645846dad40b07333187ea850f496b5014acce4e.png"/><Relationship Id="rId22" Type="http://schemas.openxmlformats.org/officeDocument/2006/relationships/image" Target="media/a871eaae26d6732a6a9a67a892af5ea8515b55f9.png"/><Relationship Id="rId23" Type="http://schemas.openxmlformats.org/officeDocument/2006/relationships/image" Target="media/49d7357aebb088c95ca953580cb2686393e0d25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2026-08-14T03:51:58.036Z</dcterms:created>
  <dcterms:modified xsi:type="dcterms:W3CDTF">2026-08-14T03:51:58.036Z</dcterms:modified>
</cp:coreProperties>
</file>

<file path=docProps/custom.xml><?xml version="1.0" encoding="utf-8"?>
<Properties xmlns="http://schemas.openxmlformats.org/officeDocument/2006/custom-properties" xmlns:vt="http://schemas.openxmlformats.org/officeDocument/2006/docPropsVTypes"/>
</file>