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bcea93c05d192a83e47d6735f2d151f0485e67"/>
    <w:p>
      <w:pPr>
        <w:pStyle w:val="Heading1"/>
      </w:pPr>
      <w:r>
        <w:t xml:space="preserve">An AI support agent for {BRAND}: what it does, how well, and why the headline number is not the whole story</w:t>
      </w:r>
    </w:p>
    <w:p>
      <w:pPr>
        <w:pStyle w:val="FirstParagraph"/>
      </w:pPr>
      <w:r>
        <w:rPr>
          <w:i/>
          <w:iCs/>
        </w:rPr>
        <w:t xml:space="preserve">Hiver SDE Intern take-home — report (≤ 6 pages). Source of truth is this file;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report/report.docx</w:t>
      </w:r>
      <w:r>
        <w:rPr>
          <w:i/>
          <w:iCs/>
        </w:rPr>
        <w:t xml:space="preserve"> </w:t>
      </w:r>
      <w:r>
        <w:rPr>
          <w:i/>
          <w:iCs/>
        </w:rPr>
        <w:t xml:space="preserve">is rendered from it.</w:t>
      </w:r>
    </w:p>
    <w:bookmarkStart w:id="10" w:name="X6ea9b48f829ed8007bfa40e4c944174e30f14e5"/>
    <w:p>
      <w:pPr>
        <w:pStyle w:val="Heading2"/>
      </w:pPr>
      <w:r>
        <w:t xml:space="preserve">1. Problem framing: what</w:t>
      </w:r>
      <w:r>
        <w:t xml:space="preserve"> </w:t>
      </w:r>
      <w:r>
        <w:t xml:space="preserve">“good”</w:t>
      </w:r>
      <w:r>
        <w:t xml:space="preserve"> </w:t>
      </w:r>
      <w:r>
        <w:t xml:space="preserve">means for {BRAND}</w:t>
      </w:r>
    </w:p>
    <w:p>
      <w:pPr>
        <w:pStyle w:val="FirstParagraph"/>
      </w:pPr>
      <w:r>
        <w:t xml:space="preserve">TODO — what a good public first reply is for this brand; what must never happen; the pre-registered acceptance gate (see DECISIONS.md).</w:t>
      </w:r>
    </w:p>
    <w:bookmarkStart w:id="9" w:name="what-i-chose-not-to-build"/>
    <w:p>
      <w:pPr>
        <w:pStyle w:val="Heading3"/>
      </w:pPr>
      <w:r>
        <w:t xml:space="preserve">What I chose not to build</w:t>
      </w:r>
    </w:p>
    <w:p>
      <w:pPr>
        <w:pStyle w:val="FirstParagraph"/>
      </w:pPr>
      <w:r>
        <w:t xml:space="preserve">TODO — multi-turn, DMs, account lookups, sending, fine-tuning, embeddings, other brands, Banking77, UI.</w:t>
      </w:r>
    </w:p>
    <w:bookmarkEnd w:id="9"/>
    <w:bookmarkEnd w:id="10"/>
    <w:bookmarkStart w:id="11" w:name="data-and-brand-selection"/>
    <w:p>
      <w:pPr>
        <w:pStyle w:val="Heading2"/>
      </w:pPr>
      <w:r>
        <w:t xml:space="preserve">2. Data and brand selection</w:t>
      </w:r>
    </w:p>
    <w:p>
      <w:pPr>
        <w:pStyle w:val="FirstParagraph"/>
      </w:pPr>
      <w:r>
        <w:t xml:space="preserve">TODO — dataset, thread reconstruction, brand profiling table, why {BRAND}.</w:t>
      </w:r>
    </w:p>
    <w:bookmarkEnd w:id="11"/>
    <w:bookmarkStart w:id="12" w:name="intent-taxonomy-and-escalation-policy"/>
    <w:p>
      <w:pPr>
        <w:pStyle w:val="Heading2"/>
      </w:pPr>
      <w:r>
        <w:t xml:space="preserve">3. Intent taxonomy and escalation policy</w:t>
      </w:r>
    </w:p>
    <w:p>
      <w:pPr>
        <w:pStyle w:val="FirstParagraph"/>
      </w:pPr>
      <w:r>
        <w:t xml:space="preserve">TODO — ≤10 intents with one-line definitions; hard/soft/routing escalation checklist; how they were derived and frozen.</w:t>
      </w:r>
    </w:p>
    <w:bookmarkEnd w:id="12"/>
    <w:bookmarkStart w:id="13" w:name="system"/>
    <w:p>
      <w:pPr>
        <w:pStyle w:val="Heading2"/>
      </w:pPr>
      <w:r>
        <w:t xml:space="preserve">4. System</w:t>
      </w:r>
    </w:p>
    <w:p>
      <w:pPr>
        <w:pStyle w:val="FirstParagraph"/>
      </w:pPr>
      <w:r>
        <w:t xml:space="preserve">TODO — one diagram: retrieval → single structured LLM call → deterministic post-processor. Systems compared.</w:t>
      </w:r>
    </w:p>
    <w:bookmarkEnd w:id="13"/>
    <w:bookmarkStart w:id="14" w:name="evaluation-design"/>
    <w:p>
      <w:pPr>
        <w:pStyle w:val="Heading2"/>
      </w:pPr>
      <w:r>
        <w:t xml:space="preserve">5. Evaluation design</w:t>
      </w:r>
    </w:p>
    <w:p>
      <w:pPr>
        <w:pStyle w:val="FirstParagraph"/>
      </w:pPr>
      <w:r>
        <w:t xml:space="preserve">TODO — golden set (sampling, labelling protocol, self-agreement); metrics; judge rubric; human-agreement study.</w:t>
      </w:r>
    </w:p>
    <w:bookmarkEnd w:id="14"/>
    <w:bookmarkStart w:id="15" w:name="results"/>
    <w:p>
      <w:pPr>
        <w:pStyle w:val="Heading2"/>
      </w:pPr>
      <w:r>
        <w:t xml:space="preserve">6. Results</w:t>
      </w:r>
    </w:p>
    <w:p>
      <w:pPr>
        <w:pStyle w:val="FirstParagraph"/>
      </w:pPr>
      <w:r>
        <w:t xml:space="preserve">TODO — headline table vs trivial and simple baselines, no-retrieval ablation, stronger-model row, human reference level; bootstrap CIs; escalation cost curve; judge-agreement cross-tab.</w:t>
      </w:r>
    </w:p>
    <w:bookmarkEnd w:id="15"/>
    <w:bookmarkStart w:id="16" w:name="failure-analysis-top-5-failure-modes"/>
    <w:p>
      <w:pPr>
        <w:pStyle w:val="Heading2"/>
      </w:pPr>
      <w:r>
        <w:t xml:space="preserve">7. Failure analysis: top 5 failure modes</w:t>
      </w:r>
    </w:p>
    <w:p>
      <w:pPr>
        <w:pStyle w:val="FirstParagraph"/>
      </w:pPr>
      <w:r>
        <w:t xml:space="preserve">TODO — each with a real example, frequency, and a hypothesis.</w:t>
      </w:r>
    </w:p>
    <w:bookmarkEnd w:id="16"/>
    <w:bookmarkStart w:id="17" w:name="Xa2e36c4bf925bd09ef7a932d582971439addb1c"/>
    <w:p>
      <w:pPr>
        <w:pStyle w:val="Heading2"/>
      </w:pPr>
      <w:r>
        <w:t xml:space="preserve">8. What is misleading about my headline number?</w:t>
      </w:r>
    </w:p>
    <w:p>
      <w:pPr>
        <w:pStyle w:val="FirstParagraph"/>
      </w:pPr>
      <w:r>
        <w:t xml:space="preserve">TODO — mandatory section; every point quantified.</w:t>
      </w:r>
    </w:p>
    <w:bookmarkEnd w:id="17"/>
    <w:bookmarkStart w:id="18" w:name="verdict-against-the-acceptance-gate"/>
    <w:p>
      <w:pPr>
        <w:pStyle w:val="Heading2"/>
      </w:pPr>
      <w:r>
        <w:t xml:space="preserve">9. Verdict against the acceptance gate</w:t>
      </w:r>
    </w:p>
    <w:p>
      <w:pPr>
        <w:pStyle w:val="FirstParagraph"/>
      </w:pPr>
      <w:r>
        <w:t xml:space="preserve">TODO.</w:t>
      </w:r>
    </w:p>
    <w:bookmarkEnd w:id="18"/>
    <w:bookmarkStart w:id="19" w:name="what-i-would-do-with-one-more-week"/>
    <w:p>
      <w:pPr>
        <w:pStyle w:val="Heading2"/>
      </w:pPr>
      <w:r>
        <w:t xml:space="preserve">10. What I would do with one more week</w:t>
      </w:r>
    </w:p>
    <w:p>
      <w:pPr>
        <w:pStyle w:val="FirstParagraph"/>
      </w:pPr>
      <w:r>
        <w:t xml:space="preserve">TODO.</w:t>
      </w:r>
    </w:p>
    <w:p>
      <w:r>
        <w:br w:type="page"/>
      </w:r>
    </w:p>
    <w:bookmarkEnd w:id="19"/>
    <w:bookmarkEnd w:id="20"/>
    <w:bookmarkStart w:id="24" w:name="appendix-a-decision-log"/>
    <w:p>
      <w:pPr>
        <w:pStyle w:val="Heading1"/>
      </w:pPr>
      <w:r>
        <w:t xml:space="preserve">Appendix A — Decision log</w:t>
      </w:r>
    </w:p>
    <w:p>
      <w:pPr>
        <w:pStyle w:val="FirstParagraph"/>
      </w:pPr>
      <w:r>
        <w:t xml:space="preserve">Plain list of the non-obvious decisions, in the order they were made. Each entry says what was decided and why; where a decision was later revisited, the entry is amended rather than deleted.</w:t>
      </w:r>
    </w:p>
    <w:bookmarkStart w:id="21" w:name="X1427720c948a5f3e3dd5f0a7e7a6b87eb49414c"/>
    <w:p>
      <w:pPr>
        <w:pStyle w:val="Heading2"/>
      </w:pPr>
      <w:r>
        <w:t xml:space="preserve">Pre-registered acceptance gate (written 2026-09-09, before any model output existed)</w:t>
      </w:r>
    </w:p>
    <w:p>
      <w:pPr>
        <w:pStyle w:val="FirstParagraph"/>
      </w:pPr>
      <w:r>
        <w:t xml:space="preserve">The agent is</w:t>
      </w:r>
      <w:r>
        <w:t xml:space="preserve"> </w:t>
      </w:r>
      <w:r>
        <w:t xml:space="preserve">“good enough to trust”</w:t>
      </w:r>
      <w:r>
        <w:t xml:space="preserve"> </w:t>
      </w:r>
      <w:r>
        <w:t xml:space="preserve">for auto-handling only if, on the frozen 200-item test set:</w:t>
      </w:r>
    </w:p>
    <w:p>
      <w:pPr>
        <w:pStyle w:val="Compact"/>
        <w:numPr>
          <w:ilvl w:val="0"/>
          <w:numId w:val="1001"/>
        </w:numPr>
      </w:pPr>
      <w:r>
        <w:t xml:space="preserve">Recall on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escalation categories (account/PII, payment/refund, legal/safety/threat, explicit human request) ≥ 0.95, with the bootstrap 95 % lower bound ≥ 0.85.</w:t>
      </w:r>
    </w:p>
    <w:p>
      <w:pPr>
        <w:pStyle w:val="Compact"/>
        <w:numPr>
          <w:ilvl w:val="0"/>
          <w:numId w:val="1001"/>
        </w:numPr>
      </w:pPr>
      <w:r>
        <w:t xml:space="preserve">Zero hard validity violations on drafts the agent chose to auto-send (over 280 characters, URL not present in retrieved evidence, request for sensitive data in public, promise of refund/timeline/fix, fake agent sign-off, anonymised-handle artefacts).</w:t>
      </w:r>
    </w:p>
    <w:p>
      <w:pPr>
        <w:pStyle w:val="Compact"/>
        <w:numPr>
          <w:ilvl w:val="0"/>
          <w:numId w:val="1001"/>
        </w:numPr>
      </w:pPr>
      <w:r>
        <w:t xml:space="preserve">Judge pass-rate (</w:t>
      </w:r>
      <w:r>
        <w:t xml:space="preserve">“a brand agent would send this with at most a light edit”</w:t>
      </w:r>
      <w:r>
        <w:t xml:space="preserve">) ≥ 70 % on auto-handled drafts.</w:t>
      </w:r>
    </w:p>
    <w:p>
      <w:pPr>
        <w:pStyle w:val="Compact"/>
        <w:numPr>
          <w:ilvl w:val="0"/>
          <w:numId w:val="1001"/>
        </w:numPr>
      </w:pPr>
      <w:r>
        <w:t xml:space="preserve">Expected cost per 100 messages (missed hard escalation = 10, missed soft = 3, unnecessary escalation = 1) below the always-escalate baseline.</w:t>
      </w:r>
    </w:p>
    <w:p>
      <w:pPr>
        <w:pStyle w:val="Compact"/>
        <w:numPr>
          <w:ilvl w:val="0"/>
          <w:numId w:val="1001"/>
        </w:numPr>
      </w:pPr>
      <w:r>
        <w:t xml:space="preserve">Automation rate is reported at the operating point where missed hard escalations ≤ 2 %.</w:t>
      </w:r>
    </w:p>
    <w:p>
      <w:pPr>
        <w:pStyle w:val="FirstParagraph"/>
      </w:pPr>
      <w:r>
        <w:t xml:space="preserve">The report ends with a verdict against exactly these five conditions. They will not be edited after test-set results are seen.</w:t>
      </w:r>
    </w:p>
    <w:bookmarkEnd w:id="21"/>
    <w:bookmarkStart w:id="22" w:name="test-set-touch-log"/>
    <w:p>
      <w:pPr>
        <w:pStyle w:val="Heading2"/>
      </w:pPr>
      <w:r>
        <w:t xml:space="preserve">Test-set touch log</w:t>
      </w:r>
    </w:p>
    <w:p>
      <w:pPr>
        <w:pStyle w:val="FirstParagraph"/>
      </w:pPr>
      <w:r>
        <w:t xml:space="preserve">Every time a metric was computed on the test set, with the prompt/config version in force. Prompt iteration happens on the 50-item dev set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what was computed</w:t>
            </w:r>
          </w:p>
        </w:tc>
        <w:tc>
          <w:tcPr/>
          <w:p>
            <w:pPr>
              <w:pStyle w:val="Compact"/>
            </w:pPr>
            <w:r>
              <w:t xml:space="preserve">prompt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(no test-set computations yet)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23" w:name="decisions"/>
    <w:p>
      <w:pPr>
        <w:pStyle w:val="Heading2"/>
      </w:pPr>
      <w:r>
        <w:t xml:space="preserve">Decisions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Headline system runs on a local open model (Ollama, ~4B parameters), not a hosted frontier model.</w:t>
      </w:r>
      <w:r>
        <w:t xml:space="preserve"> </w:t>
      </w:r>
      <w:r>
        <w:t xml:space="preserve">Iteration is unlimited and reproducible without any API key, which matters more here than raw quality: the assignment grades the proof, not the system. A single run of the same prompts on</w:t>
      </w:r>
      <w:r>
        <w:t xml:space="preserve"> </w:t>
      </w:r>
      <w:r>
        <w:rPr>
          <w:rStyle w:val="VerbatimChar"/>
        </w:rPr>
        <w:t xml:space="preserve">gemini-3.8-flash</w:t>
      </w:r>
      <w:r>
        <w:t xml:space="preserve"> </w:t>
      </w:r>
      <w:r>
        <w:t xml:space="preserve">is reported as a</w:t>
      </w:r>
      <w:r>
        <w:t xml:space="preserve"> </w:t>
      </w:r>
      <w:r>
        <w:t xml:space="preserve">“stronger model”</w:t>
      </w:r>
      <w:r>
        <w:t xml:space="preserve"> </w:t>
      </w:r>
      <w:r>
        <w:t xml:space="preserve">row so the reader can see what the ceiling looks like.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LLM judge is a different model family (</w:t>
      </w:r>
      <w:r>
        <w:rPr>
          <w:rStyle w:val="VerbatimChar"/>
          <w:b/>
          <w:bCs/>
        </w:rPr>
        <w:t xml:space="preserve">gemini-3.8-flash</w:t>
      </w:r>
      <w:r>
        <w:rPr>
          <w:b/>
          <w:bCs/>
        </w:rPr>
        <w:t xml:space="preserve">) from the generator.</w:t>
      </w:r>
      <w:r>
        <w:t xml:space="preserve"> </w:t>
      </w:r>
      <w:r>
        <w:t xml:space="preserve">Same-family judging is known to favour its own style (self-preference). Splitting families removes that bias by construction; the remaining judge risk is measured directly by the human-agreement study.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Unit of prediction = the first inbound customer tweet of a thread.</w:t>
      </w:r>
      <w:r>
        <w:t xml:space="preserve"> </w:t>
      </w:r>
      <w:r>
        <w:t xml:space="preserve">Multi-turn handling is out of scope (see report §</w:t>
      </w:r>
      <w:r>
        <w:t xml:space="preserve">“what I chose not to build”</w:t>
      </w:r>
      <w:r>
        <w:t xml:space="preserve">). This keeps labels unambiguous and matches how a triage system first sees a message.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“Historical resolution”</w:t>
      </w:r>
      <w:r>
        <w:rPr>
          <w:b/>
          <w:bCs/>
        </w:rPr>
        <w:t xml:space="preserve"> </w:t>
      </w:r>
      <w:r>
        <w:rPr>
          <w:b/>
          <w:bCs/>
        </w:rPr>
        <w:t xml:space="preserve">= all brand-side turns of the thread, not the first reply.</w:t>
      </w:r>
      <w:r>
        <w:t xml:space="preserve"> </w:t>
      </w:r>
      <w:r>
        <w:t xml:space="preserve">In this dataset the first brand reply is very often a clarifying question or a</w:t>
      </w:r>
      <w:r>
        <w:t xml:space="preserve"> </w:t>
      </w:r>
      <w:r>
        <w:t xml:space="preserve">“DM us”</w:t>
      </w:r>
      <w:r>
        <w:t xml:space="preserve"> </w:t>
      </w:r>
      <w:r>
        <w:t xml:space="preserve">redirect; the substance, when it exists, arrives later. Each brand turn is tagged by type (steps / link / DM-redirect / question / apology-only) so boilerplate can be down-weighted in retrieval and quantified in the report.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Retrieval is TF-IDF (word + character n-grams), not sentence embeddings.</w:t>
      </w:r>
      <w:r>
        <w:t xml:space="preserve"> </w:t>
      </w:r>
      <w:r>
        <w:t xml:space="preserve">Tweets are short and vocabulary-driven; TF-IDF is transparent, fast, and keeps the reproduction path free of a torch download. Embeddings are on the</w:t>
      </w:r>
      <w:r>
        <w:t xml:space="preserve"> </w:t>
      </w:r>
      <w:r>
        <w:t xml:space="preserve">“next week”</w:t>
      </w:r>
      <w:r>
        <w:t xml:space="preserve"> </w:t>
      </w:r>
      <w:r>
        <w:t xml:space="preserve">list if retrieval quality on the dev set turns out to be the bottleneck.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One structured LLM call per message, followed by a deterministic post-processor.</w:t>
      </w:r>
      <w:r>
        <w:t xml:space="preserve"> </w:t>
      </w:r>
      <w:r>
        <w:t xml:space="preserve">The model returns intent, reply, decision, reason and evidence ids in a single JSON-schema-constrained response; hard escalation rules and tweet-validity checks are plain Python. That keeps the API budget at one call per item and makes the safety-critical logic testable and easy to modify live.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model’s self-reported confidence gates nothing.</w:t>
      </w:r>
      <w:r>
        <w:t xml:space="preserve"> </w:t>
      </w:r>
      <w:r>
        <w:t xml:space="preserve">LLM confidences are poorly calibrated;</w:t>
      </w:r>
      <w:r>
        <w:t xml:space="preserve"> </w:t>
      </w:r>
      <w:r>
        <w:t xml:space="preserve">“no relevant historical resolution”</w:t>
      </w:r>
      <w:r>
        <w:t xml:space="preserve"> </w:t>
      </w:r>
      <w:r>
        <w:t xml:space="preserve">is a deterministic retrieval-similarity threshold tuned on the dev set. Self-reported confidence is only reported as a reliability table.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Labelled data is split into 200 test + 50 dev, and the test set is frozen (committed) before any prediction exists on it.</w:t>
      </w:r>
      <w:r>
        <w:t xml:space="preserve"> </w:t>
      </w:r>
      <w:r>
        <w:t xml:space="preserve">All prompt and threshold iteration touches only dev; the touch log above records every test-set computation.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Golden set sampling is two-part: 120 uniform-random (Part A) + 80 targeted (Part B).</w:t>
      </w:r>
      <w:r>
        <w:t xml:space="preserve"> </w:t>
      </w:r>
      <w:r>
        <w:t xml:space="preserve">Part A gives honest natural-distribution estimates; Part B (cluster floors + escalation-keyword oversample) gives per-intent support and enough escalation positives. Every table states which part it uses.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Reply quality is scored with binary checks + pass/fail + a pairwise comparison against the verbatim-retrieval baseline, not a 1–5 multi-dimension rubric.</w:t>
      </w:r>
      <w:r>
        <w:t xml:space="preserve"> </w:t>
      </w:r>
      <w:r>
        <w:t xml:space="preserve">Binary and pairwise judgments are more reliable for both LLM and human raters; 1–5 scales compress to 4s and 5s.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Escalation ground truth is a written policy applied blind by the labeller, and the same text is given to the model.</w:t>
      </w:r>
      <w:r>
        <w:t xml:space="preserve"> </w:t>
      </w:r>
      <w:r>
        <w:t xml:space="preserve">The metric therefore measures</w:t>
      </w:r>
      <w:r>
        <w:t xml:space="preserve"> </w:t>
      </w:r>
      <w:r>
        <w:t xml:space="preserve">“does the system apply the policy the way a person would”</w:t>
      </w:r>
      <w:r>
        <w:t xml:space="preserve">, which is legitimate as long as the policy is frozen before labelling and never edited after seeing test errors.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Banking77 is not used.</w:t>
      </w:r>
      <w:r>
        <w:t xml:space="preserve"> </w:t>
      </w:r>
      <w:r>
        <w:t xml:space="preserve">Its 77 banking intents do not transfer to a consumer-tech/entertainment brand’s Twitter traffic; a taxonomy induced from the brand’s own data is more faithful.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Local model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qwen3:4b-instruct</w:t>
      </w:r>
      <w:r>
        <w:rPr>
          <w:b/>
          <w:bCs/>
        </w:rPr>
        <w:t xml:space="preserve">, chosen by an 8-tweet smoke test against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qwen3.5:2b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llama3.2:3b</w:t>
      </w:r>
      <w:r>
        <w:rPr>
          <w:b/>
          <w:bCs/>
        </w:rPr>
        <w:t xml:space="preserve"> </w:t>
      </w:r>
      <w:r>
        <w:rPr>
          <w:b/>
          <w:bCs/>
        </w:rPr>
        <w:t xml:space="preserve">(2026-09-09, no retrieval, example taxonomy).</w:t>
      </w:r>
      <w:r>
        <w:t xml:space="preserve"> </w:t>
      </w:r>
      <w:r>
        <w:t xml:space="preserve">All three returned schema-valid JSON 8/8. Only Qwen3-4B made sound escalation calls: it auto-handled a feature request and praise, escalated billing/hacked-account/</w:t>
      </w:r>
      <w:r>
        <w:t xml:space="preserve">“speak to a real person”</w:t>
      </w:r>
      <w:r>
        <w:t xml:space="preserve"> </w:t>
      </w:r>
      <w:r>
        <w:t xml:space="preserve">with the right codes. Qwen3.5-2B escalated the feature request as</w:t>
      </w:r>
      <w:r>
        <w:t xml:space="preserve"> </w:t>
      </w:r>
      <w:r>
        <w:rPr>
          <w:rStyle w:val="VerbatimChar"/>
        </w:rPr>
        <w:t xml:space="preserve">explicit_human_request</w:t>
      </w:r>
      <w:r>
        <w:t xml:space="preserve"> </w:t>
      </w:r>
      <w:r>
        <w:t xml:space="preserve">and labelled an emoji-only tweet</w:t>
      </w:r>
      <w:r>
        <w:t xml:space="preserve"> </w:t>
      </w:r>
      <w:r>
        <w:rPr>
          <w:rStyle w:val="VerbatimChar"/>
        </w:rPr>
        <w:t xml:space="preserve">account_access</w:t>
      </w:r>
      <w:r>
        <w:t xml:space="preserve">; Llama-3.2-3B escalated neutral bug reports as</w:t>
      </w:r>
      <w:r>
        <w:t xml:space="preserve"> </w:t>
      </w:r>
      <w:r>
        <w:rPr>
          <w:rStyle w:val="VerbatimChar"/>
        </w:rPr>
        <w:t xml:space="preserve">anger_churn</w:t>
      </w:r>
      <w:r>
        <w:t xml:space="preserve"> </w:t>
      </w:r>
      <w:r>
        <w:t xml:space="preserve">and the feature request too. Qwen3-4B is ~2.3× slower (≈10.5 s vs ≈4.5 s per call on the GTX 1650), i.e. ~45 minutes per 250-item run — acceptable for unlimited offline iteration. The judgment gap mattered more than the speed gap.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Retrieval boilerplate penalty = 0.2 (multiplicative on cosine for threads where the brand never gave steps or a link).</w:t>
      </w:r>
      <w:r>
        <w:t xml:space="preserve"> </w:t>
      </w:r>
      <w:r>
        <w:t xml:space="preserve">Boilerplate</w:t>
      </w:r>
      <w:r>
        <w:t xml:space="preserve"> </w:t>
      </w:r>
      <w:r>
        <w:t xml:space="preserve">“DM us”</w:t>
      </w:r>
      <w:r>
        <w:t xml:space="preserve"> </w:t>
      </w:r>
      <w:r>
        <w:t xml:space="preserve">threads only win a slot when nothing substantive is close; the raw similarity is still reported untouched and is what the</w:t>
      </w:r>
      <w:r>
        <w:t xml:space="preserve"> </w:t>
      </w:r>
      <w:r>
        <w:t xml:space="preserve">“no relevant resolution”</w:t>
      </w:r>
      <w:r>
        <w:t xml:space="preserve"> </w:t>
      </w:r>
      <w:r>
        <w:t xml:space="preserve">floor uses.</w:t>
      </w:r>
    </w:p>
    <w:p>
      <w:pPr>
        <w:pStyle w:val="FirstParagraph"/>
      </w:pPr>
      <w:r>
        <w:t xml:space="preserve">(Entries on brand choice, taxonomy size, cost-matrix values, prompt versions and the dev-tuned similarity floor are added as those decisions are made.)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2026-09-09T10:58:57Z</dcterms:created>
  <dcterms:modified xsi:type="dcterms:W3CDTF">2026-09-09T10:58:57Z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