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BoldBody"/>
      </w:pPr>
      <w:r>
        <w:t xml:space="preserve">Bold through a style, not through runs</w:t>
      </w:r>
    </w:p>
    <w:p>
      <w:r>
        <w:rPr>
          <w:b w:val="0"/>
        </w:rPr>
        <w:t xml:space="preserve">This run turns bold OFF with val=0</w:t>
      </w:r>
    </w:p>
    <w:p>
      <w:r>
        <w:rPr>
          <w:b w:val="false"/>
        </w:rPr>
        <w:t xml:space="preserve">This run turns bold OFF with val=false</w:t>
      </w:r>
    </w:p>
    <w:p>
      <w:pPr>
        <w:numPr>
          <w:ilvl w:val="0"/>
          <w:numId w:val="1"/>
        </w:numPr>
      </w:pPr>
      <w:r>
        <w:t xml:space="preserve">A bulleted line</w:t>
      </w:r>
    </w:p>
    <w:p>
      <w:pPr>
        <w:numPr>
          <w:ilvl w:val="0"/>
          <w:numId w:val="2"/>
        </w:numPr>
      </w:pPr>
      <w:r>
        <w:t xml:space="preserve">A decimal numbered line</w:t>
      </w:r>
    </w:p>
    <w:p>
      <w:r>
        <w:t xml:space="preserve">A paragraph with no pPr at all</w:t>
      </w:r>
    </w:p>
    <w:p>
      <w:r>
        <w:rPr>
          <w:sz w:val="28"/>
        </w:rPr>
        <w:t xml:space="preserve">A large-font line that is not a heading</w:t>
      </w:r>
    </w:p>
    <w:p>
      <w:r>
        <w:rPr>
          <w:sz w:val="22"/>
        </w:rPr>
        <w:t xml:space="preserve">An ordinary-font line</w:t>
      </w:r>
    </w:p>
    <w:p>
      <w:pPr>
        <w:pStyle w:val="Heading1"/>
        <w:numPr>
          <w:ilvl w:val="0"/>
          <w:numId w:val="2"/>
        </w:numPr>
      </w:pPr>
      <w:r>
        <w:t xml:space="preserve">Heading and numbered at once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</w:abstractNum>
  <w:abstractNum w:abstractNumId="1">
    <w:lvl w:ilvl="0">
      <w:numFmt w:val="decimal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BoldBody">
    <w:name w:val="Bold Body"/>
    <w:rPr>
      <w:b/>
    </w:rPr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