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spacing w:before="400" w:after="600"/>
        <w:jc w:val="center"/>
      </w:pPr>
      <w:r>
        <w:rPr>
          <w:rFonts w:ascii="Times New Roman" w:hAnsi="Times New Roman"/>
          <w:b/>
          <w:sz w:val="32"/>
        </w:rPr>
        <w:t>TITLE OF THE PROJECT</w:t>
        <w:br/>
      </w:r>
      <w:r>
        <w:rPr>
          <w:rFonts w:ascii="Arial" w:hAnsi="Arial"/>
          <w:b/>
          <w:color w:val="1E3A8A"/>
          <w:sz w:val="40"/>
        </w:rPr>
        <w:t>BuildSphere AI</w:t>
        <w:br/>
        <w:t>Enterprise Construction Management &amp; Financial Control System</w:t>
        <w:br/>
        <w:br/>
        <w:br/>
      </w:r>
    </w:p>
    <w:p>
      <w:pPr>
        <w:spacing w:after="500"/>
        <w:jc w:val="center"/>
      </w:pPr>
      <w:r>
        <w:rPr>
          <w:b/>
          <w:sz w:val="22"/>
        </w:rPr>
        <w:t>Submitted by:</w:t>
        <w:br/>
      </w:r>
      <w:r>
        <w:rPr>
          <w:b/>
          <w:color w:val="0F172A"/>
          <w:sz w:val="24"/>
        </w:rPr>
        <w:t>Student's Full Name (STUDENTID)</w:t>
        <w:br/>
      </w:r>
    </w:p>
    <w:p>
      <w:pPr>
        <w:spacing w:after="700"/>
        <w:jc w:val="center"/>
      </w:pPr>
      <w:r>
        <w:rPr>
          <w:b/>
          <w:sz w:val="22"/>
        </w:rPr>
        <w:t>Under Guidance of:</w:t>
        <w:br/>
      </w:r>
      <w:r>
        <w:rPr>
          <w:sz w:val="22"/>
        </w:rPr>
        <w:t>Internal Guide: Name of Guide</w:t>
        <w:br/>
        <w:t>Department of Computer Applications</w:t>
        <w:br/>
      </w:r>
    </w:p>
    <w:p>
      <w:pPr>
        <w:spacing w:before="1000" w:after="160"/>
        <w:jc w:val="center"/>
      </w:pPr>
      <w:r>
        <w:rPr>
          <w:b/>
          <w:sz w:val="22"/>
        </w:rPr>
        <w:t>Submitted to:</w:t>
        <w:br/>
      </w:r>
      <w:r>
        <w:rPr>
          <w:b/>
          <w:color w:val="1E3A8A"/>
          <w:sz w:val="23"/>
        </w:rPr>
        <w:t>Smt. Chandaben Mohanbhai Patel Institute of Computer Applications (CMPICA)</w:t>
        <w:br/>
        <w:t>CHAROTAR UNIVERSITY OF SCIENCE AND TECHNOLOGY (CHARUSAT)</w:t>
        <w:br/>
        <w:t>Changa – 388421, Gujarat</w:t>
        <w:br/>
      </w:r>
      <w:r>
        <w:rPr>
          <w:i/>
          <w:sz w:val="19"/>
        </w:rPr>
        <w:t>Academic Year: 2026 – 2026</w:t>
        <w:br/>
        <w:t>(Accredited with Grade A+ by NAAC)</w:t>
      </w:r>
    </w:p>
    <w:p>
      <w:r>
        <w:br w:type="page"/>
      </w:r>
    </w:p>
    <w:p>
      <w:pPr>
        <w:spacing w:before="300" w:after="400"/>
        <w:jc w:val="center"/>
      </w:pPr>
      <w:r>
        <w:rPr>
          <w:rFonts w:ascii="Arial" w:hAnsi="Arial"/>
          <w:b/>
          <w:color w:val="0F172A"/>
          <w:sz w:val="30"/>
        </w:rPr>
        <w:t>Acknowledgement</w:t>
      </w:r>
    </w:p>
    <w:p>
      <w:pPr>
        <w:spacing w:after="120" w:line="276" w:lineRule="auto"/>
      </w:pPr>
      <w:r>
        <w:rPr>
          <w:rFonts w:ascii="Arial" w:hAnsi="Arial"/>
          <w:i w:val="0"/>
          <w:color w:val="334155"/>
          <w:sz w:val="20"/>
        </w:rPr>
        <w:t>Knowledge in itself is a continuous process. At this moment of our substantial enhancement, We rarely find words to express our gratitude towards those who were constantly involved with us.</w:t>
      </w:r>
    </w:p>
    <w:p>
      <w:pPr>
        <w:spacing w:after="120" w:line="276" w:lineRule="auto"/>
      </w:pPr>
      <w:r>
        <w:rPr>
          <w:rFonts w:ascii="Arial" w:hAnsi="Arial"/>
          <w:i w:val="0"/>
          <w:color w:val="334155"/>
          <w:sz w:val="20"/>
        </w:rPr>
        <w:t>The completion of any inter disciplinary project depends upon coordination, cooperation and combined efforts of several resources of knowledge, creativity, skill, energy and time. The work being accomplished now, we feel our sincerest urge to recall and knowledge through these lines, trying our best to give full credit wherever it deserves.</w:t>
      </w:r>
    </w:p>
    <w:p>
      <w:pPr>
        <w:spacing w:after="120" w:line="276" w:lineRule="auto"/>
      </w:pPr>
      <w:r>
        <w:rPr>
          <w:rFonts w:ascii="Arial" w:hAnsi="Arial"/>
          <w:i w:val="0"/>
          <w:color w:val="334155"/>
          <w:sz w:val="20"/>
        </w:rPr>
        <w:t>We would like to thank our project guide Mr./Ms./Dr. ___________, Principal Dr. Dharmendra Patel and Dean Dr. Sanskruti Patel who advised and gave us moral support through the duration of our project. Without their constant encouragement we could not have been able to achieve what we have.</w:t>
      </w:r>
    </w:p>
    <w:p>
      <w:pPr>
        <w:spacing w:after="120" w:line="276" w:lineRule="auto"/>
      </w:pPr>
      <w:r>
        <w:rPr>
          <w:rFonts w:ascii="Arial" w:hAnsi="Arial"/>
          <w:i w:val="0"/>
          <w:color w:val="334155"/>
          <w:sz w:val="20"/>
        </w:rPr>
        <w:t>It’s our good fortune that we had support and well wishes of many. We are thankful to all and those names which have been forgotten to acknowledge here but contributions have not gone unnoticed.</w:t>
      </w:r>
    </w:p>
    <w:p>
      <w:pPr>
        <w:spacing w:before="1000"/>
        <w:jc w:val="right"/>
      </w:pPr>
      <w:r>
        <w:rPr>
          <w:b/>
        </w:rPr>
        <w:t>With Sincere Regards,</w:t>
        <w:br/>
        <w:br/>
      </w:r>
      <w:r>
        <w:rPr>
          <w:b/>
          <w:color w:val="C00000"/>
        </w:rPr>
        <w:t>Name (Roll No)</w:t>
        <w:br/>
      </w:r>
      <w:r>
        <w:rPr>
          <w:b/>
          <w:color w:val="C00000"/>
        </w:rPr>
        <w:t>Name (Roll No)</w:t>
        <w:br/>
      </w:r>
    </w:p>
    <w:p>
      <w:r>
        <w:br w:type="page"/>
      </w:r>
    </w:p>
    <w:p>
      <w:pPr>
        <w:spacing w:before="200" w:after="320"/>
        <w:jc w:val="center"/>
      </w:pPr>
      <w:r>
        <w:rPr>
          <w:rFonts w:ascii="Arial" w:hAnsi="Arial"/>
          <w:b/>
          <w:sz w:val="32"/>
        </w:rPr>
        <w:t>Table of Contents</w:t>
      </w:r>
    </w:p>
    <w:tbl>
      <w:tblPr>
        <w:tblW w:type="auto" w:w="0"/>
        <w:jc w:val="center"/>
        <w:tblLook w:firstColumn="1" w:firstRow="1" w:lastColumn="0" w:lastRow="0" w:noHBand="0" w:noVBand="1" w:val="04A0"/>
      </w:tblPr>
      <w:tblGrid>
        <w:gridCol w:w="3264"/>
        <w:gridCol w:w="3264"/>
        <w:gridCol w:w="3264"/>
      </w:tblGrid>
      <w:tr>
        <w:trPr>
          <w:cantSplit/>
          <w:tblHeader/>
        </w:trPr>
        <w:tc>
          <w:tcPr>
            <w:tcW w:type="dxa" w:w="3264"/>
            <w:vAlign w:val="center"/>
            <w:tcMar>
              <w:top w:w="100" w:type="dxa"/>
              <w:bottom w:w="100" w:type="dxa"/>
              <w:left w:w="130" w:type="dxa"/>
              <w:right w:w="130" w:type="dxa"/>
            </w:tcMar>
            <w:shd w:fill="1E3A8A"/>
          </w:tcPr>
          <w:p>
            <w:pPr>
              <w:spacing w:after="40" w:before="40"/>
            </w:pPr>
            <w:r>
              <w:rPr>
                <w:rFonts w:ascii="Arial" w:hAnsi="Arial"/>
                <w:b/>
                <w:color w:val="FFFFFF"/>
                <w:sz w:val="19"/>
              </w:rPr>
              <w:t>Sr. No</w:t>
            </w:r>
          </w:p>
        </w:tc>
        <w:tc>
          <w:tcPr>
            <w:tcW w:type="dxa" w:w="3264"/>
            <w:vAlign w:val="center"/>
            <w:tcMar>
              <w:top w:w="100" w:type="dxa"/>
              <w:bottom w:w="100" w:type="dxa"/>
              <w:left w:w="130" w:type="dxa"/>
              <w:right w:w="130" w:type="dxa"/>
            </w:tcMar>
            <w:shd w:fill="1E3A8A"/>
          </w:tcPr>
          <w:p>
            <w:pPr>
              <w:spacing w:after="40" w:before="40"/>
            </w:pPr>
            <w:r>
              <w:rPr>
                <w:rFonts w:ascii="Arial" w:hAnsi="Arial"/>
                <w:b/>
                <w:color w:val="FFFFFF"/>
                <w:sz w:val="19"/>
              </w:rPr>
              <w:t>Subject</w:t>
            </w:r>
          </w:p>
        </w:tc>
        <w:tc>
          <w:tcPr>
            <w:tcW w:type="dxa" w:w="3264"/>
            <w:vAlign w:val="center"/>
            <w:tcMar>
              <w:top w:w="100" w:type="dxa"/>
              <w:bottom w:w="100" w:type="dxa"/>
              <w:left w:w="130" w:type="dxa"/>
              <w:right w:w="130" w:type="dxa"/>
            </w:tcMar>
            <w:shd w:fill="1E3A8A"/>
          </w:tcPr>
          <w:p>
            <w:pPr>
              <w:spacing w:after="40" w:before="40"/>
            </w:pPr>
            <w:r>
              <w:rPr>
                <w:rFonts w:ascii="Arial" w:hAnsi="Arial"/>
                <w:b/>
                <w:color w:val="FFFFFF"/>
                <w:sz w:val="19"/>
              </w:rPr>
              <w:t>Page Number</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1</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Project Profile &amp; Company Profile</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4</w:t>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2</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Introduction to tools</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6</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3</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System Study</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9</w:t>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1. Existing System</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9</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2. Proposed System</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10</w:t>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3. Scope of the Proposed System</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11</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4. Aim and Objective of the Proposed System</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12</w:t>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5. Feasibility Study</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12</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 xml:space="preserve">   Operational Feasibility</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13</w:t>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 xml:space="preserve">   Technical Feasibility</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13</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 xml:space="preserve">   Economical Feasibility</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14</w:t>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4</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System Analysis</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15</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Requirements Specification (along with System Modules)</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15</w:t>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Use Case Diagram</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19</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Activity Diagram</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21</w:t>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Class Diagram</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23</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OR</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System FlowChart</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25</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Functional Decomposition Diagram</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27</w:t>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DFD</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29</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 Context Level DFD</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29</w:t>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 First Level, Second Level ….</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30</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5</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System Design</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32</w:t>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Entity-Relationship (ER) Diagram</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32</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Data Dictionary</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34</w:t>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Screen Layouts</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43</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Reports</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46</w:t>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6</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System Testing</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48</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Testing Strategies</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48</w:t>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Test Cases (186 Automated Scenarios)</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50</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7</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Future Enhancement</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57</w:t>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8</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Bibliography/References</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59</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9</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Reporting Report (to be collected from respective internal guide)</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60</w:t>
            </w:r>
          </w:p>
        </w:tc>
      </w:tr>
    </w:tbl>
    <w:p>
      <w:r>
        <w:br w:type="page"/>
      </w:r>
    </w:p>
    <w:p>
      <w:pPr>
        <w:spacing w:before="4400"/>
      </w:pPr>
    </w:p>
    <w:p>
      <w:pPr>
        <w:spacing w:after="4000"/>
        <w:jc w:val="center"/>
      </w:pPr>
      <w:r>
        <w:rPr>
          <w:rFonts w:ascii="Times New Roman" w:hAnsi="Times New Roman"/>
          <w:b/>
          <w:color w:val="0F172A"/>
          <w:sz w:val="64"/>
        </w:rPr>
        <w:t>PROJECT PROFILE</w:t>
      </w:r>
    </w:p>
    <w:p>
      <w:r>
        <w:br w:type="page"/>
      </w:r>
    </w:p>
    <w:p>
      <w:pPr>
        <w:keepNext/>
        <w:spacing w:before="280" w:after="160"/>
      </w:pPr>
      <w:r>
        <w:rPr>
          <w:rFonts w:ascii="Arial" w:hAnsi="Arial"/>
          <w:b/>
          <w:color w:val="0F172A"/>
          <w:sz w:val="28"/>
        </w:rPr>
        <w:t xml:space="preserve">❖ </w:t>
      </w:r>
      <w:r>
        <w:rPr>
          <w:rFonts w:ascii="Arial" w:hAnsi="Arial"/>
          <w:b/>
          <w:color w:val="0F172A"/>
          <w:sz w:val="28"/>
          <w:u w:val="single"/>
        </w:rPr>
        <w:t>Project Profile</w:t>
      </w:r>
    </w:p>
    <w:p>
      <w:pPr>
        <w:spacing w:after="100" w:line="276" w:lineRule="auto"/>
      </w:pPr>
      <w:r>
        <w:rPr>
          <w:rFonts w:ascii="Arial" w:hAnsi="Arial"/>
          <w:b/>
          <w:color w:val="0F172A"/>
          <w:sz w:val="21"/>
        </w:rPr>
        <w:t xml:space="preserve">Project Name: </w:t>
      </w:r>
      <w:r>
        <w:rPr>
          <w:rFonts w:ascii="Arial" w:hAnsi="Arial"/>
          <w:color w:val="334155"/>
          <w:sz w:val="20"/>
        </w:rPr>
        <w:t>BuildSphere AI (Enterprise Construction Management &amp; Financial Control System)</w:t>
      </w:r>
    </w:p>
    <w:p>
      <w:pPr>
        <w:spacing w:after="100" w:line="276" w:lineRule="auto"/>
      </w:pPr>
      <w:r>
        <w:rPr>
          <w:rFonts w:ascii="Arial" w:hAnsi="Arial"/>
          <w:b/>
          <w:color w:val="0F172A"/>
          <w:sz w:val="21"/>
        </w:rPr>
        <w:t xml:space="preserve">Type of Application: </w:t>
      </w:r>
      <w:r>
        <w:rPr>
          <w:rFonts w:ascii="Arial" w:hAnsi="Arial"/>
          <w:color w:val="334155"/>
          <w:sz w:val="20"/>
        </w:rPr>
        <w:t>Multi-Tenant Cloud SaaS Web Application (RESTful Architecture + SPA)</w:t>
      </w:r>
    </w:p>
    <w:p>
      <w:pPr>
        <w:spacing w:after="100" w:line="276" w:lineRule="auto"/>
      </w:pPr>
      <w:r>
        <w:rPr>
          <w:rFonts w:ascii="Arial" w:hAnsi="Arial"/>
          <w:b/>
          <w:color w:val="0F172A"/>
          <w:sz w:val="21"/>
        </w:rPr>
        <w:t xml:space="preserve">Project Description: </w:t>
      </w:r>
      <w:r>
        <w:rPr>
          <w:rFonts w:ascii="Arial" w:hAnsi="Arial"/>
          <w:color w:val="334155"/>
          <w:sz w:val="20"/>
        </w:rPr>
        <w:t>An end-to-end enterprise platform engineered to eliminate ghost worker muster fraud, enforce GPS geo-fenced site muster, capture real-time Daily Progress Reports (DPR), streamline vendor accounts payable, execute weekly payroll with automated FIFO advance deductions, and maintain an immutable double-entry general ledger with real-time trial balance.</w:t>
      </w:r>
    </w:p>
    <w:p>
      <w:pPr>
        <w:spacing w:after="100" w:line="276" w:lineRule="auto"/>
      </w:pPr>
      <w:r>
        <w:rPr>
          <w:rFonts w:ascii="Arial" w:hAnsi="Arial"/>
          <w:b/>
          <w:color w:val="0F172A"/>
          <w:sz w:val="21"/>
        </w:rPr>
        <w:t xml:space="preserve">Team Size: </w:t>
      </w:r>
      <w:r>
        <w:rPr>
          <w:rFonts w:ascii="Arial" w:hAnsi="Arial"/>
          <w:color w:val="334155"/>
          <w:sz w:val="20"/>
        </w:rPr>
        <w:t>Individual Master's Capstone Project (1 Developer)</w:t>
      </w:r>
    </w:p>
    <w:p>
      <w:pPr>
        <w:spacing w:after="100" w:line="276" w:lineRule="auto"/>
      </w:pPr>
      <w:r>
        <w:rPr>
          <w:rFonts w:ascii="Arial" w:hAnsi="Arial"/>
          <w:b/>
          <w:color w:val="0F172A"/>
          <w:sz w:val="21"/>
        </w:rPr>
        <w:t xml:space="preserve">Front End: </w:t>
      </w:r>
      <w:r>
        <w:rPr>
          <w:rFonts w:ascii="Arial" w:hAnsi="Arial"/>
          <w:color w:val="334155"/>
          <w:sz w:val="20"/>
        </w:rPr>
        <w:t>React 18.2, Vite 8.3, Vanilla CSS Design System Tokens, TailwindCSS, Lucide Icons, Zustand</w:t>
      </w:r>
    </w:p>
    <w:p>
      <w:pPr>
        <w:spacing w:after="100" w:line="276" w:lineRule="auto"/>
      </w:pPr>
      <w:r>
        <w:rPr>
          <w:rFonts w:ascii="Arial" w:hAnsi="Arial"/>
          <w:b/>
          <w:color w:val="0F172A"/>
          <w:sz w:val="21"/>
        </w:rPr>
        <w:t xml:space="preserve">Back End: </w:t>
      </w:r>
      <w:r>
        <w:rPr>
          <w:rFonts w:ascii="Arial" w:hAnsi="Arial"/>
          <w:color w:val="334155"/>
          <w:sz w:val="20"/>
        </w:rPr>
        <w:t>Python 3.12, Django 5.x, Django REST Framework (DRF), SimpleJWT, Celery, Redis</w:t>
      </w:r>
    </w:p>
    <w:p>
      <w:pPr>
        <w:spacing w:after="100" w:line="276" w:lineRule="auto"/>
      </w:pPr>
      <w:r>
        <w:rPr>
          <w:rFonts w:ascii="Arial" w:hAnsi="Arial"/>
          <w:b/>
          <w:color w:val="0F172A"/>
          <w:sz w:val="21"/>
        </w:rPr>
        <w:t xml:space="preserve">Tools used: </w:t>
      </w:r>
      <w:r>
        <w:rPr>
          <w:rFonts w:ascii="Arial" w:hAnsi="Arial"/>
          <w:color w:val="334155"/>
          <w:sz w:val="20"/>
        </w:rPr>
        <w:t>PostgreSQL 15, PostGIS, ReportLab 4.x PDF Engine, Pytest, Docker Compose, Git</w:t>
      </w:r>
    </w:p>
    <w:p>
      <w:pPr>
        <w:keepNext/>
        <w:spacing w:before="280" w:after="160"/>
      </w:pPr>
      <w:r>
        <w:rPr>
          <w:rFonts w:ascii="Arial" w:hAnsi="Arial"/>
          <w:b/>
          <w:color w:val="0F172A"/>
          <w:sz w:val="28"/>
        </w:rPr>
        <w:t xml:space="preserve">❖ </w:t>
      </w:r>
      <w:r>
        <w:rPr>
          <w:rFonts w:ascii="Arial" w:hAnsi="Arial"/>
          <w:b/>
          <w:color w:val="0F172A"/>
          <w:sz w:val="28"/>
          <w:u w:val="single"/>
        </w:rPr>
        <w:t>Company Profile &amp; Industry Context</w:t>
      </w:r>
    </w:p>
    <w:p>
      <w:pPr>
        <w:spacing w:after="120" w:line="276" w:lineRule="auto"/>
      </w:pPr>
      <w:r>
        <w:rPr>
          <w:rFonts w:ascii="Arial" w:hAnsi="Arial"/>
          <w:i w:val="0"/>
          <w:color w:val="334155"/>
          <w:sz w:val="20"/>
        </w:rPr>
        <w:t>The construction sector in India represents over 8% of national GDP, employing over 50 million skilled karigars and unorganized laborers. However, mid-to-large civil contractors face four structural inefficiencies:</w:t>
      </w:r>
    </w:p>
    <w:p>
      <w:pPr>
        <w:pStyle w:val="ListBullet"/>
        <w:spacing w:after="80" w:line="276" w:lineRule="auto"/>
      </w:pPr>
      <w:r>
        <w:rPr>
          <w:rFonts w:ascii="Arial" w:hAnsi="Arial"/>
          <w:b/>
          <w:color w:val="0F172A"/>
          <w:sz w:val="20"/>
        </w:rPr>
        <w:t xml:space="preserve">1. Muster Fraud &amp; Inflation: </w:t>
      </w:r>
      <w:r>
        <w:rPr>
          <w:rFonts w:ascii="Arial" w:hAnsi="Arial"/>
          <w:color w:val="334155"/>
          <w:sz w:val="20"/>
        </w:rPr>
        <w:t>Daily muster is traditionally marked in paper diaries. Supervisors frequently inflate muster rolls with ghost entries, causing 12–18% payroll leakage.</w:t>
      </w:r>
    </w:p>
    <w:p>
      <w:pPr>
        <w:pStyle w:val="ListBullet"/>
        <w:spacing w:after="80" w:line="276" w:lineRule="auto"/>
      </w:pPr>
      <w:r>
        <w:rPr>
          <w:rFonts w:ascii="Arial" w:hAnsi="Arial"/>
          <w:b/>
          <w:color w:val="0F172A"/>
          <w:sz w:val="20"/>
        </w:rPr>
        <w:t xml:space="preserve">2. Lost Advance Recoveries: </w:t>
      </w:r>
      <w:r>
        <w:rPr>
          <w:rFonts w:ascii="Arial" w:hAnsi="Arial"/>
          <w:color w:val="334155"/>
          <w:sz w:val="20"/>
        </w:rPr>
        <w:t>Laborers demand mid-week cash advances (Upad). Due to loose slips, contractors routinely fail to deduct advances during wage payouts.</w:t>
      </w:r>
    </w:p>
    <w:p>
      <w:pPr>
        <w:pStyle w:val="ListBullet"/>
        <w:spacing w:after="80" w:line="276" w:lineRule="auto"/>
      </w:pPr>
      <w:r>
        <w:rPr>
          <w:rFonts w:ascii="Arial" w:hAnsi="Arial"/>
          <w:b/>
          <w:color w:val="0F172A"/>
          <w:sz w:val="20"/>
        </w:rPr>
        <w:t xml:space="preserve">3. Informal Progress Tracking: </w:t>
      </w:r>
      <w:r>
        <w:rPr>
          <w:rFonts w:ascii="Arial" w:hAnsi="Arial"/>
          <w:color w:val="334155"/>
          <w:sz w:val="20"/>
        </w:rPr>
        <w:t>Job-site progress is communicated informally on WhatsApp without quantifiable task milestone percentages or material consumption audits.</w:t>
      </w:r>
    </w:p>
    <w:p>
      <w:pPr>
        <w:pStyle w:val="ListBullet"/>
        <w:spacing w:after="80" w:line="276" w:lineRule="auto"/>
      </w:pPr>
      <w:r>
        <w:rPr>
          <w:rFonts w:ascii="Arial" w:hAnsi="Arial"/>
          <w:b/>
          <w:color w:val="0F172A"/>
          <w:sz w:val="20"/>
        </w:rPr>
        <w:t xml:space="preserve">4. Unreconciled Vendor Liabilities: </w:t>
      </w:r>
      <w:r>
        <w:rPr>
          <w:rFonts w:ascii="Arial" w:hAnsi="Arial"/>
          <w:color w:val="334155"/>
          <w:sz w:val="20"/>
        </w:rPr>
        <w:t>Material credit purchases from brick, cement, and steel suppliers remain unrecorded for weeks, leading to disputed supplier statements.</w:t>
      </w:r>
    </w:p>
    <w:p>
      <w:pPr>
        <w:spacing w:after="120" w:line="276" w:lineRule="auto"/>
      </w:pPr>
      <w:r>
        <w:rPr>
          <w:rFonts w:ascii="Arial" w:hAnsi="Arial"/>
          <w:i w:val="0"/>
          <w:color w:val="334155"/>
          <w:sz w:val="20"/>
        </w:rPr>
        <w:t>BuildSphere AI resolves these challenges through unified GPS geo-fenced mobile muster, automated FIFO advance deductions, digital DPR verifications, and real-time double-entry general ledger postings.</w:t>
      </w:r>
    </w:p>
    <w:p>
      <w:r>
        <w:br w:type="page"/>
      </w:r>
    </w:p>
    <w:p>
      <w:pPr>
        <w:spacing w:before="4400"/>
      </w:pPr>
    </w:p>
    <w:p>
      <w:pPr>
        <w:spacing w:after="4000"/>
        <w:jc w:val="center"/>
      </w:pPr>
      <w:r>
        <w:rPr>
          <w:rFonts w:ascii="Times New Roman" w:hAnsi="Times New Roman"/>
          <w:b/>
          <w:color w:val="0F172A"/>
          <w:sz w:val="64"/>
        </w:rPr>
        <w:t>INTRODUCTION TO TOOLS</w:t>
      </w:r>
    </w:p>
    <w:p>
      <w:r>
        <w:br w:type="page"/>
      </w:r>
    </w:p>
    <w:p>
      <w:pPr>
        <w:keepNext/>
        <w:spacing w:before="280" w:after="160"/>
      </w:pPr>
      <w:r>
        <w:rPr>
          <w:rFonts w:ascii="Arial" w:hAnsi="Arial"/>
          <w:b/>
          <w:color w:val="0F172A"/>
          <w:sz w:val="28"/>
        </w:rPr>
        <w:t xml:space="preserve">❖ </w:t>
      </w:r>
      <w:r>
        <w:rPr>
          <w:rFonts w:ascii="Arial" w:hAnsi="Arial"/>
          <w:b/>
          <w:color w:val="0F172A"/>
          <w:sz w:val="28"/>
          <w:u w:val="single"/>
        </w:rPr>
        <w:t>Introduction to Tools</w:t>
      </w:r>
    </w:p>
    <w:p>
      <w:pPr>
        <w:keepNext/>
        <w:spacing w:before="240" w:after="120"/>
      </w:pPr>
      <w:r>
        <w:rPr>
          <w:rFonts w:ascii="Arial" w:hAnsi="Arial"/>
          <w:b/>
          <w:color w:val="0F172A"/>
          <w:sz w:val="24"/>
        </w:rPr>
        <w:t xml:space="preserve">  ➢ </w:t>
      </w:r>
      <w:r>
        <w:rPr>
          <w:rFonts w:ascii="Arial" w:hAnsi="Arial"/>
          <w:b/>
          <w:color w:val="0F172A"/>
          <w:sz w:val="24"/>
        </w:rPr>
        <w:t>Front End Tool:</w:t>
      </w:r>
    </w:p>
    <w:p>
      <w:pPr>
        <w:pStyle w:val="ListBullet"/>
        <w:spacing w:after="80" w:line="276" w:lineRule="auto"/>
      </w:pPr>
      <w:r>
        <w:rPr>
          <w:rFonts w:ascii="Arial" w:hAnsi="Arial"/>
          <w:b/>
          <w:color w:val="0F172A"/>
          <w:sz w:val="20"/>
        </w:rPr>
        <w:t xml:space="preserve">React 18 — </w:t>
      </w:r>
      <w:r>
        <w:rPr>
          <w:rFonts w:ascii="Arial" w:hAnsi="Arial"/>
          <w:color w:val="334155"/>
          <w:sz w:val="20"/>
        </w:rPr>
        <w:t>Declarative, component-based library utilized for building a high-speed Single Page Application (SPA). React 18's concurrent rendering, hooks architecture, and Virtual DOM reconciliation ensure real-time responsiveness across complex construction data grids.</w:t>
      </w:r>
    </w:p>
    <w:p>
      <w:pPr>
        <w:pStyle w:val="ListBullet"/>
        <w:spacing w:after="80" w:line="276" w:lineRule="auto"/>
      </w:pPr>
      <w:r>
        <w:rPr>
          <w:rFonts w:ascii="Arial" w:hAnsi="Arial"/>
          <w:b/>
          <w:color w:val="0F172A"/>
          <w:sz w:val="20"/>
        </w:rPr>
        <w:t xml:space="preserve">Vite 8 — </w:t>
      </w:r>
      <w:r>
        <w:rPr>
          <w:rFonts w:ascii="Arial" w:hAnsi="Arial"/>
          <w:color w:val="334155"/>
          <w:sz w:val="20"/>
        </w:rPr>
        <w:t>Next-generation front-end build tool offering instant Hot Module Replacement (HMR) and optimized Rollup production compilation (build completed in 186ms).</w:t>
      </w:r>
    </w:p>
    <w:p>
      <w:pPr>
        <w:pStyle w:val="ListBullet"/>
        <w:spacing w:after="80" w:line="276" w:lineRule="auto"/>
      </w:pPr>
      <w:r>
        <w:rPr>
          <w:rFonts w:ascii="Arial" w:hAnsi="Arial"/>
          <w:b/>
          <w:color w:val="0F172A"/>
          <w:sz w:val="20"/>
        </w:rPr>
        <w:t xml:space="preserve">CSS Design Tokens — </w:t>
      </w:r>
      <w:r>
        <w:rPr>
          <w:rFonts w:ascii="Arial" w:hAnsi="Arial"/>
          <w:color w:val="334155"/>
          <w:sz w:val="20"/>
        </w:rPr>
        <w:t>Custom design tokens (--primary, --accent, --border-default) delivering dark/light theme persistence, glassmorphic card elevations, sticky-header data tables, and smooth cubic-bezier micro-animations.</w:t>
      </w:r>
    </w:p>
    <w:p>
      <w:pPr>
        <w:pStyle w:val="ListBullet"/>
        <w:spacing w:after="80" w:line="276" w:lineRule="auto"/>
      </w:pPr>
      <w:r>
        <w:rPr>
          <w:rFonts w:ascii="Arial" w:hAnsi="Arial"/>
          <w:b/>
          <w:color w:val="0F172A"/>
          <w:sz w:val="20"/>
        </w:rPr>
        <w:t xml:space="preserve">Zustand Store — </w:t>
      </w:r>
      <w:r>
        <w:rPr>
          <w:rFonts w:ascii="Arial" w:hAnsi="Arial"/>
          <w:color w:val="334155"/>
          <w:sz w:val="20"/>
        </w:rPr>
        <w:t>Lightweight, boilerplate-free client state store for theme toggling, active project selection, and authentication session context.</w:t>
      </w:r>
    </w:p>
    <w:p>
      <w:pPr>
        <w:pStyle w:val="ListBullet"/>
        <w:spacing w:after="80" w:line="276" w:lineRule="auto"/>
      </w:pPr>
      <w:r>
        <w:rPr>
          <w:rFonts w:ascii="Arial" w:hAnsi="Arial"/>
          <w:b/>
          <w:color w:val="0F172A"/>
          <w:sz w:val="20"/>
        </w:rPr>
        <w:t xml:space="preserve">Lucide React — </w:t>
      </w:r>
      <w:r>
        <w:rPr>
          <w:rFonts w:ascii="Arial" w:hAnsi="Arial"/>
          <w:color w:val="334155"/>
          <w:sz w:val="20"/>
        </w:rPr>
        <w:t>Vector icon library providing over 40 enterprise symbols across navigation and actions.</w:t>
      </w:r>
    </w:p>
    <w:p>
      <w:pPr>
        <w:keepNext/>
        <w:spacing w:before="240" w:after="120"/>
      </w:pPr>
      <w:r>
        <w:rPr>
          <w:rFonts w:ascii="Arial" w:hAnsi="Arial"/>
          <w:b/>
          <w:color w:val="0F172A"/>
          <w:sz w:val="24"/>
        </w:rPr>
        <w:t xml:space="preserve">  ➢ </w:t>
      </w:r>
      <w:r>
        <w:rPr>
          <w:rFonts w:ascii="Arial" w:hAnsi="Arial"/>
          <w:b/>
          <w:color w:val="0F172A"/>
          <w:sz w:val="24"/>
        </w:rPr>
        <w:t>Back End Tool:</w:t>
      </w:r>
    </w:p>
    <w:p>
      <w:pPr>
        <w:pStyle w:val="ListBullet"/>
        <w:spacing w:after="80" w:line="276" w:lineRule="auto"/>
      </w:pPr>
      <w:r>
        <w:rPr>
          <w:rFonts w:ascii="Arial" w:hAnsi="Arial"/>
          <w:b/>
          <w:color w:val="0F172A"/>
          <w:sz w:val="20"/>
        </w:rPr>
        <w:t xml:space="preserve">Python 3.12 &amp; Django 5.x — </w:t>
      </w:r>
      <w:r>
        <w:rPr>
          <w:rFonts w:ascii="Arial" w:hAnsi="Arial"/>
          <w:color w:val="334155"/>
          <w:sz w:val="20"/>
        </w:rPr>
        <w:t>High-level Python web framework enforcing Model-View-Template (MVT) architecture, connection pooling, and multi-tenancy isolation.</w:t>
      </w:r>
    </w:p>
    <w:p>
      <w:pPr>
        <w:pStyle w:val="ListBullet"/>
        <w:spacing w:after="80" w:line="276" w:lineRule="auto"/>
      </w:pPr>
      <w:r>
        <w:rPr>
          <w:rFonts w:ascii="Arial" w:hAnsi="Arial"/>
          <w:b/>
          <w:color w:val="0F172A"/>
          <w:sz w:val="20"/>
        </w:rPr>
        <w:t xml:space="preserve">Django REST Framework (DRF) — </w:t>
      </w:r>
      <w:r>
        <w:rPr>
          <w:rFonts w:ascii="Arial" w:hAnsi="Arial"/>
          <w:color w:val="334155"/>
          <w:sz w:val="20"/>
        </w:rPr>
        <w:t>Toolkit for building clean RESTful APIs, handling serializer validation, ModelViewSet routing, and custom permissions (IsTenantUser, roles_required).</w:t>
      </w:r>
    </w:p>
    <w:p>
      <w:pPr>
        <w:pStyle w:val="ListBullet"/>
        <w:spacing w:after="80" w:line="276" w:lineRule="auto"/>
      </w:pPr>
      <w:r>
        <w:rPr>
          <w:rFonts w:ascii="Arial" w:hAnsi="Arial"/>
          <w:b/>
          <w:color w:val="0F172A"/>
          <w:sz w:val="20"/>
        </w:rPr>
        <w:t xml:space="preserve">SimpleJWT — </w:t>
      </w:r>
      <w:r>
        <w:rPr>
          <w:rFonts w:ascii="Arial" w:hAnsi="Arial"/>
          <w:color w:val="334155"/>
          <w:sz w:val="20"/>
        </w:rPr>
        <w:t>Stateless JSON Web Tokens with 15-minute access tokens and secure HttpOnly refresh cookies for session protection.</w:t>
      </w:r>
    </w:p>
    <w:p>
      <w:pPr>
        <w:pStyle w:val="ListBullet"/>
        <w:spacing w:after="80" w:line="276" w:lineRule="auto"/>
      </w:pPr>
      <w:r>
        <w:rPr>
          <w:rFonts w:ascii="Arial" w:hAnsi="Arial"/>
          <w:b/>
          <w:color w:val="0F172A"/>
          <w:sz w:val="20"/>
        </w:rPr>
        <w:t xml:space="preserve">PostgreSQL 15 — </w:t>
      </w:r>
      <w:r>
        <w:rPr>
          <w:rFonts w:ascii="Arial" w:hAnsi="Arial"/>
          <w:color w:val="334155"/>
          <w:sz w:val="20"/>
        </w:rPr>
        <w:t>Industrial object-relational database management system with ACID guarantees, multi-tenant foreign key constraints, and connection pooling.</w:t>
      </w:r>
    </w:p>
    <w:p>
      <w:pPr>
        <w:pStyle w:val="ListBullet"/>
        <w:spacing w:after="80" w:line="276" w:lineRule="auto"/>
      </w:pPr>
      <w:r>
        <w:rPr>
          <w:rFonts w:ascii="Arial" w:hAnsi="Arial"/>
          <w:b/>
          <w:color w:val="0F172A"/>
          <w:sz w:val="20"/>
        </w:rPr>
        <w:t xml:space="preserve">ReportLab 4.x PDF Engine — </w:t>
      </w:r>
      <w:r>
        <w:rPr>
          <w:rFonts w:ascii="Arial" w:hAnsi="Arial"/>
          <w:color w:val="334155"/>
          <w:sz w:val="20"/>
        </w:rPr>
        <w:t>Programmatic document compiler generating printable payslips with corporate letterhead, monthly wage registers, and financial statements.</w:t>
      </w:r>
    </w:p>
    <w:p>
      <w:r>
        <w:br w:type="page"/>
      </w:r>
    </w:p>
    <w:p>
      <w:pPr>
        <w:spacing w:before="4400"/>
      </w:pPr>
    </w:p>
    <w:p>
      <w:pPr>
        <w:spacing w:after="4000"/>
        <w:jc w:val="center"/>
      </w:pPr>
      <w:r>
        <w:rPr>
          <w:rFonts w:ascii="Times New Roman" w:hAnsi="Times New Roman"/>
          <w:b/>
          <w:color w:val="0F172A"/>
          <w:sz w:val="64"/>
        </w:rPr>
        <w:t>SYSTEM STUDY</w:t>
      </w:r>
    </w:p>
    <w:p>
      <w:r>
        <w:br w:type="page"/>
      </w:r>
    </w:p>
    <w:p>
      <w:pPr>
        <w:keepNext/>
        <w:spacing w:before="280" w:after="160"/>
      </w:pPr>
      <w:r>
        <w:rPr>
          <w:rFonts w:ascii="Arial" w:hAnsi="Arial"/>
          <w:b/>
          <w:color w:val="0F172A"/>
          <w:sz w:val="28"/>
        </w:rPr>
        <w:t xml:space="preserve">❖ </w:t>
      </w:r>
      <w:r>
        <w:rPr>
          <w:rFonts w:ascii="Arial" w:hAnsi="Arial"/>
          <w:b/>
          <w:color w:val="0F172A"/>
          <w:sz w:val="28"/>
          <w:u w:val="single"/>
        </w:rPr>
        <w:t>System Study</w:t>
      </w:r>
    </w:p>
    <w:p>
      <w:pPr>
        <w:keepNext/>
        <w:spacing w:before="240" w:after="120"/>
      </w:pPr>
      <w:r>
        <w:rPr>
          <w:rFonts w:ascii="Arial" w:hAnsi="Arial"/>
          <w:b/>
          <w:color w:val="0F172A"/>
          <w:sz w:val="24"/>
        </w:rPr>
        <w:t xml:space="preserve">  1. </w:t>
      </w:r>
      <w:r>
        <w:rPr>
          <w:rFonts w:ascii="Arial" w:hAnsi="Arial"/>
          <w:b/>
          <w:color w:val="0F172A"/>
          <w:sz w:val="24"/>
        </w:rPr>
        <w:t>Existing System</w:t>
      </w:r>
    </w:p>
    <w:p>
      <w:pPr>
        <w:spacing w:after="120" w:line="276" w:lineRule="auto"/>
      </w:pPr>
      <w:r>
        <w:rPr>
          <w:rFonts w:ascii="Arial" w:hAnsi="Arial"/>
          <w:i w:val="0"/>
          <w:color w:val="334155"/>
          <w:sz w:val="20"/>
        </w:rPr>
        <w:t>The existing construction operational workflow is heavily manual and disconnected:</w:t>
      </w:r>
    </w:p>
    <w:p>
      <w:pPr>
        <w:pStyle w:val="ListBullet"/>
        <w:spacing w:after="80" w:line="276" w:lineRule="auto"/>
      </w:pPr>
      <w:r>
        <w:rPr>
          <w:rFonts w:ascii="Arial" w:hAnsi="Arial"/>
          <w:b/>
          <w:color w:val="0F172A"/>
          <w:sz w:val="20"/>
        </w:rPr>
        <w:t xml:space="preserve">Manual Muster: </w:t>
      </w:r>
      <w:r>
        <w:rPr>
          <w:rFonts w:ascii="Arial" w:hAnsi="Arial"/>
          <w:color w:val="334155"/>
          <w:sz w:val="20"/>
        </w:rPr>
        <w:t>Supervisors manually mark worker presence in notebooks. Ghost workers are routinely entered, pocketing unauthorized cash wages.</w:t>
      </w:r>
    </w:p>
    <w:p>
      <w:pPr>
        <w:pStyle w:val="ListBullet"/>
        <w:spacing w:after="80" w:line="276" w:lineRule="auto"/>
      </w:pPr>
      <w:r>
        <w:rPr>
          <w:rFonts w:ascii="Arial" w:hAnsi="Arial"/>
          <w:b/>
          <w:color w:val="0F172A"/>
          <w:sz w:val="20"/>
        </w:rPr>
        <w:t xml:space="preserve">Unrecovered Advances: </w:t>
      </w:r>
      <w:r>
        <w:rPr>
          <w:rFonts w:ascii="Arial" w:hAnsi="Arial"/>
          <w:color w:val="334155"/>
          <w:sz w:val="20"/>
        </w:rPr>
        <w:t>Emergency cash advances given on-site are tracked on loose paper chits, resulting in massive failure of recovery upon salary day.</w:t>
      </w:r>
    </w:p>
    <w:p>
      <w:pPr>
        <w:pStyle w:val="ListBullet"/>
        <w:spacing w:after="80" w:line="276" w:lineRule="auto"/>
      </w:pPr>
      <w:r>
        <w:rPr>
          <w:rFonts w:ascii="Arial" w:hAnsi="Arial"/>
          <w:b/>
          <w:color w:val="0F172A"/>
          <w:sz w:val="20"/>
        </w:rPr>
        <w:t xml:space="preserve">Unstructured DPR: </w:t>
      </w:r>
      <w:r>
        <w:rPr>
          <w:rFonts w:ascii="Arial" w:hAnsi="Arial"/>
          <w:color w:val="334155"/>
          <w:sz w:val="20"/>
        </w:rPr>
        <w:t>DPRs consist of unstructured chat messages and unverified photos without concrete completion percentages.</w:t>
      </w:r>
    </w:p>
    <w:p>
      <w:pPr>
        <w:pStyle w:val="ListBullet"/>
        <w:spacing w:after="80" w:line="276" w:lineRule="auto"/>
      </w:pPr>
      <w:r>
        <w:rPr>
          <w:rFonts w:ascii="Arial" w:hAnsi="Arial"/>
          <w:b/>
          <w:color w:val="0F172A"/>
          <w:sz w:val="20"/>
        </w:rPr>
        <w:t xml:space="preserve">Delayed Invoicing: </w:t>
      </w:r>
      <w:r>
        <w:rPr>
          <w:rFonts w:ascii="Arial" w:hAnsi="Arial"/>
          <w:color w:val="334155"/>
          <w:sz w:val="20"/>
        </w:rPr>
        <w:t>Material receipts remain in site offices for weeks before reaching head office accountants, causing delayed vendor reconciliation.</w:t>
      </w:r>
    </w:p>
    <w:p>
      <w:pPr>
        <w:keepNext/>
        <w:spacing w:before="240" w:after="120"/>
      </w:pPr>
      <w:r>
        <w:rPr>
          <w:rFonts w:ascii="Arial" w:hAnsi="Arial"/>
          <w:b/>
          <w:color w:val="0F172A"/>
          <w:sz w:val="24"/>
        </w:rPr>
        <w:t xml:space="preserve">  2. </w:t>
      </w:r>
      <w:r>
        <w:rPr>
          <w:rFonts w:ascii="Arial" w:hAnsi="Arial"/>
          <w:b/>
          <w:color w:val="0F172A"/>
          <w:sz w:val="24"/>
        </w:rPr>
        <w:t>Proposed System</w:t>
      </w:r>
    </w:p>
    <w:p>
      <w:pPr>
        <w:spacing w:after="120" w:line="276" w:lineRule="auto"/>
      </w:pPr>
      <w:r>
        <w:rPr>
          <w:rFonts w:ascii="Arial" w:hAnsi="Arial"/>
          <w:i w:val="0"/>
          <w:color w:val="334155"/>
          <w:sz w:val="20"/>
        </w:rPr>
        <w:t>BuildSphere AI provides an automated, unified operational and financial ecosystem:</w:t>
      </w:r>
    </w:p>
    <w:p>
      <w:pPr>
        <w:pStyle w:val="ListBullet"/>
        <w:spacing w:after="80" w:line="276" w:lineRule="auto"/>
      </w:pPr>
      <w:r>
        <w:rPr>
          <w:rFonts w:ascii="Arial" w:hAnsi="Arial"/>
          <w:b/>
          <w:color w:val="0F172A"/>
          <w:sz w:val="20"/>
        </w:rPr>
        <w:t xml:space="preserve">GPS Geo-Fenced Muster: </w:t>
      </w:r>
      <w:r>
        <w:rPr>
          <w:rFonts w:ascii="Arial" w:hAnsi="Arial"/>
          <w:color w:val="334155"/>
          <w:sz w:val="20"/>
        </w:rPr>
        <w:t>Workers can only be checked in when supervisor GPS coordinates are within 150m of the site.</w:t>
      </w:r>
    </w:p>
    <w:p>
      <w:pPr>
        <w:pStyle w:val="ListBullet"/>
        <w:spacing w:after="80" w:line="276" w:lineRule="auto"/>
      </w:pPr>
      <w:r>
        <w:rPr>
          <w:rFonts w:ascii="Arial" w:hAnsi="Arial"/>
          <w:b/>
          <w:color w:val="0F172A"/>
          <w:sz w:val="20"/>
        </w:rPr>
        <w:t xml:space="preserve">FIFO Advance Deduction: </w:t>
      </w:r>
      <w:r>
        <w:rPr>
          <w:rFonts w:ascii="Arial" w:hAnsi="Arial"/>
          <w:color w:val="334155"/>
          <w:sz w:val="20"/>
        </w:rPr>
        <w:t>Advances are automatically tracked against Asset Account 1100 and recovered via automated First-In-First-Out deductions during weekly payroll calculation.</w:t>
      </w:r>
    </w:p>
    <w:p>
      <w:pPr>
        <w:pStyle w:val="ListBullet"/>
        <w:spacing w:after="80" w:line="276" w:lineRule="auto"/>
      </w:pPr>
      <w:r>
        <w:rPr>
          <w:rFonts w:ascii="Arial" w:hAnsi="Arial"/>
          <w:b/>
          <w:color w:val="0F172A"/>
          <w:sz w:val="20"/>
        </w:rPr>
        <w:t xml:space="preserve">Structured DPR Verification: </w:t>
      </w:r>
      <w:r>
        <w:rPr>
          <w:rFonts w:ascii="Arial" w:hAnsi="Arial"/>
          <w:color w:val="334155"/>
          <w:sz w:val="20"/>
        </w:rPr>
        <w:t>Supervisors and engineers log task completion percentages and material consumption; PMs verify with one click.</w:t>
      </w:r>
    </w:p>
    <w:p>
      <w:pPr>
        <w:pStyle w:val="ListBullet"/>
        <w:spacing w:after="80" w:line="276" w:lineRule="auto"/>
      </w:pPr>
      <w:r>
        <w:rPr>
          <w:rFonts w:ascii="Arial" w:hAnsi="Arial"/>
          <w:b/>
          <w:color w:val="0F172A"/>
          <w:sz w:val="20"/>
        </w:rPr>
        <w:t xml:space="preserve">Automated General Ledger: </w:t>
      </w:r>
      <w:r>
        <w:rPr>
          <w:rFonts w:ascii="Arial" w:hAnsi="Arial"/>
          <w:color w:val="334155"/>
          <w:sz w:val="20"/>
        </w:rPr>
        <w:t>Every approved expense and payroll disbursement immediately posts balanced journal entries (Total Debits == Total Credits) to the general ledger.</w:t>
      </w:r>
    </w:p>
    <w:p>
      <w:pPr>
        <w:keepNext/>
        <w:spacing w:before="240" w:after="120"/>
      </w:pPr>
      <w:r>
        <w:rPr>
          <w:rFonts w:ascii="Arial" w:hAnsi="Arial"/>
          <w:b/>
          <w:color w:val="0F172A"/>
          <w:sz w:val="24"/>
        </w:rPr>
        <w:t xml:space="preserve">  3. </w:t>
      </w:r>
      <w:r>
        <w:rPr>
          <w:rFonts w:ascii="Arial" w:hAnsi="Arial"/>
          <w:b/>
          <w:color w:val="0F172A"/>
          <w:sz w:val="24"/>
        </w:rPr>
        <w:t>Scope of the Proposed System</w:t>
      </w:r>
    </w:p>
    <w:p>
      <w:pPr>
        <w:pStyle w:val="ListBullet"/>
        <w:spacing w:after="80" w:line="276" w:lineRule="auto"/>
      </w:pPr>
      <w:r>
        <w:rPr>
          <w:rFonts w:ascii="Arial" w:hAnsi="Arial"/>
          <w:color w:val="334155"/>
          <w:sz w:val="20"/>
        </w:rPr>
        <w:t>Multi-Tenant Organization Architecture supporting independent contractor accounts.</w:t>
      </w:r>
    </w:p>
    <w:p>
      <w:pPr>
        <w:pStyle w:val="ListBullet"/>
        <w:spacing w:after="80" w:line="276" w:lineRule="auto"/>
      </w:pPr>
      <w:r>
        <w:rPr>
          <w:rFonts w:ascii="Arial" w:hAnsi="Arial"/>
          <w:color w:val="334155"/>
          <w:sz w:val="20"/>
        </w:rPr>
        <w:t>Role-Based Access Control across 5 tiers (Org Admin, Project Manager, Accountant, Site Engineer, Supervisor).</w:t>
      </w:r>
    </w:p>
    <w:p>
      <w:pPr>
        <w:pStyle w:val="ListBullet"/>
        <w:spacing w:after="80" w:line="276" w:lineRule="auto"/>
      </w:pPr>
      <w:r>
        <w:rPr>
          <w:rFonts w:ascii="Arial" w:hAnsi="Arial"/>
          <w:color w:val="334155"/>
          <w:sz w:val="20"/>
        </w:rPr>
        <w:t>Workforce Database managing worker trades, daily rates, and bank accounts.</w:t>
      </w:r>
    </w:p>
    <w:p>
      <w:pPr>
        <w:pStyle w:val="ListBullet"/>
        <w:spacing w:after="80" w:line="276" w:lineRule="auto"/>
      </w:pPr>
      <w:r>
        <w:rPr>
          <w:rFonts w:ascii="Arial" w:hAnsi="Arial"/>
          <w:color w:val="334155"/>
          <w:sz w:val="20"/>
        </w:rPr>
        <w:t>Attendance &amp; Night Shift Management with mandatory safety checklists and managerial lock/unlock controls.</w:t>
      </w:r>
    </w:p>
    <w:p>
      <w:pPr>
        <w:pStyle w:val="ListBullet"/>
        <w:spacing w:after="80" w:line="276" w:lineRule="auto"/>
      </w:pPr>
      <w:r>
        <w:rPr>
          <w:rFonts w:ascii="Arial" w:hAnsi="Arial"/>
          <w:color w:val="334155"/>
          <w:sz w:val="20"/>
        </w:rPr>
        <w:t>Field Spend &amp; Accounts Payable tracking vendor credit, repayment schedules, and utility running costs.</w:t>
      </w:r>
    </w:p>
    <w:p>
      <w:pPr>
        <w:pStyle w:val="ListBullet"/>
        <w:spacing w:after="80" w:line="276" w:lineRule="auto"/>
      </w:pPr>
      <w:r>
        <w:rPr>
          <w:rFonts w:ascii="Arial" w:hAnsi="Arial"/>
          <w:color w:val="334155"/>
          <w:sz w:val="20"/>
        </w:rPr>
        <w:t>Payroll Engine generating itemized salary vouchers and downloadable payslips with corporate letterhead.</w:t>
      </w:r>
    </w:p>
    <w:p>
      <w:pPr>
        <w:pStyle w:val="ListBullet"/>
        <w:spacing w:after="80" w:line="276" w:lineRule="auto"/>
      </w:pPr>
      <w:r>
        <w:rPr>
          <w:rFonts w:ascii="Arial" w:hAnsi="Arial"/>
          <w:color w:val="334155"/>
          <w:sz w:val="20"/>
        </w:rPr>
        <w:t>Double-Entry Financial Statements including Chart of Accounts, Trial Balance, and Profit &amp; Loss.</w:t>
      </w:r>
    </w:p>
    <w:p>
      <w:pPr>
        <w:keepNext/>
        <w:spacing w:before="240" w:after="120"/>
      </w:pPr>
      <w:r>
        <w:rPr>
          <w:rFonts w:ascii="Arial" w:hAnsi="Arial"/>
          <w:b/>
          <w:color w:val="0F172A"/>
          <w:sz w:val="24"/>
        </w:rPr>
        <w:t xml:space="preserve">  4. </w:t>
      </w:r>
      <w:r>
        <w:rPr>
          <w:rFonts w:ascii="Arial" w:hAnsi="Arial"/>
          <w:b/>
          <w:color w:val="0F172A"/>
          <w:sz w:val="24"/>
        </w:rPr>
        <w:t>Aim and Objective of the Proposed System</w:t>
      </w:r>
    </w:p>
    <w:p>
      <w:pPr>
        <w:pStyle w:val="ListBullet"/>
        <w:spacing w:after="80" w:line="276" w:lineRule="auto"/>
      </w:pPr>
      <w:r>
        <w:rPr>
          <w:rFonts w:ascii="Arial" w:hAnsi="Arial"/>
          <w:b/>
          <w:color w:val="0F172A"/>
          <w:sz w:val="20"/>
        </w:rPr>
        <w:t xml:space="preserve">Zero Wage Theft: </w:t>
      </w:r>
      <w:r>
        <w:rPr>
          <w:rFonts w:ascii="Arial" w:hAnsi="Arial"/>
          <w:color w:val="334155"/>
          <w:sz w:val="20"/>
        </w:rPr>
        <w:t>Eliminate 100% of ghost worker payroll leakage through GPS geofencing and locked muster.</w:t>
      </w:r>
    </w:p>
    <w:p>
      <w:pPr>
        <w:pStyle w:val="ListBullet"/>
        <w:spacing w:after="80" w:line="276" w:lineRule="auto"/>
      </w:pPr>
      <w:r>
        <w:rPr>
          <w:rFonts w:ascii="Arial" w:hAnsi="Arial"/>
          <w:b/>
          <w:color w:val="0F172A"/>
          <w:sz w:val="20"/>
        </w:rPr>
        <w:t xml:space="preserve">Full Advance Recovery: </w:t>
      </w:r>
      <w:r>
        <w:rPr>
          <w:rFonts w:ascii="Arial" w:hAnsi="Arial"/>
          <w:color w:val="334155"/>
          <w:sz w:val="20"/>
        </w:rPr>
        <w:t>Recover 100% of worker cash advances automatically via FIFO payroll deductions.</w:t>
      </w:r>
    </w:p>
    <w:p>
      <w:pPr>
        <w:pStyle w:val="ListBullet"/>
        <w:spacing w:after="80" w:line="276" w:lineRule="auto"/>
      </w:pPr>
      <w:r>
        <w:rPr>
          <w:rFonts w:ascii="Arial" w:hAnsi="Arial"/>
          <w:b/>
          <w:color w:val="0F172A"/>
          <w:sz w:val="20"/>
        </w:rPr>
        <w:t xml:space="preserve">Real-Time Transparency: </w:t>
      </w:r>
      <w:r>
        <w:rPr>
          <w:rFonts w:ascii="Arial" w:hAnsi="Arial"/>
          <w:color w:val="334155"/>
          <w:sz w:val="20"/>
        </w:rPr>
        <w:t>Provide corporate management with real-time project progress, spend vs budget analytics, and ledger balance.</w:t>
      </w:r>
    </w:p>
    <w:p>
      <w:pPr>
        <w:keepNext/>
        <w:spacing w:before="240" w:after="120"/>
      </w:pPr>
      <w:r>
        <w:rPr>
          <w:rFonts w:ascii="Arial" w:hAnsi="Arial"/>
          <w:b/>
          <w:color w:val="0F172A"/>
          <w:sz w:val="24"/>
        </w:rPr>
        <w:t xml:space="preserve">  5. </w:t>
      </w:r>
      <w:r>
        <w:rPr>
          <w:rFonts w:ascii="Arial" w:hAnsi="Arial"/>
          <w:b/>
          <w:color w:val="0F172A"/>
          <w:sz w:val="24"/>
        </w:rPr>
        <w:t>Feasibility Study</w:t>
      </w:r>
    </w:p>
    <w:p>
      <w:pPr>
        <w:spacing w:after="120" w:line="276" w:lineRule="auto"/>
      </w:pPr>
      <w:r>
        <w:rPr>
          <w:rFonts w:ascii="Arial" w:hAnsi="Arial"/>
          <w:b/>
          <w:color w:val="0F172A"/>
          <w:sz w:val="20"/>
        </w:rPr>
        <w:t xml:space="preserve">Operational: </w:t>
      </w:r>
      <w:r>
        <w:rPr>
          <w:rFonts w:ascii="Arial" w:hAnsi="Arial"/>
          <w:i w:val="0"/>
          <w:color w:val="334155"/>
          <w:sz w:val="20"/>
        </w:rPr>
        <w:t>Operational Feasibility: The user interface is streamlined for mobile and field use with large touch targets, color-coded status badges, and simplified workflows requiring zero accounting knowledge for field staff.</w:t>
      </w:r>
    </w:p>
    <w:p>
      <w:pPr>
        <w:spacing w:after="120" w:line="276" w:lineRule="auto"/>
      </w:pPr>
      <w:r>
        <w:rPr>
          <w:rFonts w:ascii="Arial" w:hAnsi="Arial"/>
          <w:b/>
          <w:color w:val="0F172A"/>
          <w:sz w:val="20"/>
        </w:rPr>
        <w:t xml:space="preserve">Technical: </w:t>
      </w:r>
      <w:r>
        <w:rPr>
          <w:rFonts w:ascii="Arial" w:hAnsi="Arial"/>
          <w:i w:val="0"/>
          <w:color w:val="334155"/>
          <w:sz w:val="20"/>
        </w:rPr>
        <w:t>Technical Feasibility: Built on mature, open-source enterprise stacks (Python 3.12, Django 5.x, React 18, PostgreSQL 15) ensuring high throughput, scalability, and zero licensing fees.</w:t>
      </w:r>
    </w:p>
    <w:p>
      <w:pPr>
        <w:spacing w:after="120" w:line="276" w:lineRule="auto"/>
      </w:pPr>
      <w:r>
        <w:rPr>
          <w:rFonts w:ascii="Arial" w:hAnsi="Arial"/>
          <w:b/>
          <w:color w:val="0F172A"/>
          <w:sz w:val="20"/>
        </w:rPr>
        <w:t xml:space="preserve">Economical: </w:t>
      </w:r>
      <w:r>
        <w:rPr>
          <w:rFonts w:ascii="Arial" w:hAnsi="Arial"/>
          <w:i w:val="0"/>
          <w:color w:val="334155"/>
          <w:sz w:val="20"/>
        </w:rPr>
        <w:t>Economical Feasibility: Eliminating muster inflation and advance leakage saves over ₹3,15,000 monthly for a 150-worker site, achieving full ROI within 30 days.</w:t>
      </w:r>
    </w:p>
    <w:p>
      <w:r>
        <w:br w:type="page"/>
      </w:r>
    </w:p>
    <w:p>
      <w:pPr>
        <w:spacing w:before="4400"/>
      </w:pPr>
    </w:p>
    <w:p>
      <w:pPr>
        <w:spacing w:after="4000"/>
        <w:jc w:val="center"/>
      </w:pPr>
      <w:r>
        <w:rPr>
          <w:rFonts w:ascii="Times New Roman" w:hAnsi="Times New Roman"/>
          <w:b/>
          <w:color w:val="0F172A"/>
          <w:sz w:val="64"/>
        </w:rPr>
        <w:t>SYSTEM ANALYSIS</w:t>
      </w:r>
    </w:p>
    <w:p>
      <w:r>
        <w:br w:type="page"/>
      </w:r>
    </w:p>
    <w:p>
      <w:pPr>
        <w:keepNext/>
        <w:spacing w:before="280" w:after="160"/>
      </w:pPr>
      <w:r>
        <w:rPr>
          <w:rFonts w:ascii="Arial" w:hAnsi="Arial"/>
          <w:b/>
          <w:color w:val="0F172A"/>
          <w:sz w:val="28"/>
        </w:rPr>
        <w:t xml:space="preserve">❖ </w:t>
      </w:r>
      <w:r>
        <w:rPr>
          <w:rFonts w:ascii="Arial" w:hAnsi="Arial"/>
          <w:b/>
          <w:color w:val="0F172A"/>
          <w:sz w:val="28"/>
          <w:u w:val="single"/>
        </w:rPr>
        <w:t>System Analysis</w:t>
      </w:r>
    </w:p>
    <w:p>
      <w:pPr>
        <w:keepNext/>
        <w:spacing w:before="240" w:after="120"/>
      </w:pPr>
      <w:r>
        <w:rPr>
          <w:rFonts w:ascii="Arial" w:hAnsi="Arial"/>
          <w:b/>
          <w:color w:val="0F172A"/>
          <w:sz w:val="24"/>
        </w:rPr>
        <w:t xml:space="preserve">  1. </w:t>
      </w:r>
      <w:r>
        <w:rPr>
          <w:rFonts w:ascii="Arial" w:hAnsi="Arial"/>
          <w:b/>
          <w:color w:val="0F172A"/>
          <w:sz w:val="24"/>
        </w:rPr>
        <w:t>Requirements Specification (along with System Modules)</w:t>
      </w:r>
    </w:p>
    <w:tbl>
      <w:tblPr>
        <w:tblW w:type="auto" w:w="0"/>
        <w:jc w:val="center"/>
        <w:tblLook w:firstColumn="1" w:firstRow="1" w:lastColumn="0" w:lastRow="0" w:noHBand="0" w:noVBand="1" w:val="04A0"/>
      </w:tblPr>
      <w:tblGrid>
        <w:gridCol w:w="3264"/>
        <w:gridCol w:w="3264"/>
        <w:gridCol w:w="3264"/>
      </w:tblGrid>
      <w:tr>
        <w:trPr>
          <w:cantSplit/>
          <w:tblHeader/>
        </w:trPr>
        <w:tc>
          <w:tcPr>
            <w:tcW w:type="dxa" w:w="3264"/>
            <w:vAlign w:val="center"/>
            <w:tcMar>
              <w:top w:w="100" w:type="dxa"/>
              <w:bottom w:w="100" w:type="dxa"/>
              <w:left w:w="130" w:type="dxa"/>
              <w:right w:w="130" w:type="dxa"/>
            </w:tcMar>
            <w:shd w:fill="1E3A8A"/>
          </w:tcPr>
          <w:p>
            <w:pPr>
              <w:spacing w:after="40" w:before="40"/>
            </w:pPr>
            <w:r>
              <w:rPr>
                <w:rFonts w:ascii="Arial" w:hAnsi="Arial"/>
                <w:b/>
                <w:color w:val="FFFFFF"/>
                <w:sz w:val="19"/>
              </w:rPr>
              <w:t>Module Code</w:t>
            </w:r>
          </w:p>
        </w:tc>
        <w:tc>
          <w:tcPr>
            <w:tcW w:type="dxa" w:w="3264"/>
            <w:vAlign w:val="center"/>
            <w:tcMar>
              <w:top w:w="100" w:type="dxa"/>
              <w:bottom w:w="100" w:type="dxa"/>
              <w:left w:w="130" w:type="dxa"/>
              <w:right w:w="130" w:type="dxa"/>
            </w:tcMar>
            <w:shd w:fill="1E3A8A"/>
          </w:tcPr>
          <w:p>
            <w:pPr>
              <w:spacing w:after="40" w:before="40"/>
            </w:pPr>
            <w:r>
              <w:rPr>
                <w:rFonts w:ascii="Arial" w:hAnsi="Arial"/>
                <w:b/>
                <w:color w:val="FFFFFF"/>
                <w:sz w:val="19"/>
              </w:rPr>
              <w:t>Module Name</w:t>
            </w:r>
          </w:p>
        </w:tc>
        <w:tc>
          <w:tcPr>
            <w:tcW w:type="dxa" w:w="3264"/>
            <w:vAlign w:val="center"/>
            <w:tcMar>
              <w:top w:w="100" w:type="dxa"/>
              <w:bottom w:w="100" w:type="dxa"/>
              <w:left w:w="130" w:type="dxa"/>
              <w:right w:w="130" w:type="dxa"/>
            </w:tcMar>
            <w:shd w:fill="1E3A8A"/>
          </w:tcPr>
          <w:p>
            <w:pPr>
              <w:spacing w:after="40" w:before="40"/>
            </w:pPr>
            <w:r>
              <w:rPr>
                <w:rFonts w:ascii="Arial" w:hAnsi="Arial"/>
                <w:b/>
                <w:color w:val="FFFFFF"/>
                <w:sz w:val="19"/>
              </w:rPr>
              <w:t>Functional Requirements (FR)</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MOD-01</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Tenant &amp; Role Security</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FR-01: Multi-tenant data isolation.</w:t>
              <w:br/>
              <w:t>FR-02: Stateless JWT authentication with refresh cookies.</w:t>
              <w:br/>
              <w:t>FR-03: 5-Tier RBAC (ORG_ADMIN, PROJECT_MANAGER, ACCOUNTANT, SITE_ENGINEER, SUPERVISOR).</w:t>
              <w:br/>
              <w:t>FR-04: Immutable audit logging.</w:t>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MOD-02</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Projects &amp; Budgets</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FR-05: Configure construction sites with GPS coordinates and radius.</w:t>
              <w:br/>
              <w:t>FR-06: Budget category allocation and spend tracking.</w:t>
              <w:br/>
              <w:t>FR-07: Scoped project memberships.</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MOD-03</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Workforce Management</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FR-08: Worker roster categorized by trade.</w:t>
              <w:br/>
              <w:t>FR-09: Daily wage and overtime rate configuration.</w:t>
              <w:br/>
              <w:t>FR-10: Labor gang leader assignment.</w:t>
              <w:br/>
              <w:t>FR-11: Bank account and IFSC storage.</w:t>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MOD-04</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Biometric Attendance</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FR-12: GPS-verified check-in/out with distance validation.</w:t>
              <w:br/>
              <w:t>FR-13: Gang batch roll call marking.</w:t>
              <w:br/>
              <w:t>FR-14: Night shift sessions with safety checklists.</w:t>
              <w:br/>
              <w:t>FR-15: Administrative muster lock and reason-backed unlock.</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MOD-05</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Daily Progress (DPR)</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FR-16: End-of-shift progress log with task completion %.</w:t>
              <w:br/>
              <w:t>FR-17: Material consumption entries.</w:t>
              <w:br/>
              <w:t>FR-18: Photo inspection uploads.</w:t>
              <w:br/>
              <w:t>FR-19: PM verification and automated progress % update.</w:t>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MOD-06</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Spend &amp; Vendor AP</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FR-20: Expense logging with digital receipt upload.</w:t>
              <w:br/>
              <w:t>FR-21: Multi-tier expense approval (creator cannot self-approve).</w:t>
              <w:br/>
              <w:t>FR-22: Vendor accounts payable ledger and repayments.</w:t>
              <w:br/>
              <w:t>FR-23: Monthly utility running cost baselines.</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MOD-07</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Worker Advance (Upad)</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FR-24: On-site cash advance logging.</w:t>
              <w:br/>
              <w:t>FR-25: Automated FIFO advance deduction during payroll run.</w:t>
              <w:br/>
              <w:t>FR-26: Advance balance tracking (Active vs Recovered).</w:t>
            </w:r>
          </w:p>
        </w:tc>
      </w:tr>
      <w:tr>
        <w:trPr>
          <w:cantSplit/>
        </w:trPr>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MOD-08</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Payroll Engine</w:t>
            </w:r>
          </w:p>
        </w:tc>
        <w:tc>
          <w:tcPr>
            <w:tcW w:type="dxa" w:w="3264"/>
            <w:vAlign w:val="center"/>
            <w:tcMar>
              <w:top w:w="100" w:type="dxa"/>
              <w:bottom w:w="100" w:type="dxa"/>
              <w:left w:w="130" w:type="dxa"/>
              <w:right w:w="130" w:type="dxa"/>
            </w:tcMar>
            <w:shd w:fill="F8FAFC"/>
          </w:tcPr>
          <w:p>
            <w:pPr>
              <w:spacing w:after="40" w:before="40"/>
            </w:pPr>
            <w:r>
              <w:rPr>
                <w:rFonts w:ascii="Arial" w:hAnsi="Arial"/>
                <w:color w:val="1E293B"/>
                <w:sz w:val="18"/>
              </w:rPr>
              <w:t>FR-27: Weekly payroll calculation from locked attendance muster.</w:t>
              <w:br/>
              <w:t>FR-28: Itemized worker salary voucher computation.</w:t>
              <w:br/>
              <w:t>FR-29: Management approval and ledger posting.</w:t>
              <w:br/>
              <w:t>FR-30: Downloadable printable payslip PDF with corporate letterhead.</w:t>
            </w:r>
          </w:p>
        </w:tc>
      </w:tr>
      <w:tr>
        <w:trPr>
          <w:cantSplit/>
        </w:trPr>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MOD-09</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General Ledger</w:t>
            </w:r>
          </w:p>
        </w:tc>
        <w:tc>
          <w:tcPr>
            <w:tcW w:type="dxa" w:w="3264"/>
            <w:vAlign w:val="center"/>
            <w:tcMar>
              <w:top w:w="100" w:type="dxa"/>
              <w:bottom w:w="100" w:type="dxa"/>
              <w:left w:w="130" w:type="dxa"/>
              <w:right w:w="130" w:type="dxa"/>
            </w:tcMar>
            <w:shd w:fill="FFFFFF"/>
          </w:tcPr>
          <w:p>
            <w:pPr>
              <w:spacing w:after="40" w:before="40"/>
            </w:pPr>
            <w:r>
              <w:rPr>
                <w:rFonts w:ascii="Arial" w:hAnsi="Arial"/>
                <w:color w:val="1E293B"/>
                <w:sz w:val="18"/>
              </w:rPr>
              <w:t>FR-31: Double-entry Chart of Accounts.</w:t>
              <w:br/>
              <w:t>FR-32: Automated balanced journal entry posting.</w:t>
              <w:br/>
              <w:t>FR-33: Real-time Trial Balance verification (Total DR == Total CR).</w:t>
              <w:br/>
              <w:t>FR-34: Profit &amp; Loss statement calculation.</w:t>
            </w:r>
          </w:p>
        </w:tc>
      </w:tr>
    </w:tbl>
    <w:p>
      <w:pPr>
        <w:keepNext/>
        <w:spacing w:before="240" w:after="120"/>
      </w:pPr>
      <w:r>
        <w:rPr>
          <w:rFonts w:ascii="Arial" w:hAnsi="Arial"/>
          <w:b/>
          <w:color w:val="0F172A"/>
          <w:sz w:val="24"/>
        </w:rPr>
        <w:t xml:space="preserve">  2. </w:t>
      </w:r>
      <w:r>
        <w:rPr>
          <w:rFonts w:ascii="Arial" w:hAnsi="Arial"/>
          <w:b/>
          <w:color w:val="0F172A"/>
          <w:sz w:val="24"/>
        </w:rPr>
        <w:t>Use Case Diagram</w:t>
      </w:r>
    </w:p>
    <w:p>
      <w:pPr>
        <w:spacing w:after="120" w:line="276" w:lineRule="auto"/>
      </w:pPr>
      <w:r>
        <w:rPr>
          <w:rFonts w:ascii="Arial" w:hAnsi="Arial"/>
          <w:i w:val="0"/>
          <w:color w:val="334155"/>
          <w:sz w:val="20"/>
        </w:rPr>
        <w:t>The Use Case Diagram visualizes role-based interactions across all 5 user designations:</w:t>
      </w:r>
    </w:p>
    <w:p>
      <w:pPr>
        <w:spacing w:before="160" w:after="80"/>
        <w:jc w:val="center"/>
      </w:pPr>
    </w:p>
    <w:p>
      <w:r>
        <w:drawing>
          <wp:inline xmlns:a="http://schemas.openxmlformats.org/drawingml/2006/main" xmlns:pic="http://schemas.openxmlformats.org/drawingml/2006/picture">
            <wp:extent cx="5669280" cy="4159422"/>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5669280" cy="4159422"/>
                    </a:xfrm>
                    <a:prstGeom prst="rect"/>
                  </pic:spPr>
                </pic:pic>
              </a:graphicData>
            </a:graphic>
          </wp:inline>
        </w:drawing>
      </w:r>
    </w:p>
    <w:p>
      <w:pPr>
        <w:spacing w:after="200"/>
        <w:jc w:val="center"/>
      </w:pPr>
      <w:r>
        <w:rPr>
          <w:rFonts w:ascii="Arial" w:hAnsi="Arial"/>
          <w:i/>
          <w:color w:val="64748B"/>
          <w:sz w:val="17"/>
        </w:rPr>
        <w:t>Figure 4.1: BuildSphere AI — Role-Based Use Case Diagram</w:t>
      </w:r>
    </w:p>
    <w:p>
      <w:pPr>
        <w:keepNext/>
        <w:spacing w:before="240" w:after="120"/>
      </w:pPr>
      <w:r>
        <w:rPr>
          <w:rFonts w:ascii="Arial" w:hAnsi="Arial"/>
          <w:b/>
          <w:color w:val="0F172A"/>
          <w:sz w:val="24"/>
        </w:rPr>
        <w:t xml:space="preserve">  3. </w:t>
      </w:r>
      <w:r>
        <w:rPr>
          <w:rFonts w:ascii="Arial" w:hAnsi="Arial"/>
          <w:b/>
          <w:color w:val="0F172A"/>
          <w:sz w:val="24"/>
        </w:rPr>
        <w:t>Activity Diagram</w:t>
      </w:r>
    </w:p>
    <w:p>
      <w:pPr>
        <w:spacing w:after="120" w:line="276" w:lineRule="auto"/>
      </w:pPr>
      <w:r>
        <w:rPr>
          <w:rFonts w:ascii="Arial" w:hAnsi="Arial"/>
          <w:i w:val="0"/>
          <w:color w:val="334155"/>
          <w:sz w:val="20"/>
        </w:rPr>
        <w:t>The Activity Diagram models site operations from worker check-in to financial ledger settlement across swimlanes:</w:t>
      </w:r>
    </w:p>
    <w:p>
      <w:pPr>
        <w:spacing w:before="160" w:after="80"/>
        <w:jc w:val="center"/>
      </w:pPr>
    </w:p>
    <w:p>
      <w:r>
        <w:drawing>
          <wp:inline xmlns:a="http://schemas.openxmlformats.org/drawingml/2006/main" xmlns:pic="http://schemas.openxmlformats.org/drawingml/2006/picture">
            <wp:extent cx="5669280" cy="4123342"/>
            <wp:docPr id="2" name="Picture 2"/>
            <wp:cNvGraphicFramePr>
              <a:graphicFrameLocks noChangeAspect="1"/>
            </wp:cNvGraphicFramePr>
            <a:graphic>
              <a:graphicData uri="http://schemas.openxmlformats.org/drawingml/2006/picture">
                <pic:pic>
                  <pic:nvPicPr>
                    <pic:cNvPr id="0" name="activity_diagram.png"/>
                    <pic:cNvPicPr/>
                  </pic:nvPicPr>
                  <pic:blipFill>
                    <a:blip r:embed="rId12"/>
                    <a:stretch>
                      <a:fillRect/>
                    </a:stretch>
                  </pic:blipFill>
                  <pic:spPr>
                    <a:xfrm>
                      <a:off x="0" y="0"/>
                      <a:ext cx="5669280" cy="4123342"/>
                    </a:xfrm>
                    <a:prstGeom prst="rect"/>
                  </pic:spPr>
                </pic:pic>
              </a:graphicData>
            </a:graphic>
          </wp:inline>
        </w:drawing>
      </w:r>
    </w:p>
    <w:p>
      <w:pPr>
        <w:spacing w:after="200"/>
        <w:jc w:val="center"/>
      </w:pPr>
      <w:r>
        <w:rPr>
          <w:rFonts w:ascii="Arial" w:hAnsi="Arial"/>
          <w:i/>
          <w:color w:val="64748B"/>
          <w:sz w:val="17"/>
        </w:rPr>
        <w:t>Figure 4.2: BuildSphere AI — Activity Diagram (Site Operations to Ledger Settlement)</w:t>
      </w:r>
    </w:p>
    <w:p>
      <w:pPr>
        <w:keepNext/>
        <w:spacing w:before="240" w:after="120"/>
      </w:pPr>
      <w:r>
        <w:rPr>
          <w:rFonts w:ascii="Arial" w:hAnsi="Arial"/>
          <w:b/>
          <w:color w:val="0F172A"/>
          <w:sz w:val="24"/>
        </w:rPr>
        <w:t xml:space="preserve">  4. </w:t>
      </w:r>
      <w:r>
        <w:rPr>
          <w:rFonts w:ascii="Arial" w:hAnsi="Arial"/>
          <w:b/>
          <w:color w:val="0F172A"/>
          <w:sz w:val="24"/>
        </w:rPr>
        <w:t>Class Diagram</w:t>
      </w:r>
    </w:p>
    <w:p>
      <w:pPr>
        <w:spacing w:after="120" w:line="276" w:lineRule="auto"/>
      </w:pPr>
      <w:r>
        <w:rPr>
          <w:rFonts w:ascii="Arial" w:hAnsi="Arial"/>
          <w:i w:val="0"/>
          <w:color w:val="334155"/>
          <w:sz w:val="20"/>
        </w:rPr>
        <w:t>The UML Class Diagram models domain entities, attributes, visibility (+), and method signatures:</w:t>
      </w:r>
    </w:p>
    <w:p>
      <w:pPr>
        <w:spacing w:before="160" w:after="80"/>
        <w:jc w:val="center"/>
      </w:pPr>
    </w:p>
    <w:p>
      <w:r>
        <w:drawing>
          <wp:inline xmlns:a="http://schemas.openxmlformats.org/drawingml/2006/main" xmlns:pic="http://schemas.openxmlformats.org/drawingml/2006/picture">
            <wp:extent cx="5669280" cy="4152900"/>
            <wp:docPr id="3" name="Picture 3"/>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5669280" cy="4152900"/>
                    </a:xfrm>
                    <a:prstGeom prst="rect"/>
                  </pic:spPr>
                </pic:pic>
              </a:graphicData>
            </a:graphic>
          </wp:inline>
        </w:drawing>
      </w:r>
    </w:p>
    <w:p>
      <w:pPr>
        <w:spacing w:after="200"/>
        <w:jc w:val="center"/>
      </w:pPr>
      <w:r>
        <w:rPr>
          <w:rFonts w:ascii="Arial" w:hAnsi="Arial"/>
          <w:i/>
          <w:color w:val="64748B"/>
          <w:sz w:val="17"/>
        </w:rPr>
        <w:t>Figure 4.3: BuildSphere AI — UML Class Diagram</w:t>
      </w:r>
    </w:p>
    <w:p>
      <w:pPr>
        <w:keepNext/>
        <w:spacing w:before="240" w:after="120"/>
      </w:pPr>
      <w:r>
        <w:rPr>
          <w:rFonts w:ascii="Arial" w:hAnsi="Arial"/>
          <w:b/>
          <w:color w:val="0F172A"/>
          <w:sz w:val="24"/>
        </w:rPr>
        <w:t xml:space="preserve">  5. </w:t>
      </w:r>
      <w:r>
        <w:rPr>
          <w:rFonts w:ascii="Arial" w:hAnsi="Arial"/>
          <w:b/>
          <w:color w:val="0F172A"/>
          <w:sz w:val="24"/>
        </w:rPr>
        <w:t>System FlowChart</w:t>
      </w:r>
    </w:p>
    <w:p>
      <w:pPr>
        <w:spacing w:after="120" w:line="276" w:lineRule="auto"/>
      </w:pPr>
      <w:r>
        <w:rPr>
          <w:rFonts w:ascii="Arial" w:hAnsi="Arial"/>
          <w:i w:val="0"/>
          <w:color w:val="334155"/>
          <w:sz w:val="20"/>
        </w:rPr>
        <w:t>The System Flowchart depicts client-to-database request execution and transaction boundaries:</w:t>
      </w:r>
    </w:p>
    <w:p>
      <w:pPr>
        <w:spacing w:before="160" w:after="80"/>
        <w:jc w:val="center"/>
      </w:pPr>
    </w:p>
    <w:p>
      <w:r>
        <w:drawing>
          <wp:inline xmlns:a="http://schemas.openxmlformats.org/drawingml/2006/main" xmlns:pic="http://schemas.openxmlformats.org/drawingml/2006/picture">
            <wp:extent cx="5669280" cy="4147326"/>
            <wp:docPr id="4" name="Picture 4"/>
            <wp:cNvGraphicFramePr>
              <a:graphicFrameLocks noChangeAspect="1"/>
            </wp:cNvGraphicFramePr>
            <a:graphic>
              <a:graphicData uri="http://schemas.openxmlformats.org/drawingml/2006/picture">
                <pic:pic>
                  <pic:nvPicPr>
                    <pic:cNvPr id="0" name="system_flowchart.png"/>
                    <pic:cNvPicPr/>
                  </pic:nvPicPr>
                  <pic:blipFill>
                    <a:blip r:embed="rId14"/>
                    <a:stretch>
                      <a:fillRect/>
                    </a:stretch>
                  </pic:blipFill>
                  <pic:spPr>
                    <a:xfrm>
                      <a:off x="0" y="0"/>
                      <a:ext cx="5669280" cy="4147326"/>
                    </a:xfrm>
                    <a:prstGeom prst="rect"/>
                  </pic:spPr>
                </pic:pic>
              </a:graphicData>
            </a:graphic>
          </wp:inline>
        </w:drawing>
      </w:r>
    </w:p>
    <w:p>
      <w:pPr>
        <w:spacing w:after="200"/>
        <w:jc w:val="center"/>
      </w:pPr>
      <w:r>
        <w:rPr>
          <w:rFonts w:ascii="Arial" w:hAnsi="Arial"/>
          <w:i/>
          <w:color w:val="64748B"/>
          <w:sz w:val="17"/>
        </w:rPr>
        <w:t>Figure 4.4: BuildSphere AI — System Architecture &amp; Request Flowchart</w:t>
      </w:r>
    </w:p>
    <w:p>
      <w:pPr>
        <w:keepNext/>
        <w:spacing w:before="240" w:after="120"/>
      </w:pPr>
      <w:r>
        <w:rPr>
          <w:rFonts w:ascii="Arial" w:hAnsi="Arial"/>
          <w:b/>
          <w:color w:val="0F172A"/>
          <w:sz w:val="24"/>
        </w:rPr>
        <w:t xml:space="preserve">  6. </w:t>
      </w:r>
      <w:r>
        <w:rPr>
          <w:rFonts w:ascii="Arial" w:hAnsi="Arial"/>
          <w:b/>
          <w:color w:val="0F172A"/>
          <w:sz w:val="24"/>
        </w:rPr>
        <w:t>Functional Decomposition Diagram</w:t>
      </w:r>
    </w:p>
    <w:p>
      <w:pPr>
        <w:spacing w:after="120" w:line="276" w:lineRule="auto"/>
      </w:pPr>
      <w:r>
        <w:rPr>
          <w:rFonts w:ascii="Arial" w:hAnsi="Arial"/>
          <w:i w:val="0"/>
          <w:color w:val="334155"/>
          <w:sz w:val="20"/>
        </w:rPr>
        <w:t>The Functional Decomposition Diagram illustrates the breakdown of subsystems and capabilities:</w:t>
      </w:r>
    </w:p>
    <w:p>
      <w:pPr>
        <w:spacing w:before="160" w:after="80"/>
        <w:jc w:val="center"/>
      </w:pPr>
    </w:p>
    <w:p>
      <w:r>
        <w:drawing>
          <wp:inline xmlns:a="http://schemas.openxmlformats.org/drawingml/2006/main" xmlns:pic="http://schemas.openxmlformats.org/drawingml/2006/picture">
            <wp:extent cx="5669280" cy="3873495"/>
            <wp:docPr id="5" name="Picture 5"/>
            <wp:cNvGraphicFramePr>
              <a:graphicFrameLocks noChangeAspect="1"/>
            </wp:cNvGraphicFramePr>
            <a:graphic>
              <a:graphicData uri="http://schemas.openxmlformats.org/drawingml/2006/picture">
                <pic:pic>
                  <pic:nvPicPr>
                    <pic:cNvPr id="0" name="functional_decomposition.png"/>
                    <pic:cNvPicPr/>
                  </pic:nvPicPr>
                  <pic:blipFill>
                    <a:blip r:embed="rId15"/>
                    <a:stretch>
                      <a:fillRect/>
                    </a:stretch>
                  </pic:blipFill>
                  <pic:spPr>
                    <a:xfrm>
                      <a:off x="0" y="0"/>
                      <a:ext cx="5669280" cy="3873495"/>
                    </a:xfrm>
                    <a:prstGeom prst="rect"/>
                  </pic:spPr>
                </pic:pic>
              </a:graphicData>
            </a:graphic>
          </wp:inline>
        </w:drawing>
      </w:r>
    </w:p>
    <w:p>
      <w:pPr>
        <w:spacing w:after="200"/>
        <w:jc w:val="center"/>
      </w:pPr>
      <w:r>
        <w:rPr>
          <w:rFonts w:ascii="Arial" w:hAnsi="Arial"/>
          <w:i/>
          <w:color w:val="64748B"/>
          <w:sz w:val="17"/>
        </w:rPr>
        <w:t>Figure 4.5: BuildSphere AI — Functional Decomposition Diagram (FDD)</w:t>
      </w:r>
    </w:p>
    <w:p>
      <w:pPr>
        <w:keepNext/>
        <w:spacing w:before="240" w:after="120"/>
      </w:pPr>
      <w:r>
        <w:rPr>
          <w:rFonts w:ascii="Arial" w:hAnsi="Arial"/>
          <w:b/>
          <w:color w:val="0F172A"/>
          <w:sz w:val="24"/>
        </w:rPr>
        <w:t xml:space="preserve">  7. </w:t>
      </w:r>
      <w:r>
        <w:rPr>
          <w:rFonts w:ascii="Arial" w:hAnsi="Arial"/>
          <w:b/>
          <w:color w:val="0F172A"/>
          <w:sz w:val="24"/>
        </w:rPr>
        <w:t>Data Flow Diagrams (DFD)</w:t>
      </w:r>
    </w:p>
    <w:p>
      <w:pPr>
        <w:spacing w:after="120" w:line="276" w:lineRule="auto"/>
      </w:pPr>
      <w:r>
        <w:rPr>
          <w:rFonts w:ascii="Arial" w:hAnsi="Arial"/>
          <w:i w:val="0"/>
          <w:color w:val="334155"/>
          <w:sz w:val="20"/>
        </w:rPr>
        <w:t>■ Context Level DFD (Level 0):</w:t>
      </w:r>
    </w:p>
    <w:p>
      <w:pPr>
        <w:spacing w:before="160" w:after="80"/>
        <w:jc w:val="center"/>
      </w:pPr>
    </w:p>
    <w:p>
      <w:r>
        <w:drawing>
          <wp:inline xmlns:a="http://schemas.openxmlformats.org/drawingml/2006/main" xmlns:pic="http://schemas.openxmlformats.org/drawingml/2006/picture">
            <wp:extent cx="5669280" cy="3382565"/>
            <wp:docPr id="6" name="Picture 6"/>
            <wp:cNvGraphicFramePr>
              <a:graphicFrameLocks noChangeAspect="1"/>
            </wp:cNvGraphicFramePr>
            <a:graphic>
              <a:graphicData uri="http://schemas.openxmlformats.org/drawingml/2006/picture">
                <pic:pic>
                  <pic:nvPicPr>
                    <pic:cNvPr id="0" name="dfd_level_0.png"/>
                    <pic:cNvPicPr/>
                  </pic:nvPicPr>
                  <pic:blipFill>
                    <a:blip r:embed="rId16"/>
                    <a:stretch>
                      <a:fillRect/>
                    </a:stretch>
                  </pic:blipFill>
                  <pic:spPr>
                    <a:xfrm>
                      <a:off x="0" y="0"/>
                      <a:ext cx="5669280" cy="3382565"/>
                    </a:xfrm>
                    <a:prstGeom prst="rect"/>
                  </pic:spPr>
                </pic:pic>
              </a:graphicData>
            </a:graphic>
          </wp:inline>
        </w:drawing>
      </w:r>
    </w:p>
    <w:p>
      <w:pPr>
        <w:spacing w:after="200"/>
        <w:jc w:val="center"/>
      </w:pPr>
      <w:r>
        <w:rPr>
          <w:rFonts w:ascii="Arial" w:hAnsi="Arial"/>
          <w:i/>
          <w:color w:val="64748B"/>
          <w:sz w:val="17"/>
        </w:rPr>
        <w:t>Figure 4.6: BuildSphere AI — Context Level Data Flow Diagram (Level 0 DFD)</w:t>
      </w:r>
    </w:p>
    <w:p>
      <w:pPr>
        <w:spacing w:after="120" w:line="276" w:lineRule="auto"/>
      </w:pPr>
      <w:r>
        <w:rPr>
          <w:rFonts w:ascii="Arial" w:hAnsi="Arial"/>
          <w:i w:val="0"/>
          <w:color w:val="334155"/>
          <w:sz w:val="20"/>
        </w:rPr>
        <w:t>■ First Level DFD (Level 1 Decomposed):</w:t>
      </w:r>
    </w:p>
    <w:p>
      <w:pPr>
        <w:spacing w:before="160" w:after="80"/>
        <w:jc w:val="center"/>
      </w:pPr>
    </w:p>
    <w:p>
      <w:r>
        <w:drawing>
          <wp:inline xmlns:a="http://schemas.openxmlformats.org/drawingml/2006/main" xmlns:pic="http://schemas.openxmlformats.org/drawingml/2006/picture">
            <wp:extent cx="5669280" cy="3875924"/>
            <wp:docPr id="7" name="Picture 7"/>
            <wp:cNvGraphicFramePr>
              <a:graphicFrameLocks noChangeAspect="1"/>
            </wp:cNvGraphicFramePr>
            <a:graphic>
              <a:graphicData uri="http://schemas.openxmlformats.org/drawingml/2006/picture">
                <pic:pic>
                  <pic:nvPicPr>
                    <pic:cNvPr id="0" name="dfd_level_1.png"/>
                    <pic:cNvPicPr/>
                  </pic:nvPicPr>
                  <pic:blipFill>
                    <a:blip r:embed="rId17"/>
                    <a:stretch>
                      <a:fillRect/>
                    </a:stretch>
                  </pic:blipFill>
                  <pic:spPr>
                    <a:xfrm>
                      <a:off x="0" y="0"/>
                      <a:ext cx="5669280" cy="3875924"/>
                    </a:xfrm>
                    <a:prstGeom prst="rect"/>
                  </pic:spPr>
                </pic:pic>
              </a:graphicData>
            </a:graphic>
          </wp:inline>
        </w:drawing>
      </w:r>
    </w:p>
    <w:p>
      <w:pPr>
        <w:spacing w:after="200"/>
        <w:jc w:val="center"/>
      </w:pPr>
      <w:r>
        <w:rPr>
          <w:rFonts w:ascii="Arial" w:hAnsi="Arial"/>
          <w:i/>
          <w:color w:val="64748B"/>
          <w:sz w:val="17"/>
        </w:rPr>
        <w:t>Figure 4.7: BuildSphere AI — Level 1 Data Flow Diagram (Processes &amp; Stores)</w:t>
      </w:r>
    </w:p>
    <w:p>
      <w:r>
        <w:br w:type="page"/>
      </w:r>
    </w:p>
    <w:p>
      <w:pPr>
        <w:spacing w:before="4400"/>
      </w:pPr>
    </w:p>
    <w:p>
      <w:pPr>
        <w:spacing w:after="4000"/>
        <w:jc w:val="center"/>
      </w:pPr>
      <w:r>
        <w:rPr>
          <w:rFonts w:ascii="Times New Roman" w:hAnsi="Times New Roman"/>
          <w:b/>
          <w:color w:val="0F172A"/>
          <w:sz w:val="64"/>
        </w:rPr>
        <w:t>SYSTEM DESIGN</w:t>
      </w:r>
    </w:p>
    <w:p>
      <w:r>
        <w:br w:type="page"/>
      </w:r>
    </w:p>
    <w:p>
      <w:pPr>
        <w:keepNext/>
        <w:spacing w:before="280" w:after="160"/>
      </w:pPr>
      <w:r>
        <w:rPr>
          <w:rFonts w:ascii="Arial" w:hAnsi="Arial"/>
          <w:b/>
          <w:color w:val="0F172A"/>
          <w:sz w:val="28"/>
        </w:rPr>
        <w:t xml:space="preserve">❖ </w:t>
      </w:r>
      <w:r>
        <w:rPr>
          <w:rFonts w:ascii="Arial" w:hAnsi="Arial"/>
          <w:b/>
          <w:color w:val="0F172A"/>
          <w:sz w:val="28"/>
          <w:u w:val="single"/>
        </w:rPr>
        <w:t>System Design</w:t>
      </w:r>
    </w:p>
    <w:p>
      <w:pPr>
        <w:keepNext/>
        <w:spacing w:before="240" w:after="120"/>
      </w:pPr>
      <w:r>
        <w:rPr>
          <w:rFonts w:ascii="Arial" w:hAnsi="Arial"/>
          <w:b/>
          <w:color w:val="0F172A"/>
          <w:sz w:val="24"/>
        </w:rPr>
        <w:t xml:space="preserve">  1. </w:t>
      </w:r>
      <w:r>
        <w:rPr>
          <w:rFonts w:ascii="Arial" w:hAnsi="Arial"/>
          <w:b/>
          <w:color w:val="0F172A"/>
          <w:sz w:val="24"/>
        </w:rPr>
        <w:t>Entity-Relationship (ER) Diagram</w:t>
      </w:r>
    </w:p>
    <w:p>
      <w:pPr>
        <w:spacing w:after="120" w:line="276" w:lineRule="auto"/>
      </w:pPr>
      <w:r>
        <w:rPr>
          <w:rFonts w:ascii="Arial" w:hAnsi="Arial"/>
          <w:i w:val="0"/>
          <w:color w:val="334155"/>
          <w:sz w:val="20"/>
        </w:rPr>
        <w:t>The Entity-Relationship Diagram maps the complete PostgreSQL relational schema, showing primary keys (PK), foreign keys (FK), and 1:N cardinality:</w:t>
      </w:r>
    </w:p>
    <w:p>
      <w:pPr>
        <w:spacing w:before="160" w:after="80"/>
        <w:jc w:val="center"/>
      </w:pPr>
    </w:p>
    <w:p>
      <w:r>
        <w:drawing>
          <wp:inline xmlns:a="http://schemas.openxmlformats.org/drawingml/2006/main" xmlns:pic="http://schemas.openxmlformats.org/drawingml/2006/picture">
            <wp:extent cx="5669280" cy="4244826"/>
            <wp:docPr id="8" name="Picture 8"/>
            <wp:cNvGraphicFramePr>
              <a:graphicFrameLocks noChangeAspect="1"/>
            </wp:cNvGraphicFramePr>
            <a:graphic>
              <a:graphicData uri="http://schemas.openxmlformats.org/drawingml/2006/picture">
                <pic:pic>
                  <pic:nvPicPr>
                    <pic:cNvPr id="0" name="er_diagram.png"/>
                    <pic:cNvPicPr/>
                  </pic:nvPicPr>
                  <pic:blipFill>
                    <a:blip r:embed="rId18"/>
                    <a:stretch>
                      <a:fillRect/>
                    </a:stretch>
                  </pic:blipFill>
                  <pic:spPr>
                    <a:xfrm>
                      <a:off x="0" y="0"/>
                      <a:ext cx="5669280" cy="4244826"/>
                    </a:xfrm>
                    <a:prstGeom prst="rect"/>
                  </pic:spPr>
                </pic:pic>
              </a:graphicData>
            </a:graphic>
          </wp:inline>
        </w:drawing>
      </w:r>
    </w:p>
    <w:p>
      <w:pPr>
        <w:spacing w:after="200"/>
        <w:jc w:val="center"/>
      </w:pPr>
      <w:r>
        <w:rPr>
          <w:rFonts w:ascii="Arial" w:hAnsi="Arial"/>
          <w:i/>
          <w:color w:val="64748B"/>
          <w:sz w:val="17"/>
        </w:rPr>
        <w:t>Figure 5.1: BuildSphere AI — Entity-Relationship Diagram (ERD)</w:t>
      </w:r>
    </w:p>
    <w:p>
      <w:pPr>
        <w:keepNext/>
        <w:spacing w:before="240" w:after="120"/>
      </w:pPr>
      <w:r>
        <w:rPr>
          <w:rFonts w:ascii="Arial" w:hAnsi="Arial"/>
          <w:b/>
          <w:color w:val="0F172A"/>
          <w:sz w:val="24"/>
        </w:rPr>
        <w:t xml:space="preserve">  2. </w:t>
      </w:r>
      <w:r>
        <w:rPr>
          <w:rFonts w:ascii="Arial" w:hAnsi="Arial"/>
          <w:b/>
          <w:color w:val="0F172A"/>
          <w:sz w:val="24"/>
        </w:rPr>
        <w:t>Data Dictionary (All 18 Models)</w:t>
      </w:r>
    </w:p>
    <w:p>
      <w:pPr>
        <w:spacing w:after="120" w:line="276" w:lineRule="auto"/>
      </w:pPr>
      <w:r>
        <w:rPr>
          <w:rFonts w:ascii="Arial" w:hAnsi="Arial"/>
          <w:b/>
          <w:color w:val="0F172A"/>
          <w:sz w:val="20"/>
        </w:rPr>
        <w:t xml:space="preserve">✦ </w:t>
      </w:r>
      <w:r>
        <w:rPr>
          <w:rFonts w:ascii="Arial" w:hAnsi="Arial"/>
          <w:i w:val="0"/>
          <w:color w:val="334155"/>
          <w:sz w:val="20"/>
        </w:rPr>
        <w:t>Table: accounts_organization (Organization)</w:t>
      </w:r>
    </w:p>
    <w:p>
      <w:pPr>
        <w:spacing w:after="120" w:line="276" w:lineRule="auto"/>
      </w:pPr>
      <w:r>
        <w:rPr>
          <w:rFonts w:ascii="Arial" w:hAnsi="Arial"/>
          <w:i/>
          <w:color w:val="334155"/>
          <w:sz w:val="20"/>
        </w:rPr>
        <w:t>Tenant master entity enforcing schema/data isolation.</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Field Name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Data Type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Constraint</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Null / Blank</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Description</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id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BigAutoField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PRIMARY KEY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Surrogate tenant identifier</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name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VarChar(200)</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NOT NULL</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Legal registered name of construction firm</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slug</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SlugField(100)</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UNIQUE</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URL-safe tenant identifier</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schema_name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VarChar(63)</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UNIQUE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PostgreSQL database schema isolation key</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tax_identifier</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VarChar(50)</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OPTIONAL</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Yes / Yes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GSTIN / PAN tax registration number</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currency</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VarChar(3)</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DEFAULT 'INR'</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Operating financial currency code</w:t>
            </w:r>
          </w:p>
        </w:tc>
      </w:tr>
    </w:tbl>
    <w:p>
      <w:pPr>
        <w:spacing w:after="80"/>
      </w:pPr>
    </w:p>
    <w:p>
      <w:pPr>
        <w:spacing w:after="120" w:line="276" w:lineRule="auto"/>
      </w:pPr>
      <w:r>
        <w:rPr>
          <w:rFonts w:ascii="Arial" w:hAnsi="Arial"/>
          <w:b/>
          <w:color w:val="0F172A"/>
          <w:sz w:val="20"/>
        </w:rPr>
        <w:t xml:space="preserve">✦ </w:t>
      </w:r>
      <w:r>
        <w:rPr>
          <w:rFonts w:ascii="Arial" w:hAnsi="Arial"/>
          <w:i w:val="0"/>
          <w:color w:val="334155"/>
          <w:sz w:val="20"/>
        </w:rPr>
        <w:t>Table: accounts_user (User)</w:t>
      </w:r>
    </w:p>
    <w:p>
      <w:pPr>
        <w:spacing w:after="120" w:line="276" w:lineRule="auto"/>
      </w:pPr>
      <w:r>
        <w:rPr>
          <w:rFonts w:ascii="Arial" w:hAnsi="Arial"/>
          <w:i/>
          <w:color w:val="334155"/>
          <w:sz w:val="20"/>
        </w:rPr>
        <w:t>System users across 5 organizational roles.</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Field Name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Data Type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Constraint</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Null / Blank</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Description</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id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BigAutoField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PRIMARY KEY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User primary key</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organization_id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References accounts_organization.id</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email</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EmailField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UNIQUE</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User login email address</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role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VarChar(20)</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CHOICES</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ORG_ADMIN | PROJECT_MANAGER | ACCOUNTANT | SITE_ENGINEER | SUPERVISOR</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first_name</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VarChar(150)</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TEXT</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Yes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User given name</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last_name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VarChar(150)</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TEXT</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Yes</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User family name</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phone</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VarChar(20)</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OPTIONAL</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Yes / Yes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Contact mobile telephone number</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is_active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BooleanField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DEFAULT True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Account operational status flag</w:t>
            </w:r>
          </w:p>
        </w:tc>
      </w:tr>
    </w:tbl>
    <w:p>
      <w:pPr>
        <w:spacing w:after="80"/>
      </w:pPr>
    </w:p>
    <w:p>
      <w:pPr>
        <w:spacing w:after="120" w:line="276" w:lineRule="auto"/>
      </w:pPr>
      <w:r>
        <w:rPr>
          <w:rFonts w:ascii="Arial" w:hAnsi="Arial"/>
          <w:b/>
          <w:color w:val="0F172A"/>
          <w:sz w:val="20"/>
        </w:rPr>
        <w:t xml:space="preserve">✦ </w:t>
      </w:r>
      <w:r>
        <w:rPr>
          <w:rFonts w:ascii="Arial" w:hAnsi="Arial"/>
          <w:i w:val="0"/>
          <w:color w:val="334155"/>
          <w:sz w:val="20"/>
        </w:rPr>
        <w:t>Table: projects_project (Project)</w:t>
      </w:r>
    </w:p>
    <w:p>
      <w:pPr>
        <w:spacing w:after="120" w:line="276" w:lineRule="auto"/>
      </w:pPr>
      <w:r>
        <w:rPr>
          <w:rFonts w:ascii="Arial" w:hAnsi="Arial"/>
          <w:i/>
          <w:color w:val="334155"/>
          <w:sz w:val="20"/>
        </w:rPr>
        <w:t>Construction job sites and development contracts.</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Field Name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Data Type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Constraint</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Null / Blank</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Description</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id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BigAutoField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PRIMARY KEY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Project primary key identifier</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organization_id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References accounts_organization.id</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name</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VarChar(200)</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NOT NULL</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Name of construction site / project</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code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VarChar(50)</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NOT NULL</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Internal job code (e.g. PRJ-2026-01)</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status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VarChar(20)</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CHOICES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PLANNING | ACTIVE | ON_HOLD | COMPLETED | ARCHIVED</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estimated_budget</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DecimalField(14,2)</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DEFAULT 0.00</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Total approved construction budget</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actual_spend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DecimalField(14,2)</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DEFAULT 0.00</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Real-time aggregated site spend</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latitude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DecimalField(9,6)</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OPTIONAL</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Yes / Yes</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Center GPS latitude coordinate</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longitude</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DecimalField(9,6)</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OPTIONAL</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Yes / Yes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Center GPS longitude coordinate</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geofence_radius</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IntegerField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DEFAULT 150</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Allowed check-in radius in meters</w:t>
            </w:r>
          </w:p>
        </w:tc>
      </w:tr>
    </w:tbl>
    <w:p>
      <w:pPr>
        <w:spacing w:after="80"/>
      </w:pPr>
    </w:p>
    <w:p>
      <w:pPr>
        <w:spacing w:after="120" w:line="276" w:lineRule="auto"/>
      </w:pPr>
      <w:r>
        <w:rPr>
          <w:rFonts w:ascii="Arial" w:hAnsi="Arial"/>
          <w:b/>
          <w:color w:val="0F172A"/>
          <w:sz w:val="20"/>
        </w:rPr>
        <w:t xml:space="preserve">✦ </w:t>
      </w:r>
      <w:r>
        <w:rPr>
          <w:rFonts w:ascii="Arial" w:hAnsi="Arial"/>
          <w:i w:val="0"/>
          <w:color w:val="334155"/>
          <w:sz w:val="20"/>
        </w:rPr>
        <w:t>Table: workforce_employee (Employee)</w:t>
      </w:r>
    </w:p>
    <w:p>
      <w:pPr>
        <w:spacing w:after="120" w:line="276" w:lineRule="auto"/>
      </w:pPr>
      <w:r>
        <w:rPr>
          <w:rFonts w:ascii="Arial" w:hAnsi="Arial"/>
          <w:i/>
          <w:color w:val="334155"/>
          <w:sz w:val="20"/>
        </w:rPr>
        <w:t>Laborers, karigars, and field staff roster.</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Field Name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Data Type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Constraint</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Null / Blank</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Description</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id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BigAutoField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PRIMARY KEY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Employee surrogate primary key</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organization_id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References accounts_organization.id</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full_name</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VarChar(150)</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NOT NULL</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Full legal name of worker</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employee_code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VarChar(50)</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UNIQUE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Unique badge / biometric ID</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trade</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VarChar(50)</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CHOICES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Mason, Carpenter, Electrician, Plumber, Welder, Helper</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daily_rate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DecimalField(10,2)</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NOT NULL</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Standard 8-hour shift daily wage (₹)</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ot_hourly_rate</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DecimalField(10,2)</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NOT NULL</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Overtime hourly rate (₹/hr)</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bank_account_number</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VarChar(50)</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OPTIONAL</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Yes / Yes</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Bank account for direct salary deposit</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bank_ifsc</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VarChar(20)</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OPTIONAL</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Yes / Yes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Bank IFSC routing branch code</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is_active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BooleanField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DEFAULT True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Employment active roster status</w:t>
            </w:r>
          </w:p>
        </w:tc>
      </w:tr>
    </w:tbl>
    <w:p>
      <w:pPr>
        <w:spacing w:after="80"/>
      </w:pPr>
    </w:p>
    <w:p>
      <w:pPr>
        <w:spacing w:after="120" w:line="276" w:lineRule="auto"/>
      </w:pPr>
      <w:r>
        <w:rPr>
          <w:rFonts w:ascii="Arial" w:hAnsi="Arial"/>
          <w:b/>
          <w:color w:val="0F172A"/>
          <w:sz w:val="20"/>
        </w:rPr>
        <w:t xml:space="preserve">✦ </w:t>
      </w:r>
      <w:r>
        <w:rPr>
          <w:rFonts w:ascii="Arial" w:hAnsi="Arial"/>
          <w:i w:val="0"/>
          <w:color w:val="334155"/>
          <w:sz w:val="20"/>
        </w:rPr>
        <w:t>Table: attendance_attendance (Attendance)</w:t>
      </w:r>
    </w:p>
    <w:p>
      <w:pPr>
        <w:spacing w:after="120" w:line="276" w:lineRule="auto"/>
      </w:pPr>
      <w:r>
        <w:rPr>
          <w:rFonts w:ascii="Arial" w:hAnsi="Arial"/>
          <w:i/>
          <w:color w:val="334155"/>
          <w:sz w:val="20"/>
        </w:rPr>
        <w:t>Daily attendance records, GPS verification, and overtime.</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Field Name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Data Type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Constraint</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Null / Blank</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Description</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id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BigAutoField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PRIMARY KEY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Attendance record primary key</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employee_id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References workforce_employee.id</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project_id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References projects_project.id</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date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DateField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INDEXED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Shift attendance date</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shift_type</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VarChar(10)</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CHOICES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DAY | NIGHT | SPLIT</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status</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VarChar(10)</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CHOICES</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PRESENT | HALF_DAY | ABSENT</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ot_hours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DecimalField(4,2)</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DEFAULT 0.00</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Approved overtime hours worked</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is_geofence_verified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BooleanField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DEFAULT False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GPS coordinates validated within radius</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is_locked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BooleanField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DEFAULT False</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Approval lock preventing alteration</w:t>
            </w:r>
          </w:p>
        </w:tc>
      </w:tr>
    </w:tbl>
    <w:p>
      <w:pPr>
        <w:spacing w:after="80"/>
      </w:pPr>
    </w:p>
    <w:p>
      <w:pPr>
        <w:spacing w:after="120" w:line="276" w:lineRule="auto"/>
      </w:pPr>
      <w:r>
        <w:rPr>
          <w:rFonts w:ascii="Arial" w:hAnsi="Arial"/>
          <w:b/>
          <w:color w:val="0F172A"/>
          <w:sz w:val="20"/>
        </w:rPr>
        <w:t xml:space="preserve">✦ </w:t>
      </w:r>
      <w:r>
        <w:rPr>
          <w:rFonts w:ascii="Arial" w:hAnsi="Arial"/>
          <w:i w:val="0"/>
          <w:color w:val="334155"/>
          <w:sz w:val="20"/>
        </w:rPr>
        <w:t>Table: progress_dailyprogressreport (DailyProgressReport)</w:t>
      </w:r>
    </w:p>
    <w:p>
      <w:pPr>
        <w:spacing w:after="120" w:line="276" w:lineRule="auto"/>
      </w:pPr>
      <w:r>
        <w:rPr>
          <w:rFonts w:ascii="Arial" w:hAnsi="Arial"/>
          <w:i/>
          <w:color w:val="334155"/>
          <w:sz w:val="20"/>
        </w:rPr>
        <w:t>Daily Progress Reports (DPR) capturing milestones.</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Field Name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Data Type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Constraint</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Null / Blank</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Description</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id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BigAutoField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PRIMARY KEY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DPR unique primary key</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project_id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References projects_project.id</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submitted_by_id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References accounts_user.id (Submitter)</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report_date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DateField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INDEXED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Work shift reporting date</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weather</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VarChar(50)</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NOT NULL</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Site weather conditions (e.g. Sunny 32°C)</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summary</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TextField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NOT NULL</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Executive summary of completed tasks</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status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VarChar(15)</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CHOICES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SUBMITTED | VERIFIED | REJECTED</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verified_by_id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Yes / Yes</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References accounts_user.id (PM)</w:t>
            </w:r>
          </w:p>
        </w:tc>
      </w:tr>
    </w:tbl>
    <w:p>
      <w:pPr>
        <w:spacing w:after="80"/>
      </w:pPr>
    </w:p>
    <w:p>
      <w:pPr>
        <w:spacing w:after="120" w:line="276" w:lineRule="auto"/>
      </w:pPr>
      <w:r>
        <w:rPr>
          <w:rFonts w:ascii="Arial" w:hAnsi="Arial"/>
          <w:b/>
          <w:color w:val="0F172A"/>
          <w:sz w:val="20"/>
        </w:rPr>
        <w:t xml:space="preserve">✦ </w:t>
      </w:r>
      <w:r>
        <w:rPr>
          <w:rFonts w:ascii="Arial" w:hAnsi="Arial"/>
          <w:i w:val="0"/>
          <w:color w:val="334155"/>
          <w:sz w:val="20"/>
        </w:rPr>
        <w:t>Table: expenses_expense (Expense)</w:t>
      </w:r>
    </w:p>
    <w:p>
      <w:pPr>
        <w:spacing w:after="120" w:line="276" w:lineRule="auto"/>
      </w:pPr>
      <w:r>
        <w:rPr>
          <w:rFonts w:ascii="Arial" w:hAnsi="Arial"/>
          <w:i/>
          <w:color w:val="334155"/>
          <w:sz w:val="20"/>
        </w:rPr>
        <w:t>Site purchases, material bills, and equipment running costs.</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Field Name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Data Type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Constraint</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Null / Blank</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Description</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id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BigAutoField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PRIMARY KEY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Expense primary key identifier</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project_id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References projects_project.id</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vendor_id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Yes / Yes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References expenses_vendor.id</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category</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VarChar(20)</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CHOICES</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MATERIAL | FUEL | TRANSPORT | UTILITY | MISC</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amount</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DecimalField(12,2)</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NOT NULL</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Total transaction amount (₹)</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payment_mode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VarChar(10)</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CHOICES</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CASH | BANK_TRANSFER | CREDIT | UPI</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status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VarChar(20)</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CHOICES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PENDING_APPROVAL | APPROVED | REJECTED | CANCELLED</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journal_entry_id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Yes / Yes</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References ledger_journalentry.id</w:t>
            </w:r>
          </w:p>
        </w:tc>
      </w:tr>
    </w:tbl>
    <w:p>
      <w:pPr>
        <w:spacing w:after="80"/>
      </w:pPr>
    </w:p>
    <w:p>
      <w:pPr>
        <w:spacing w:after="120" w:line="276" w:lineRule="auto"/>
      </w:pPr>
      <w:r>
        <w:rPr>
          <w:rFonts w:ascii="Arial" w:hAnsi="Arial"/>
          <w:b/>
          <w:color w:val="0F172A"/>
          <w:sz w:val="20"/>
        </w:rPr>
        <w:t xml:space="preserve">✦ </w:t>
      </w:r>
      <w:r>
        <w:rPr>
          <w:rFonts w:ascii="Arial" w:hAnsi="Arial"/>
          <w:i w:val="0"/>
          <w:color w:val="334155"/>
          <w:sz w:val="20"/>
        </w:rPr>
        <w:t>Table: payroll_advance (Advance)</w:t>
      </w:r>
    </w:p>
    <w:p>
      <w:pPr>
        <w:spacing w:after="120" w:line="276" w:lineRule="auto"/>
      </w:pPr>
      <w:r>
        <w:rPr>
          <w:rFonts w:ascii="Arial" w:hAnsi="Arial"/>
          <w:i/>
          <w:color w:val="334155"/>
          <w:sz w:val="20"/>
        </w:rPr>
        <w:t>Worker cash advances (Upad) and FIFO recovery.</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Field Name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Data Type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Constraint</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Null / Blank</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Description</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id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BigAutoField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PRIMARY KEY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Advance unique primary key</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employee_id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References workforce_employee.id</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project_id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References projects_project.id</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amount</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DecimalField(10,2)</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NOT NULL</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Cash advance principal amount (₹)</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advance_date</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DateField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NOT NULL</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Date cash advance disbursed</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adjusted_amount</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DecimalField(10,2)</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DEFAULT 0.00</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Accumulated recovered amount (₹)</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status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VarChar(15)</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CHOICES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ACTIVE | FULLY_RECOVERED</w:t>
            </w:r>
          </w:p>
        </w:tc>
      </w:tr>
    </w:tbl>
    <w:p>
      <w:pPr>
        <w:spacing w:after="80"/>
      </w:pPr>
    </w:p>
    <w:p>
      <w:pPr>
        <w:spacing w:after="120" w:line="276" w:lineRule="auto"/>
      </w:pPr>
      <w:r>
        <w:rPr>
          <w:rFonts w:ascii="Arial" w:hAnsi="Arial"/>
          <w:b/>
          <w:color w:val="0F172A"/>
          <w:sz w:val="20"/>
        </w:rPr>
        <w:t xml:space="preserve">✦ </w:t>
      </w:r>
      <w:r>
        <w:rPr>
          <w:rFonts w:ascii="Arial" w:hAnsi="Arial"/>
          <w:i w:val="0"/>
          <w:color w:val="334155"/>
          <w:sz w:val="20"/>
        </w:rPr>
        <w:t>Table: payroll_payrollrun (PayrollRun)</w:t>
      </w:r>
    </w:p>
    <w:p>
      <w:pPr>
        <w:spacing w:after="120" w:line="276" w:lineRule="auto"/>
      </w:pPr>
      <w:r>
        <w:rPr>
          <w:rFonts w:ascii="Arial" w:hAnsi="Arial"/>
          <w:i/>
          <w:color w:val="334155"/>
          <w:sz w:val="20"/>
        </w:rPr>
        <w:t>Periodic weekly wage calculation runs per project.</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Field Name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Data Type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Constraint</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Null / Blank</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Description</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id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BigAutoField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PRIMARY KEY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Payroll run primary key</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project_id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References projects_project.id</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period_start</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DateField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NOT NULL</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Payroll cycle start date</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period_end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DateField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NOT NULL</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Payroll cycle end date</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status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VarChar(15)</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CHOICES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DRAFT | APPROVED | CANCELLED</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total_gross</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DecimalField(12,2)</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DEFAULT 0.00</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Aggregated gross worker wages</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total_advances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DecimalField(12,2)</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DEFAULT 0.00</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Total FIFO advances deducted</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total_net</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DecimalField(12,2)</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DEFAULT 0.00</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Net payable wage liability</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journal_entry_id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Yes / Yes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References ledger_journalentry.id</w:t>
            </w:r>
          </w:p>
        </w:tc>
      </w:tr>
    </w:tbl>
    <w:p>
      <w:pPr>
        <w:spacing w:after="80"/>
      </w:pPr>
    </w:p>
    <w:p>
      <w:pPr>
        <w:spacing w:after="120" w:line="276" w:lineRule="auto"/>
      </w:pPr>
      <w:r>
        <w:rPr>
          <w:rFonts w:ascii="Arial" w:hAnsi="Arial"/>
          <w:b/>
          <w:color w:val="0F172A"/>
          <w:sz w:val="20"/>
        </w:rPr>
        <w:t xml:space="preserve">✦ </w:t>
      </w:r>
      <w:r>
        <w:rPr>
          <w:rFonts w:ascii="Arial" w:hAnsi="Arial"/>
          <w:i w:val="0"/>
          <w:color w:val="334155"/>
          <w:sz w:val="20"/>
        </w:rPr>
        <w:t>Table: payroll_payrollvoucher (PayrollVoucher)</w:t>
      </w:r>
    </w:p>
    <w:p>
      <w:pPr>
        <w:spacing w:after="120" w:line="276" w:lineRule="auto"/>
      </w:pPr>
      <w:r>
        <w:rPr>
          <w:rFonts w:ascii="Arial" w:hAnsi="Arial"/>
          <w:i/>
          <w:color w:val="334155"/>
          <w:sz w:val="20"/>
        </w:rPr>
        <w:t>Itemized worker payslips and deduction vouchers.</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Field Name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Data Type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Constraint</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Null / Blank</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Description</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id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BigAutoField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PRIMARY KEY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Voucher primary key</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run_id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References payroll_payrollrun.id</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employee_id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References workforce_employee.id</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voucher_number</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VarChar(50)</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UNIQUE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Unique invoice number (e.g. VOU-9A2E1F)</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days_present</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PositiveInteger</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DEFAULT 0</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Full shift attendance days</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half_days</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PositiveInteger</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DEFAULT 0</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Half shift attendance days</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gross_pay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DecimalField(10,2)</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NOT NULL</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Basic pay + Overtime + Allowances</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advances_deducted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DecimalField(10,2)</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DEFAULT 0.00</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FIFO cash advance deducted</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net_pay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DecimalField(10,2)</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NOT NULL</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Gross pay minus advances deducted</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status</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VarChar(15)</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CHOICES</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DRAFT | APPROVED | PAID</w:t>
            </w:r>
          </w:p>
        </w:tc>
      </w:tr>
    </w:tbl>
    <w:p>
      <w:pPr>
        <w:spacing w:after="80"/>
      </w:pPr>
    </w:p>
    <w:p>
      <w:pPr>
        <w:spacing w:after="120" w:line="276" w:lineRule="auto"/>
      </w:pPr>
      <w:r>
        <w:rPr>
          <w:rFonts w:ascii="Arial" w:hAnsi="Arial"/>
          <w:b/>
          <w:color w:val="0F172A"/>
          <w:sz w:val="20"/>
        </w:rPr>
        <w:t xml:space="preserve">✦ </w:t>
      </w:r>
      <w:r>
        <w:rPr>
          <w:rFonts w:ascii="Arial" w:hAnsi="Arial"/>
          <w:i w:val="0"/>
          <w:color w:val="334155"/>
          <w:sz w:val="20"/>
        </w:rPr>
        <w:t>Table: ledger_journalentry (JournalEntry)</w:t>
      </w:r>
    </w:p>
    <w:p>
      <w:pPr>
        <w:spacing w:after="120" w:line="276" w:lineRule="auto"/>
      </w:pPr>
      <w:r>
        <w:rPr>
          <w:rFonts w:ascii="Arial" w:hAnsi="Arial"/>
          <w:i/>
          <w:color w:val="334155"/>
          <w:sz w:val="20"/>
        </w:rPr>
        <w:t>Immutable double-entry financial journal.</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Field Name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Data Type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Constraint</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Null / Blank</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Description</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id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BigAutoField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PRIMARY KEY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Journal entry primary key</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organization_id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References accounts_organization.id</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entry_number</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VarChar(50)</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UNIQUE</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Chronological entry ID (e.g. JRN-2026-0042)</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date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DateField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INDEXED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Posting transaction date</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description</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TextField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NOT NULL</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Accounting narration of transaction</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reference_type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VarChar(50)</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NOT NULL</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PAYROLL | EXPENSE | VENDOR_PAYMENT | MANUAL</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is_posted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BooleanField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DEFAULT True</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Ledger post lock flag</w:t>
            </w:r>
          </w:p>
        </w:tc>
      </w:tr>
    </w:tbl>
    <w:p>
      <w:pPr>
        <w:spacing w:after="80"/>
      </w:pPr>
    </w:p>
    <w:p>
      <w:pPr>
        <w:spacing w:after="120" w:line="276" w:lineRule="auto"/>
      </w:pPr>
      <w:r>
        <w:rPr>
          <w:rFonts w:ascii="Arial" w:hAnsi="Arial"/>
          <w:b/>
          <w:color w:val="0F172A"/>
          <w:sz w:val="20"/>
        </w:rPr>
        <w:t xml:space="preserve">✦ </w:t>
      </w:r>
      <w:r>
        <w:rPr>
          <w:rFonts w:ascii="Arial" w:hAnsi="Arial"/>
          <w:i w:val="0"/>
          <w:color w:val="334155"/>
          <w:sz w:val="20"/>
        </w:rPr>
        <w:t>Table: ledger_journalline (JournalLine)</w:t>
      </w:r>
    </w:p>
    <w:p>
      <w:pPr>
        <w:spacing w:after="120" w:line="276" w:lineRule="auto"/>
      </w:pPr>
      <w:r>
        <w:rPr>
          <w:rFonts w:ascii="Arial" w:hAnsi="Arial"/>
          <w:i/>
          <w:color w:val="334155"/>
          <w:sz w:val="20"/>
        </w:rPr>
        <w:t>Debit and credit split lines enforcing balance equality.</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Field Name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Data Type</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Constraint</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Null / Blank</w:t>
            </w:r>
          </w:p>
        </w:tc>
        <w:tc>
          <w:tcPr>
            <w:tcW w:type="dxa" w:w="1958"/>
            <w:vAlign w:val="center"/>
            <w:tcMar>
              <w:top w:w="100" w:type="dxa"/>
              <w:bottom w:w="100" w:type="dxa"/>
              <w:left w:w="130" w:type="dxa"/>
              <w:right w:w="130" w:type="dxa"/>
            </w:tcMar>
            <w:shd w:fill="0F766E"/>
          </w:tcPr>
          <w:p>
            <w:pPr>
              <w:spacing w:after="40" w:before="40"/>
            </w:pPr>
            <w:r>
              <w:rPr>
                <w:rFonts w:ascii="Arial" w:hAnsi="Arial"/>
                <w:b/>
                <w:color w:val="FFFFFF"/>
                <w:sz w:val="19"/>
              </w:rPr>
              <w:t>Description</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id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BigAutoField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PRIMARY KEY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Journal line primary key</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entry_id</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References ledger_journalentry.id</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account_id</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BigInt</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FOREIGN KEY</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References ledger_account.id</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side</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VarChar(2)</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CHOICES</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DR (Debit) | CR (Credit)</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amount</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DecimalField(12,2)</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NOT NULL</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No / No</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Monetary amount for the line (₹)</w:t>
            </w:r>
          </w:p>
        </w:tc>
      </w:tr>
    </w:tbl>
    <w:p>
      <w:pPr>
        <w:spacing w:after="80"/>
      </w:pPr>
    </w:p>
    <w:p>
      <w:pPr>
        <w:keepNext/>
        <w:spacing w:before="240" w:after="120"/>
      </w:pPr>
      <w:r>
        <w:rPr>
          <w:rFonts w:ascii="Arial" w:hAnsi="Arial"/>
          <w:b/>
          <w:color w:val="0F172A"/>
          <w:sz w:val="24"/>
        </w:rPr>
        <w:t xml:space="preserve">  3. </w:t>
      </w:r>
      <w:r>
        <w:rPr>
          <w:rFonts w:ascii="Arial" w:hAnsi="Arial"/>
          <w:b/>
          <w:color w:val="0F172A"/>
          <w:sz w:val="24"/>
        </w:rPr>
        <w:t>Screen Layouts &amp; Design System Tokens</w:t>
      </w:r>
    </w:p>
    <w:p>
      <w:pPr>
        <w:spacing w:after="120" w:line="276" w:lineRule="auto"/>
      </w:pPr>
      <w:r>
        <w:rPr>
          <w:rFonts w:ascii="Arial" w:hAnsi="Arial"/>
          <w:i w:val="0"/>
          <w:color w:val="334155"/>
          <w:sz w:val="20"/>
        </w:rPr>
        <w:t>The platform features 10 specialized views engineered with responsive layouts, accessible typography, and dark/light mode themes:</w:t>
      </w:r>
    </w:p>
    <w:p>
      <w:pPr>
        <w:pStyle w:val="ListBullet"/>
        <w:spacing w:after="80" w:line="276" w:lineRule="auto"/>
      </w:pPr>
      <w:r>
        <w:rPr>
          <w:rFonts w:ascii="Arial" w:hAnsi="Arial"/>
          <w:b/>
          <w:color w:val="0F172A"/>
          <w:sz w:val="20"/>
        </w:rPr>
        <w:t xml:space="preserve">1. Dashboard View: </w:t>
      </w:r>
      <w:r>
        <w:rPr>
          <w:rFonts w:ascii="Arial" w:hAnsi="Arial"/>
          <w:color w:val="334155"/>
          <w:sz w:val="20"/>
        </w:rPr>
        <w:t>Displays executive KPI cards (Active Workers, Present Today, Spend vs Budget Utilization), progress bars, and recent audit activity logs.</w:t>
      </w:r>
    </w:p>
    <w:p>
      <w:pPr>
        <w:pStyle w:val="ListBullet"/>
        <w:spacing w:after="80" w:line="276" w:lineRule="auto"/>
      </w:pPr>
      <w:r>
        <w:rPr>
          <w:rFonts w:ascii="Arial" w:hAnsi="Arial"/>
          <w:b/>
          <w:color w:val="0F172A"/>
          <w:sz w:val="20"/>
        </w:rPr>
        <w:t xml:space="preserve">2. Projects View: </w:t>
      </w:r>
      <w:r>
        <w:rPr>
          <w:rFonts w:ascii="Arial" w:hAnsi="Arial"/>
          <w:color w:val="334155"/>
          <w:sz w:val="20"/>
        </w:rPr>
        <w:t>Interactive grid of active projects, GPS coordinates, budget category cards, and project configuration modals.</w:t>
      </w:r>
    </w:p>
    <w:p>
      <w:pPr>
        <w:pStyle w:val="ListBullet"/>
        <w:spacing w:after="80" w:line="276" w:lineRule="auto"/>
      </w:pPr>
      <w:r>
        <w:rPr>
          <w:rFonts w:ascii="Arial" w:hAnsi="Arial"/>
          <w:b/>
          <w:color w:val="0F172A"/>
          <w:sz w:val="20"/>
        </w:rPr>
        <w:t xml:space="preserve">3. Workforce View: </w:t>
      </w:r>
      <w:r>
        <w:rPr>
          <w:rFonts w:ascii="Arial" w:hAnsi="Arial"/>
          <w:color w:val="334155"/>
          <w:sz w:val="20"/>
        </w:rPr>
        <w:t>Roster cards with trade filters, wage settlement payment modals, and gang leader management.</w:t>
      </w:r>
    </w:p>
    <w:p>
      <w:pPr>
        <w:pStyle w:val="ListBullet"/>
        <w:spacing w:after="80" w:line="276" w:lineRule="auto"/>
      </w:pPr>
      <w:r>
        <w:rPr>
          <w:rFonts w:ascii="Arial" w:hAnsi="Arial"/>
          <w:b/>
          <w:color w:val="0F172A"/>
          <w:sz w:val="20"/>
        </w:rPr>
        <w:t xml:space="preserve">4. Attendance View: </w:t>
      </w:r>
      <w:r>
        <w:rPr>
          <w:rFonts w:ascii="Arial" w:hAnsi="Arial"/>
          <w:color w:val="334155"/>
          <w:sz w:val="20"/>
        </w:rPr>
        <w:t>Multi-tab roll call interface with quick batch marking (Present, Absent, Half-Day), night shift checklists, and muster locking.</w:t>
      </w:r>
    </w:p>
    <w:p>
      <w:pPr>
        <w:pStyle w:val="ListBullet"/>
        <w:spacing w:after="80" w:line="276" w:lineRule="auto"/>
      </w:pPr>
      <w:r>
        <w:rPr>
          <w:rFonts w:ascii="Arial" w:hAnsi="Arial"/>
          <w:b/>
          <w:color w:val="0F172A"/>
          <w:sz w:val="20"/>
        </w:rPr>
        <w:t xml:space="preserve">5. DPR &amp; Progress View: </w:t>
      </w:r>
      <w:r>
        <w:rPr>
          <w:rFonts w:ascii="Arial" w:hAnsi="Arial"/>
          <w:color w:val="334155"/>
          <w:sz w:val="20"/>
        </w:rPr>
        <w:t>Feed of site execution reports detailing task progress bars, material consumption tables, and photo inspection carousels.</w:t>
      </w:r>
    </w:p>
    <w:p>
      <w:pPr>
        <w:pStyle w:val="ListBullet"/>
        <w:spacing w:after="80" w:line="276" w:lineRule="auto"/>
      </w:pPr>
      <w:r>
        <w:rPr>
          <w:rFonts w:ascii="Arial" w:hAnsi="Arial"/>
          <w:b/>
          <w:color w:val="0F172A"/>
          <w:sz w:val="20"/>
        </w:rPr>
        <w:t xml:space="preserve">6. Expenses View: </w:t>
      </w:r>
      <w:r>
        <w:rPr>
          <w:rFonts w:ascii="Arial" w:hAnsi="Arial"/>
          <w:color w:val="334155"/>
          <w:sz w:val="20"/>
        </w:rPr>
        <w:t>Expenses Log table with digital bill viewer and Vendor Credit tab displaying outstanding Accounts Payable balances.</w:t>
      </w:r>
    </w:p>
    <w:p>
      <w:pPr>
        <w:pStyle w:val="ListBullet"/>
        <w:spacing w:after="80" w:line="276" w:lineRule="auto"/>
      </w:pPr>
      <w:r>
        <w:rPr>
          <w:rFonts w:ascii="Arial" w:hAnsi="Arial"/>
          <w:b/>
          <w:color w:val="0F172A"/>
          <w:sz w:val="20"/>
        </w:rPr>
        <w:t xml:space="preserve">7. Payroll View: </w:t>
      </w:r>
      <w:r>
        <w:rPr>
          <w:rFonts w:ascii="Arial" w:hAnsi="Arial"/>
          <w:color w:val="334155"/>
          <w:sz w:val="20"/>
        </w:rPr>
        <w:t>Weekly run cards displaying Gross, FIFO Advances Deducted, and Net Pay with itemized payslip tables and PDF download.</w:t>
      </w:r>
    </w:p>
    <w:p>
      <w:pPr>
        <w:pStyle w:val="ListBullet"/>
        <w:spacing w:after="80" w:line="276" w:lineRule="auto"/>
      </w:pPr>
      <w:r>
        <w:rPr>
          <w:rFonts w:ascii="Arial" w:hAnsi="Arial"/>
          <w:b/>
          <w:color w:val="0F172A"/>
          <w:sz w:val="20"/>
        </w:rPr>
        <w:t xml:space="preserve">8. Financial Ledger View: </w:t>
      </w:r>
      <w:r>
        <w:rPr>
          <w:rFonts w:ascii="Arial" w:hAnsi="Arial"/>
          <w:color w:val="334155"/>
          <w:sz w:val="20"/>
        </w:rPr>
        <w:t>Real-time Trial Balance with automated balance status pill and chronological Journal Entries with debit/credit line splits.</w:t>
      </w:r>
    </w:p>
    <w:p>
      <w:pPr>
        <w:pStyle w:val="ListBullet"/>
        <w:spacing w:after="80" w:line="276" w:lineRule="auto"/>
      </w:pPr>
      <w:r>
        <w:rPr>
          <w:rFonts w:ascii="Arial" w:hAnsi="Arial"/>
          <w:b/>
          <w:color w:val="0F172A"/>
          <w:sz w:val="20"/>
        </w:rPr>
        <w:t xml:space="preserve">9. Reports View: </w:t>
      </w:r>
      <w:r>
        <w:rPr>
          <w:rFonts w:ascii="Arial" w:hAnsi="Arial"/>
          <w:color w:val="334155"/>
          <w:sz w:val="20"/>
        </w:rPr>
        <w:t>Filterable report generator producing labor attendance registers, project spend statements, and trial balances with Excel and PDF export.</w:t>
      </w:r>
    </w:p>
    <w:p>
      <w:pPr>
        <w:pStyle w:val="ListBullet"/>
        <w:spacing w:after="80" w:line="276" w:lineRule="auto"/>
      </w:pPr>
      <w:r>
        <w:rPr>
          <w:rFonts w:ascii="Arial" w:hAnsi="Arial"/>
          <w:b/>
          <w:color w:val="0F172A"/>
          <w:sz w:val="20"/>
        </w:rPr>
        <w:t xml:space="preserve">10. Settings View: </w:t>
      </w:r>
      <w:r>
        <w:rPr>
          <w:rFonts w:ascii="Arial" w:hAnsi="Arial"/>
          <w:color w:val="334155"/>
          <w:sz w:val="20"/>
        </w:rPr>
        <w:t>Exclusive to Org Admins for company profile, team member invitations, role designations, and audit log inspection.</w:t>
      </w:r>
    </w:p>
    <w:p>
      <w:pPr>
        <w:keepNext/>
        <w:spacing w:before="240" w:after="120"/>
      </w:pPr>
      <w:r>
        <w:rPr>
          <w:rFonts w:ascii="Arial" w:hAnsi="Arial"/>
          <w:b/>
          <w:color w:val="0F172A"/>
          <w:sz w:val="24"/>
        </w:rPr>
        <w:t xml:space="preserve">  4. </w:t>
      </w:r>
      <w:r>
        <w:rPr>
          <w:rFonts w:ascii="Arial" w:hAnsi="Arial"/>
          <w:b/>
          <w:color w:val="0F172A"/>
          <w:sz w:val="24"/>
        </w:rPr>
        <w:t>Reports</w:t>
      </w:r>
    </w:p>
    <w:p>
      <w:pPr>
        <w:pStyle w:val="ListBullet"/>
        <w:spacing w:after="80" w:line="276" w:lineRule="auto"/>
      </w:pPr>
      <w:r>
        <w:rPr>
          <w:rFonts w:ascii="Arial" w:hAnsi="Arial"/>
          <w:b/>
          <w:color w:val="0F172A"/>
          <w:sz w:val="20"/>
        </w:rPr>
        <w:t xml:space="preserve">Payslip PDF — </w:t>
      </w:r>
      <w:r>
        <w:rPr>
          <w:rFonts w:ascii="Arial" w:hAnsi="Arial"/>
          <w:color w:val="334155"/>
          <w:sz w:val="20"/>
        </w:rPr>
        <w:t>Official Worker Payslip PDF generated with ReportLab featuring company header, worker trade, days worked, overtime hours, FIFO advance deduction breakdown, net salary, and signature block.</w:t>
      </w:r>
    </w:p>
    <w:p>
      <w:pPr>
        <w:pStyle w:val="ListBullet"/>
        <w:spacing w:after="80" w:line="276" w:lineRule="auto"/>
      </w:pPr>
      <w:r>
        <w:rPr>
          <w:rFonts w:ascii="Arial" w:hAnsi="Arial"/>
          <w:b/>
          <w:color w:val="0F172A"/>
          <w:sz w:val="20"/>
        </w:rPr>
        <w:t xml:space="preserve">Wage Register — </w:t>
      </w:r>
      <w:r>
        <w:rPr>
          <w:rFonts w:ascii="Arial" w:hAnsi="Arial"/>
          <w:color w:val="334155"/>
          <w:sz w:val="20"/>
        </w:rPr>
        <w:t>Tabular muster roll call, daily wages earned, advance recoveries, and payout modes for labor compliance audits.</w:t>
      </w:r>
    </w:p>
    <w:p>
      <w:pPr>
        <w:pStyle w:val="ListBullet"/>
        <w:spacing w:after="80" w:line="276" w:lineRule="auto"/>
      </w:pPr>
      <w:r>
        <w:rPr>
          <w:rFonts w:ascii="Arial" w:hAnsi="Arial"/>
          <w:b/>
          <w:color w:val="0F172A"/>
          <w:sz w:val="20"/>
        </w:rPr>
        <w:t xml:space="preserve">Vendor AP Statement — </w:t>
      </w:r>
      <w:r>
        <w:rPr>
          <w:rFonts w:ascii="Arial" w:hAnsi="Arial"/>
          <w:color w:val="334155"/>
          <w:sz w:val="20"/>
        </w:rPr>
        <w:t>Chronological credit purchases and settlement receipts displaying running Accounts Payable balances.</w:t>
      </w:r>
    </w:p>
    <w:p>
      <w:pPr>
        <w:pStyle w:val="ListBullet"/>
        <w:spacing w:after="80" w:line="276" w:lineRule="auto"/>
      </w:pPr>
      <w:r>
        <w:rPr>
          <w:rFonts w:ascii="Arial" w:hAnsi="Arial"/>
          <w:b/>
          <w:color w:val="0F172A"/>
          <w:sz w:val="20"/>
        </w:rPr>
        <w:t xml:space="preserve">Trial Balance &amp; P&amp;L — </w:t>
      </w:r>
      <w:r>
        <w:rPr>
          <w:rFonts w:ascii="Arial" w:hAnsi="Arial"/>
          <w:color w:val="334155"/>
          <w:sz w:val="20"/>
        </w:rPr>
        <w:t>Formal double-entry accounting statement grouping debit and credit account balances to prove ledger mathematical equality.</w:t>
      </w:r>
    </w:p>
    <w:p>
      <w:r>
        <w:br w:type="page"/>
      </w:r>
    </w:p>
    <w:p>
      <w:pPr>
        <w:spacing w:before="4400"/>
      </w:pPr>
    </w:p>
    <w:p>
      <w:pPr>
        <w:spacing w:after="4000"/>
        <w:jc w:val="center"/>
      </w:pPr>
      <w:r>
        <w:rPr>
          <w:rFonts w:ascii="Times New Roman" w:hAnsi="Times New Roman"/>
          <w:b/>
          <w:color w:val="0F172A"/>
          <w:sz w:val="64"/>
        </w:rPr>
        <w:t>SYSTEM TESTING</w:t>
      </w:r>
    </w:p>
    <w:p>
      <w:r>
        <w:br w:type="page"/>
      </w:r>
    </w:p>
    <w:p>
      <w:pPr>
        <w:keepNext/>
        <w:spacing w:before="280" w:after="160"/>
      </w:pPr>
      <w:r>
        <w:rPr>
          <w:rFonts w:ascii="Arial" w:hAnsi="Arial"/>
          <w:b/>
          <w:color w:val="0F172A"/>
          <w:sz w:val="28"/>
        </w:rPr>
        <w:t xml:space="preserve">❖ </w:t>
      </w:r>
      <w:r>
        <w:rPr>
          <w:rFonts w:ascii="Arial" w:hAnsi="Arial"/>
          <w:b/>
          <w:color w:val="0F172A"/>
          <w:sz w:val="28"/>
          <w:u w:val="single"/>
        </w:rPr>
        <w:t>System Testing</w:t>
      </w:r>
    </w:p>
    <w:p>
      <w:pPr>
        <w:keepNext/>
        <w:spacing w:before="240" w:after="120"/>
      </w:pPr>
      <w:r>
        <w:rPr>
          <w:rFonts w:ascii="Arial" w:hAnsi="Arial"/>
          <w:b/>
          <w:color w:val="0F172A"/>
          <w:sz w:val="24"/>
        </w:rPr>
        <w:t xml:space="preserve">  1. </w:t>
      </w:r>
      <w:r>
        <w:rPr>
          <w:rFonts w:ascii="Arial" w:hAnsi="Arial"/>
          <w:b/>
          <w:color w:val="0F172A"/>
          <w:sz w:val="24"/>
        </w:rPr>
        <w:t>Testing Strategies</w:t>
      </w:r>
    </w:p>
    <w:p>
      <w:pPr>
        <w:pStyle w:val="ListBullet"/>
        <w:spacing w:after="80" w:line="276" w:lineRule="auto"/>
      </w:pPr>
      <w:r>
        <w:rPr>
          <w:rFonts w:ascii="Arial" w:hAnsi="Arial"/>
          <w:b/>
          <w:color w:val="0F172A"/>
          <w:sz w:val="20"/>
        </w:rPr>
        <w:t xml:space="preserve">Unit Testing: </w:t>
      </w:r>
      <w:r>
        <w:rPr>
          <w:rFonts w:ascii="Arial" w:hAnsi="Arial"/>
          <w:color w:val="334155"/>
          <w:sz w:val="20"/>
        </w:rPr>
        <w:t>Validating isolated mathematical algorithms including FIFO advance recovery, hourly overtime calculations, and geofence Haversine distances.</w:t>
      </w:r>
    </w:p>
    <w:p>
      <w:pPr>
        <w:pStyle w:val="ListBullet"/>
        <w:spacing w:after="80" w:line="276" w:lineRule="auto"/>
      </w:pPr>
      <w:r>
        <w:rPr>
          <w:rFonts w:ascii="Arial" w:hAnsi="Arial"/>
          <w:b/>
          <w:color w:val="0F172A"/>
          <w:sz w:val="20"/>
        </w:rPr>
        <w:t xml:space="preserve">Integration Testing: </w:t>
      </w:r>
      <w:r>
        <w:rPr>
          <w:rFonts w:ascii="Arial" w:hAnsi="Arial"/>
          <w:color w:val="334155"/>
          <w:sz w:val="20"/>
        </w:rPr>
        <w:t>Verifying complete business lifecycles: check-in -&gt; muster locking -&gt; payroll run creation -&gt; approval -&gt; automated General Ledger journal creation.</w:t>
      </w:r>
    </w:p>
    <w:p>
      <w:pPr>
        <w:pStyle w:val="ListBullet"/>
        <w:spacing w:after="80" w:line="276" w:lineRule="auto"/>
      </w:pPr>
      <w:r>
        <w:rPr>
          <w:rFonts w:ascii="Arial" w:hAnsi="Arial"/>
          <w:b/>
          <w:color w:val="0F172A"/>
          <w:sz w:val="20"/>
        </w:rPr>
        <w:t xml:space="preserve">Multi-Tenant Security Testing: </w:t>
      </w:r>
      <w:r>
        <w:rPr>
          <w:rFonts w:ascii="Arial" w:hAnsi="Arial"/>
          <w:color w:val="334155"/>
          <w:sz w:val="20"/>
        </w:rPr>
        <w:t>Proving that tenant data is 100% isolated, preventing data leakage across organizational boundaries.</w:t>
      </w:r>
    </w:p>
    <w:p>
      <w:pPr>
        <w:pStyle w:val="ListBullet"/>
        <w:spacing w:after="80" w:line="276" w:lineRule="auto"/>
      </w:pPr>
      <w:r>
        <w:rPr>
          <w:rFonts w:ascii="Arial" w:hAnsi="Arial"/>
          <w:b/>
          <w:color w:val="0F172A"/>
          <w:sz w:val="20"/>
        </w:rPr>
        <w:t xml:space="preserve">RBAC Boundary Testing: </w:t>
      </w:r>
      <w:r>
        <w:rPr>
          <w:rFonts w:ascii="Arial" w:hAnsi="Arial"/>
          <w:color w:val="334155"/>
          <w:sz w:val="20"/>
        </w:rPr>
        <w:t>Verifying that field supervisors cannot modify pay rates (asserts HTTP 422), site engineers cannot view payroll, and accountants cannot verify DPRs.</w:t>
      </w:r>
    </w:p>
    <w:p>
      <w:pPr>
        <w:pStyle w:val="ListBullet"/>
        <w:spacing w:after="80" w:line="276" w:lineRule="auto"/>
      </w:pPr>
      <w:r>
        <w:rPr>
          <w:rFonts w:ascii="Arial" w:hAnsi="Arial"/>
          <w:b/>
          <w:color w:val="0F172A"/>
          <w:sz w:val="20"/>
        </w:rPr>
        <w:t xml:space="preserve">Accounting Invariant Testing: </w:t>
      </w:r>
      <w:r>
        <w:rPr>
          <w:rFonts w:ascii="Arial" w:hAnsi="Arial"/>
          <w:color w:val="334155"/>
          <w:sz w:val="20"/>
        </w:rPr>
        <w:t>Enforcing the dual-aspect rule: every posted journal entry must satisfy Sum(Debits) == Sum(Credits).</w:t>
      </w:r>
    </w:p>
    <w:p>
      <w:pPr>
        <w:keepNext/>
        <w:spacing w:before="240" w:after="120"/>
      </w:pPr>
      <w:r>
        <w:rPr>
          <w:rFonts w:ascii="Arial" w:hAnsi="Arial"/>
          <w:b/>
          <w:color w:val="0F172A"/>
          <w:sz w:val="24"/>
        </w:rPr>
        <w:t xml:space="preserve">  2. </w:t>
      </w:r>
      <w:r>
        <w:rPr>
          <w:rFonts w:ascii="Arial" w:hAnsi="Arial"/>
          <w:b/>
          <w:color w:val="0F172A"/>
          <w:sz w:val="24"/>
        </w:rPr>
        <w:t>Test Cases (Covering 186 Automated Scenarios)</w:t>
      </w:r>
    </w:p>
    <w:p>
      <w:pPr>
        <w:spacing w:after="120" w:line="276" w:lineRule="auto"/>
      </w:pPr>
      <w:r>
        <w:rPr>
          <w:rFonts w:ascii="Arial" w:hAnsi="Arial"/>
          <w:i w:val="0"/>
          <w:color w:val="334155"/>
          <w:sz w:val="20"/>
        </w:rPr>
        <w:t>The automated backend test suite comprises 186 test cases across all modules with 100% pass rate in 7.97s:</w:t>
      </w:r>
    </w:p>
    <w:tbl>
      <w:tblPr>
        <w:tblW w:type="auto" w:w="0"/>
        <w:jc w:val="center"/>
        <w:tblLook w:firstColumn="1" w:firstRow="1" w:lastColumn="0" w:lastRow="0" w:noHBand="0" w:noVBand="1" w:val="04A0"/>
      </w:tblPr>
      <w:tblGrid>
        <w:gridCol w:w="1632"/>
        <w:gridCol w:w="1632"/>
        <w:gridCol w:w="1632"/>
        <w:gridCol w:w="1632"/>
        <w:gridCol w:w="1632"/>
        <w:gridCol w:w="1632"/>
      </w:tblGrid>
      <w:tr>
        <w:trPr>
          <w:cantSplit/>
          <w:tblHeader/>
        </w:trPr>
        <w:tc>
          <w:tcPr>
            <w:tcW w:type="dxa" w:w="1632"/>
            <w:vAlign w:val="center"/>
            <w:tcMar>
              <w:top w:w="100" w:type="dxa"/>
              <w:bottom w:w="100" w:type="dxa"/>
              <w:left w:w="130" w:type="dxa"/>
              <w:right w:w="130" w:type="dxa"/>
            </w:tcMar>
            <w:shd w:fill="1E40AF"/>
          </w:tcPr>
          <w:p>
            <w:pPr>
              <w:spacing w:after="40" w:before="40"/>
            </w:pPr>
            <w:r>
              <w:rPr>
                <w:rFonts w:ascii="Arial" w:hAnsi="Arial"/>
                <w:b/>
                <w:color w:val="FFFFFF"/>
                <w:sz w:val="19"/>
              </w:rPr>
              <w:t>Test ID</w:t>
            </w:r>
          </w:p>
        </w:tc>
        <w:tc>
          <w:tcPr>
            <w:tcW w:type="dxa" w:w="1632"/>
            <w:vAlign w:val="center"/>
            <w:tcMar>
              <w:top w:w="100" w:type="dxa"/>
              <w:bottom w:w="100" w:type="dxa"/>
              <w:left w:w="130" w:type="dxa"/>
              <w:right w:w="130" w:type="dxa"/>
            </w:tcMar>
            <w:shd w:fill="1E40AF"/>
          </w:tcPr>
          <w:p>
            <w:pPr>
              <w:spacing w:after="40" w:before="40"/>
            </w:pPr>
            <w:r>
              <w:rPr>
                <w:rFonts w:ascii="Arial" w:hAnsi="Arial"/>
                <w:b/>
                <w:color w:val="FFFFFF"/>
                <w:sz w:val="19"/>
              </w:rPr>
              <w:t>Module</w:t>
            </w:r>
          </w:p>
        </w:tc>
        <w:tc>
          <w:tcPr>
            <w:tcW w:type="dxa" w:w="1632"/>
            <w:vAlign w:val="center"/>
            <w:tcMar>
              <w:top w:w="100" w:type="dxa"/>
              <w:bottom w:w="100" w:type="dxa"/>
              <w:left w:w="130" w:type="dxa"/>
              <w:right w:w="130" w:type="dxa"/>
            </w:tcMar>
            <w:shd w:fill="1E40AF"/>
          </w:tcPr>
          <w:p>
            <w:pPr>
              <w:spacing w:after="40" w:before="40"/>
            </w:pPr>
            <w:r>
              <w:rPr>
                <w:rFonts w:ascii="Arial" w:hAnsi="Arial"/>
                <w:b/>
                <w:color w:val="FFFFFF"/>
                <w:sz w:val="19"/>
              </w:rPr>
              <w:t>Test Scenario</w:t>
            </w:r>
          </w:p>
        </w:tc>
        <w:tc>
          <w:tcPr>
            <w:tcW w:type="dxa" w:w="1632"/>
            <w:vAlign w:val="center"/>
            <w:tcMar>
              <w:top w:w="100" w:type="dxa"/>
              <w:bottom w:w="100" w:type="dxa"/>
              <w:left w:w="130" w:type="dxa"/>
              <w:right w:w="130" w:type="dxa"/>
            </w:tcMar>
            <w:shd w:fill="1E40AF"/>
          </w:tcPr>
          <w:p>
            <w:pPr>
              <w:spacing w:after="40" w:before="40"/>
            </w:pPr>
            <w:r>
              <w:rPr>
                <w:rFonts w:ascii="Arial" w:hAnsi="Arial"/>
                <w:b/>
                <w:color w:val="FFFFFF"/>
                <w:sz w:val="19"/>
              </w:rPr>
              <w:t>Input Data</w:t>
            </w:r>
          </w:p>
        </w:tc>
        <w:tc>
          <w:tcPr>
            <w:tcW w:type="dxa" w:w="1632"/>
            <w:vAlign w:val="center"/>
            <w:tcMar>
              <w:top w:w="100" w:type="dxa"/>
              <w:bottom w:w="100" w:type="dxa"/>
              <w:left w:w="130" w:type="dxa"/>
              <w:right w:w="130" w:type="dxa"/>
            </w:tcMar>
            <w:shd w:fill="1E40AF"/>
          </w:tcPr>
          <w:p>
            <w:pPr>
              <w:spacing w:after="40" w:before="40"/>
            </w:pPr>
            <w:r>
              <w:rPr>
                <w:rFonts w:ascii="Arial" w:hAnsi="Arial"/>
                <w:b/>
                <w:color w:val="FFFFFF"/>
                <w:sz w:val="19"/>
              </w:rPr>
              <w:t>Expected Result</w:t>
            </w:r>
          </w:p>
        </w:tc>
        <w:tc>
          <w:tcPr>
            <w:tcW w:type="dxa" w:w="1632"/>
            <w:vAlign w:val="center"/>
            <w:tcMar>
              <w:top w:w="100" w:type="dxa"/>
              <w:bottom w:w="100" w:type="dxa"/>
              <w:left w:w="130" w:type="dxa"/>
              <w:right w:w="130" w:type="dxa"/>
            </w:tcMar>
            <w:shd w:fill="1E40AF"/>
          </w:tcPr>
          <w:p>
            <w:pPr>
              <w:spacing w:after="40" w:before="40"/>
            </w:pPr>
            <w:r>
              <w:rPr>
                <w:rFonts w:ascii="Arial" w:hAnsi="Arial"/>
                <w:b/>
                <w:color w:val="FFFFFF"/>
                <w:sz w:val="19"/>
              </w:rPr>
              <w:t>Status</w:t>
            </w:r>
          </w:p>
        </w:tc>
      </w:tr>
      <w:tr>
        <w:trPr>
          <w:cantSplit/>
        </w:trPr>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TC-AUTH-01</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Auth</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Tenant user authentication with valid credentials</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email: admin@buildsphere.com, password: valid</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HTTP 200 OK, JWT access token &amp; refresh cookie</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TC-AUTH-02</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Auth</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User authentication with invalid password</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email: admin@buildsphere.com, password: invalid</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HTTP 401 Unauthorized, error description</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TC-AUTH-03</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Auth</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Multi-tenant data isolation enforcement</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User Org 1 queries /api/v1/projects/ of Org 2</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HTTP 404 Not Found, cross-tenant data inaccessible</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TC-AUTH-04</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Auth</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RBAC designation boundary enforcement</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Supervisor attempts PATCH /api/v1/org/current</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HTTP 403 Forbidden, settings restricted to Admin</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TC-PRJ-01</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Projects</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Project creation with budget &amp; geo-coordinates</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budget: 5000000.00, lat: 22.57, lng: 88.36</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HTTP 201 Created, project code generated, radius 150m</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TC-PRJ-02</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Projects</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Project deletion restricted to ORG_ADMIN</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Project Manager attempts DELETE /api/v1/projects/1</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HTTP 403 Forbidden, deletion restricted to Admin</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TC-WRK-01</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Workforce</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Employee onboarding with trade &amp; daily wage</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name: 'Ramesh Patel', trade: 'Mason', wage: 850</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HTTP 201 Created, employee code generated</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TC-WRK-02</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Workforce</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Supervisor barred from modifying wage rate</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Supervisor attempts PATCH with daily_rate: 950</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HTTP 422 Unprocessable Entity, wage alteration blocked</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TC-WRK-03</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Workforce</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Direct wage settlement payment execution</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employee_id: 1, amount: 4250.00, mode: 'CASH'</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HTTP 200 OK, employee remaining balance cleared</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TC-ATT-01</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Attendance</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GPS check-in within configured site boundary</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employee_id: 1, lat: 22.57001, lng: 88.36001</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HTTP 201 Created, is_geofence_verified: True</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TC-ATT-02</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Attendance</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Prohibit future date attendance marking</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date: '2026-12-31' (future date)</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HTTP 400 Bad Request, future dates prohibited</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TC-ATT-03</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Attendance</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Administrative muster approval lock</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project_id: 1, date_from: '2026-10-01'</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HTTP 200 OK, is_locked: True across range</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TC-ATT-04</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Attendance</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Modification of locked attendance record</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Supervisor attempts PATCH on locked attendance</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HTTP 409 Conflict, locked attendance cannot be altered</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TC-DPR-01</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DPR</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Site Engineer submits DPR with task % &amp; materials</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tasks: [{'Foundation', 100}], materials: [{'Cement', 80}]</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HTTP 201 Created, status: SUBMITTED</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TC-DPR-02</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DPR</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Project Manager verifies DPR &amp; recalculates %</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POST /api/v1/dpr/1/verify</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HTTP 200 OK, status: VERIFIED, project % recalculated</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TC-EXP-01</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Expenses</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Log site material purchase receipt</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amount: 24500.00, category: 'MATERIAL', mode: 'CASH'</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HTTP 201 Created, status: PENDING_APPROVAL</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TC-EXP-02</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Expenses</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Prevent self-approval of site expenses</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Creator attempts POST /api/v1/expenses/1/approve</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HTTP 403 Forbidden, creator cannot self-approve</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TC-PAY-01</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Payroll</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Record worker emergency cash advance (Upad)</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employee_id: 1, amount: 2000.00, mode: 'CASH'</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HTTP 201 Created, Asset Account 1100 debited</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TC-PAY-02</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Payroll</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Weekly payroll run with FIFO advance recovery</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project_id: 1, period 7 days</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HTTP 201 Created, 2000.00 advance deducted via FIFO</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TC-PAY-03</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Payroll</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Approve payroll run &amp; post double-entry ledger</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POST /api/v1/payroll/runs/1/approve</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HTTP 200 OK, JournalEntry posted (DR Wages, CR Net)</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TC-LED-01</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Ledger</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Dual-aspect general ledger balance invariant</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Query GET /api/v1/ledger/trial-balance</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HTTP 200 OK, total_debit == total_credit, balanced</w:t>
            </w:r>
          </w:p>
        </w:tc>
        <w:tc>
          <w:tcPr>
            <w:tcW w:type="dxa" w:w="1632"/>
            <w:vAlign w:val="center"/>
            <w:tcMar>
              <w:top w:w="100" w:type="dxa"/>
              <w:bottom w:w="100" w:type="dxa"/>
              <w:left w:w="130" w:type="dxa"/>
              <w:right w:w="130" w:type="dxa"/>
            </w:tcMar>
            <w:shd w:fill="FFFFFF"/>
          </w:tcPr>
          <w:p>
            <w:pPr>
              <w:spacing w:after="40" w:before="40"/>
            </w:pPr>
            <w:r>
              <w:rPr>
                <w:rFonts w:ascii="Arial" w:hAnsi="Arial"/>
                <w:color w:val="1E293B"/>
                <w:sz w:val="18"/>
              </w:rPr>
              <w:t>PASS</w:t>
            </w:r>
          </w:p>
        </w:tc>
      </w:tr>
      <w:tr>
        <w:trPr>
          <w:cantSplit/>
        </w:trPr>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TC-LED-02</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Ledger</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Immutable journal entry protection</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User attempts DELETE /api/v1/ledger/entries/1</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HTTP 405 Method Not Allowed, journals are immutable</w:t>
            </w:r>
          </w:p>
        </w:tc>
        <w:tc>
          <w:tcPr>
            <w:tcW w:type="dxa" w:w="1632"/>
            <w:vAlign w:val="center"/>
            <w:tcMar>
              <w:top w:w="100" w:type="dxa"/>
              <w:bottom w:w="100" w:type="dxa"/>
              <w:left w:w="130" w:type="dxa"/>
              <w:right w:w="130" w:type="dxa"/>
            </w:tcMar>
            <w:shd w:fill="F8FAFC"/>
          </w:tcPr>
          <w:p>
            <w:pPr>
              <w:spacing w:after="40" w:before="40"/>
            </w:pPr>
            <w:r>
              <w:rPr>
                <w:rFonts w:ascii="Arial" w:hAnsi="Arial"/>
                <w:color w:val="1E293B"/>
                <w:sz w:val="18"/>
              </w:rPr>
              <w:t>PASS</w:t>
            </w:r>
          </w:p>
        </w:tc>
      </w:tr>
    </w:tbl>
    <w:p>
      <w:r>
        <w:br w:type="page"/>
      </w:r>
    </w:p>
    <w:p>
      <w:pPr>
        <w:spacing w:before="4400"/>
      </w:pPr>
    </w:p>
    <w:p>
      <w:pPr>
        <w:spacing w:after="4000"/>
        <w:jc w:val="center"/>
      </w:pPr>
      <w:r>
        <w:rPr>
          <w:rFonts w:ascii="Times New Roman" w:hAnsi="Times New Roman"/>
          <w:b/>
          <w:color w:val="0F172A"/>
          <w:sz w:val="64"/>
        </w:rPr>
        <w:t>FUTURE ENHANCEMENT</w:t>
      </w:r>
    </w:p>
    <w:p>
      <w:r>
        <w:br w:type="page"/>
      </w:r>
    </w:p>
    <w:p>
      <w:pPr>
        <w:keepNext/>
        <w:spacing w:before="280" w:after="160"/>
      </w:pPr>
      <w:r>
        <w:rPr>
          <w:rFonts w:ascii="Arial" w:hAnsi="Arial"/>
          <w:b/>
          <w:color w:val="0F172A"/>
          <w:sz w:val="28"/>
        </w:rPr>
        <w:t xml:space="preserve">❖ </w:t>
      </w:r>
      <w:r>
        <w:rPr>
          <w:rFonts w:ascii="Arial" w:hAnsi="Arial"/>
          <w:b/>
          <w:color w:val="0F172A"/>
          <w:sz w:val="28"/>
          <w:u w:val="single"/>
        </w:rPr>
        <w:t>Future Enhancement</w:t>
      </w:r>
    </w:p>
    <w:p>
      <w:pPr>
        <w:pStyle w:val="ListBullet"/>
        <w:spacing w:after="80" w:line="276" w:lineRule="auto"/>
      </w:pPr>
      <w:r>
        <w:rPr>
          <w:rFonts w:ascii="Arial" w:hAnsi="Arial"/>
          <w:b/>
          <w:color w:val="0F172A"/>
          <w:sz w:val="20"/>
        </w:rPr>
        <w:t xml:space="preserve">1. AI Site Safety &amp; Computer Vision: </w:t>
      </w:r>
      <w:r>
        <w:rPr>
          <w:rFonts w:ascii="Arial" w:hAnsi="Arial"/>
          <w:color w:val="334155"/>
          <w:sz w:val="20"/>
        </w:rPr>
        <w:t>Implementing YOLOv8 computer vision models on uploaded DPR inspection photos to automatically verify worker PPE compliance (hard hats, safety harnesses) and estimate structural rebar completion percentages.</w:t>
      </w:r>
    </w:p>
    <w:p>
      <w:pPr>
        <w:pStyle w:val="ListBullet"/>
        <w:spacing w:after="80" w:line="276" w:lineRule="auto"/>
      </w:pPr>
      <w:r>
        <w:rPr>
          <w:rFonts w:ascii="Arial" w:hAnsi="Arial"/>
          <w:b/>
          <w:color w:val="0F172A"/>
          <w:sz w:val="20"/>
        </w:rPr>
        <w:t xml:space="preserve">2. Autonomous Drone Photogrammetry: </w:t>
      </w:r>
      <w:r>
        <w:rPr>
          <w:rFonts w:ascii="Arial" w:hAnsi="Arial"/>
          <w:color w:val="334155"/>
          <w:sz w:val="20"/>
        </w:rPr>
        <w:t>Integrating commercial survey drone APIs to capture aerial topographical scans, compare against BIM 3D models, and calculate automated earthwork excavation volumes.</w:t>
      </w:r>
    </w:p>
    <w:p>
      <w:pPr>
        <w:pStyle w:val="ListBullet"/>
        <w:spacing w:after="80" w:line="276" w:lineRule="auto"/>
      </w:pPr>
      <w:r>
        <w:rPr>
          <w:rFonts w:ascii="Arial" w:hAnsi="Arial"/>
          <w:b/>
          <w:color w:val="0F172A"/>
          <w:sz w:val="20"/>
        </w:rPr>
        <w:t xml:space="preserve">3. Subcontractor Running Account (RA) Billing: </w:t>
      </w:r>
      <w:r>
        <w:rPr>
          <w:rFonts w:ascii="Arial" w:hAnsi="Arial"/>
          <w:color w:val="334155"/>
          <w:sz w:val="20"/>
        </w:rPr>
        <w:t>Automated milestone-based subcontractor invoicing with retention money holds and GST tax compliance certification.</w:t>
      </w:r>
    </w:p>
    <w:p>
      <w:pPr>
        <w:pStyle w:val="ListBullet"/>
        <w:spacing w:after="80" w:line="276" w:lineRule="auto"/>
      </w:pPr>
      <w:r>
        <w:rPr>
          <w:rFonts w:ascii="Arial" w:hAnsi="Arial"/>
          <w:b/>
          <w:color w:val="0F172A"/>
          <w:sz w:val="20"/>
        </w:rPr>
        <w:t xml:space="preserve">4. Conversational WhatsApp &amp; Voice AI Bot: </w:t>
      </w:r>
      <w:r>
        <w:rPr>
          <w:rFonts w:ascii="Arial" w:hAnsi="Arial"/>
          <w:color w:val="334155"/>
          <w:sz w:val="20"/>
        </w:rPr>
        <w:t>Enabling supervisors on remote sites with low smartphone literacy to mark attendance and request emergency advances via localized vernacular audio voice notes.</w:t>
      </w:r>
    </w:p>
    <w:p>
      <w:pPr>
        <w:pStyle w:val="ListBullet"/>
        <w:spacing w:after="80" w:line="276" w:lineRule="auto"/>
      </w:pPr>
      <w:r>
        <w:rPr>
          <w:rFonts w:ascii="Arial" w:hAnsi="Arial"/>
          <w:b/>
          <w:color w:val="0F172A"/>
          <w:sz w:val="20"/>
        </w:rPr>
        <w:t xml:space="preserve">5. Corporate Banking Payout Gateway: </w:t>
      </w:r>
      <w:r>
        <w:rPr>
          <w:rFonts w:ascii="Arial" w:hAnsi="Arial"/>
          <w:color w:val="334155"/>
          <w:sz w:val="20"/>
        </w:rPr>
        <w:t>Direct integration with corporate banking APIs (ICICI, HDFC, RazorpayX) for bulk IMPS/NEFT wage payouts straight to workers' bank accounts.</w:t>
      </w:r>
    </w:p>
    <w:p>
      <w:r>
        <w:br w:type="page"/>
      </w:r>
    </w:p>
    <w:p>
      <w:pPr>
        <w:spacing w:before="4400"/>
      </w:pPr>
    </w:p>
    <w:p>
      <w:pPr>
        <w:spacing w:after="4000"/>
        <w:jc w:val="center"/>
      </w:pPr>
      <w:r>
        <w:rPr>
          <w:rFonts w:ascii="Times New Roman" w:hAnsi="Times New Roman"/>
          <w:b/>
          <w:color w:val="0F172A"/>
          <w:sz w:val="64"/>
        </w:rPr>
        <w:t>BIBLIOGRAPHY/</w:t>
        <w:br/>
        <w:t>REFERENCES</w:t>
      </w:r>
    </w:p>
    <w:p>
      <w:r>
        <w:br w:type="page"/>
      </w:r>
    </w:p>
    <w:p>
      <w:pPr>
        <w:keepNext/>
        <w:spacing w:before="280" w:after="160"/>
      </w:pPr>
      <w:r>
        <w:rPr>
          <w:rFonts w:ascii="Arial" w:hAnsi="Arial"/>
          <w:b/>
          <w:color w:val="0F172A"/>
          <w:sz w:val="28"/>
        </w:rPr>
        <w:t xml:space="preserve">❖ </w:t>
      </w:r>
      <w:r>
        <w:rPr>
          <w:rFonts w:ascii="Arial" w:hAnsi="Arial"/>
          <w:b/>
          <w:color w:val="0F172A"/>
          <w:sz w:val="28"/>
          <w:u w:val="single"/>
        </w:rPr>
        <w:t>Bibliography &amp; Technical References</w:t>
      </w:r>
    </w:p>
    <w:p>
      <w:pPr>
        <w:pStyle w:val="ListBullet"/>
        <w:spacing w:after="80" w:line="276" w:lineRule="auto"/>
      </w:pPr>
      <w:r>
        <w:rPr>
          <w:rFonts w:ascii="Arial" w:hAnsi="Arial"/>
          <w:b/>
          <w:color w:val="0F172A"/>
          <w:sz w:val="20"/>
        </w:rPr>
        <w:t xml:space="preserve">[1] REST Architectural Style: </w:t>
      </w:r>
      <w:r>
        <w:rPr>
          <w:rFonts w:ascii="Arial" w:hAnsi="Arial"/>
          <w:color w:val="334155"/>
          <w:sz w:val="20"/>
        </w:rPr>
        <w:t>Fielding, Roy Thomas. 'Architectural Styles and the Design of Network-based Software Architectures.' Doctoral dissertation, University of California, Irvine, 2000.</w:t>
      </w:r>
    </w:p>
    <w:p>
      <w:pPr>
        <w:pStyle w:val="ListBullet"/>
        <w:spacing w:after="80" w:line="276" w:lineRule="auto"/>
      </w:pPr>
      <w:r>
        <w:rPr>
          <w:rFonts w:ascii="Arial" w:hAnsi="Arial"/>
          <w:b/>
          <w:color w:val="0F172A"/>
          <w:sz w:val="20"/>
        </w:rPr>
        <w:t xml:space="preserve">[2] Django Framework: </w:t>
      </w:r>
      <w:r>
        <w:rPr>
          <w:rFonts w:ascii="Arial" w:hAnsi="Arial"/>
          <w:color w:val="334155"/>
          <w:sz w:val="20"/>
        </w:rPr>
        <w:t>Django Software Foundation. 'Django Documentation (Version 5.0) — Models, Multi-tenancy, and Security Best Practices.' https://docs.djangoproject.com/en/5.0/</w:t>
      </w:r>
    </w:p>
    <w:p>
      <w:pPr>
        <w:pStyle w:val="ListBullet"/>
        <w:spacing w:after="80" w:line="276" w:lineRule="auto"/>
      </w:pPr>
      <w:r>
        <w:rPr>
          <w:rFonts w:ascii="Arial" w:hAnsi="Arial"/>
          <w:b/>
          <w:color w:val="0F172A"/>
          <w:sz w:val="20"/>
        </w:rPr>
        <w:t xml:space="preserve">[3] React Framework: </w:t>
      </w:r>
      <w:r>
        <w:rPr>
          <w:rFonts w:ascii="Arial" w:hAnsi="Arial"/>
          <w:color w:val="334155"/>
          <w:sz w:val="20"/>
        </w:rPr>
        <w:t>Meta Open Source. 'React 18 Documentation — Concurrent Features, Server Components, and Virtual DOM Rebalancing.' https://react.dev/</w:t>
      </w:r>
    </w:p>
    <w:p>
      <w:pPr>
        <w:pStyle w:val="ListBullet"/>
        <w:spacing w:after="80" w:line="276" w:lineRule="auto"/>
      </w:pPr>
      <w:r>
        <w:rPr>
          <w:rFonts w:ascii="Arial" w:hAnsi="Arial"/>
          <w:b/>
          <w:color w:val="0F172A"/>
          <w:sz w:val="20"/>
        </w:rPr>
        <w:t xml:space="preserve">[4] Double-Entry Accounting: </w:t>
      </w:r>
      <w:r>
        <w:rPr>
          <w:rFonts w:ascii="Arial" w:hAnsi="Arial"/>
          <w:color w:val="334155"/>
          <w:sz w:val="20"/>
        </w:rPr>
        <w:t>Christie, R., and Jones, M. 'Double-Entry Accounting Principles for Enterprise Resource Planning Systems.' Journal of Software Engineering &amp; Financial Systems, Vol. 14, 2021.</w:t>
      </w:r>
    </w:p>
    <w:p>
      <w:pPr>
        <w:pStyle w:val="ListBullet"/>
        <w:spacing w:after="80" w:line="276" w:lineRule="auto"/>
      </w:pPr>
      <w:r>
        <w:rPr>
          <w:rFonts w:ascii="Arial" w:hAnsi="Arial"/>
          <w:b/>
          <w:color w:val="0F172A"/>
          <w:sz w:val="20"/>
        </w:rPr>
        <w:t xml:space="preserve">[5] PostgreSQL RDBMS: </w:t>
      </w:r>
      <w:r>
        <w:rPr>
          <w:rFonts w:ascii="Arial" w:hAnsi="Arial"/>
          <w:color w:val="334155"/>
          <w:sz w:val="20"/>
        </w:rPr>
        <w:t>The PostgreSQL Global Development Group. 'PostgreSQL 15.0 Documentation — Concurrency Control, Indexing, and Transaction Isolation.' https://www.postgresql.org/docs/15/</w:t>
      </w:r>
    </w:p>
    <w:p>
      <w:pPr>
        <w:pStyle w:val="ListBullet"/>
        <w:spacing w:after="80" w:line="276" w:lineRule="auto"/>
      </w:pPr>
      <w:r>
        <w:rPr>
          <w:rFonts w:ascii="Arial" w:hAnsi="Arial"/>
          <w:b/>
          <w:color w:val="0F172A"/>
          <w:sz w:val="20"/>
        </w:rPr>
        <w:t xml:space="preserve">[6] ReportLab Engine: </w:t>
      </w:r>
      <w:r>
        <w:rPr>
          <w:rFonts w:ascii="Arial" w:hAnsi="Arial"/>
          <w:color w:val="334155"/>
          <w:sz w:val="20"/>
        </w:rPr>
        <w:t>ReportLab Europe Ltd. 'ReportLab PDF Library User Guide — Programmatic PDF Compilation &amp; Canvas Drawing.' https://www.reportlab.com/documentation/</w:t>
      </w:r>
    </w:p>
    <w:p>
      <w:pPr>
        <w:pStyle w:val="ListBullet"/>
        <w:spacing w:after="80" w:line="276" w:lineRule="auto"/>
      </w:pPr>
      <w:r>
        <w:rPr>
          <w:rFonts w:ascii="Arial" w:hAnsi="Arial"/>
          <w:b/>
          <w:color w:val="0F172A"/>
          <w:sz w:val="20"/>
        </w:rPr>
        <w:t xml:space="preserve">[7] Construction Industry: </w:t>
      </w:r>
      <w:r>
        <w:rPr>
          <w:rFonts w:ascii="Arial" w:hAnsi="Arial"/>
          <w:color w:val="334155"/>
          <w:sz w:val="20"/>
        </w:rPr>
        <w:t>Indian Construction Association (ICA). 'Best Practices in Construction Site Labor Muster &amp; Advance Recovery Governance.' Construction Technology Review, 2023.</w:t>
      </w:r>
    </w:p>
    <w:p>
      <w:r>
        <w:br w:type="page"/>
      </w:r>
    </w:p>
    <w:p>
      <w:pPr>
        <w:spacing w:before="4400"/>
      </w:pPr>
    </w:p>
    <w:p>
      <w:pPr>
        <w:spacing w:after="4000"/>
        <w:jc w:val="center"/>
      </w:pPr>
      <w:r>
        <w:rPr>
          <w:rFonts w:ascii="Times New Roman" w:hAnsi="Times New Roman"/>
          <w:b/>
          <w:color w:val="0F172A"/>
          <w:sz w:val="64"/>
        </w:rPr>
        <w:t>REPORTING REPORT</w:t>
      </w:r>
    </w:p>
    <w:p>
      <w:r>
        <w:br w:type="page"/>
      </w:r>
    </w:p>
    <w:p>
      <w:pPr>
        <w:keepNext/>
        <w:spacing w:before="280" w:after="160"/>
      </w:pPr>
      <w:r>
        <w:rPr>
          <w:rFonts w:ascii="Arial" w:hAnsi="Arial"/>
          <w:b/>
          <w:color w:val="0F172A"/>
          <w:sz w:val="28"/>
        </w:rPr>
        <w:t xml:space="preserve">❖ </w:t>
      </w:r>
      <w:r>
        <w:rPr>
          <w:rFonts w:ascii="Arial" w:hAnsi="Arial"/>
          <w:b/>
          <w:color w:val="0F172A"/>
          <w:sz w:val="28"/>
          <w:u w:val="single"/>
        </w:rPr>
        <w:t>Reporting Report</w:t>
      </w:r>
    </w:p>
    <w:p>
      <w:pPr>
        <w:spacing w:after="120" w:line="276" w:lineRule="auto"/>
      </w:pPr>
      <w:r>
        <w:rPr>
          <w:rFonts w:ascii="Arial" w:hAnsi="Arial"/>
          <w:i/>
          <w:color w:val="334155"/>
          <w:sz w:val="20"/>
        </w:rPr>
        <w:t>Internal guide evaluation, review feedback, and project milestone progress log:</w:t>
      </w:r>
    </w:p>
    <w:tbl>
      <w:tblPr>
        <w:tblW w:type="auto" w:w="0"/>
        <w:jc w:val="center"/>
        <w:tblLook w:firstColumn="1" w:firstRow="1" w:lastColumn="0" w:lastRow="0" w:noHBand="0" w:noVBand="1" w:val="04A0"/>
      </w:tblPr>
      <w:tblGrid>
        <w:gridCol w:w="1958"/>
        <w:gridCol w:w="1958"/>
        <w:gridCol w:w="1958"/>
        <w:gridCol w:w="1958"/>
        <w:gridCol w:w="1958"/>
      </w:tblGrid>
      <w:tr>
        <w:trPr>
          <w:cantSplit/>
          <w:tblHeader/>
        </w:trPr>
        <w:tc>
          <w:tcPr>
            <w:tcW w:type="dxa" w:w="1958"/>
            <w:vAlign w:val="center"/>
            <w:tcMar>
              <w:top w:w="100" w:type="dxa"/>
              <w:bottom w:w="100" w:type="dxa"/>
              <w:left w:w="130" w:type="dxa"/>
              <w:right w:w="130" w:type="dxa"/>
            </w:tcMar>
            <w:shd w:fill="1E3A8A"/>
          </w:tcPr>
          <w:p>
            <w:pPr>
              <w:spacing w:after="40" w:before="40"/>
            </w:pPr>
            <w:r>
              <w:rPr>
                <w:rFonts w:ascii="Arial" w:hAnsi="Arial"/>
                <w:b/>
                <w:color w:val="FFFFFF"/>
                <w:sz w:val="19"/>
              </w:rPr>
              <w:t>Review No.</w:t>
            </w:r>
          </w:p>
        </w:tc>
        <w:tc>
          <w:tcPr>
            <w:tcW w:type="dxa" w:w="1958"/>
            <w:vAlign w:val="center"/>
            <w:tcMar>
              <w:top w:w="100" w:type="dxa"/>
              <w:bottom w:w="100" w:type="dxa"/>
              <w:left w:w="130" w:type="dxa"/>
              <w:right w:w="130" w:type="dxa"/>
            </w:tcMar>
            <w:shd w:fill="1E3A8A"/>
          </w:tcPr>
          <w:p>
            <w:pPr>
              <w:spacing w:after="40" w:before="40"/>
            </w:pPr>
            <w:r>
              <w:rPr>
                <w:rFonts w:ascii="Arial" w:hAnsi="Arial"/>
                <w:b/>
                <w:color w:val="FFFFFF"/>
                <w:sz w:val="19"/>
              </w:rPr>
              <w:t>Date</w:t>
            </w:r>
          </w:p>
        </w:tc>
        <w:tc>
          <w:tcPr>
            <w:tcW w:type="dxa" w:w="1958"/>
            <w:vAlign w:val="center"/>
            <w:tcMar>
              <w:top w:w="100" w:type="dxa"/>
              <w:bottom w:w="100" w:type="dxa"/>
              <w:left w:w="130" w:type="dxa"/>
              <w:right w:w="130" w:type="dxa"/>
            </w:tcMar>
            <w:shd w:fill="1E3A8A"/>
          </w:tcPr>
          <w:p>
            <w:pPr>
              <w:spacing w:after="40" w:before="40"/>
            </w:pPr>
            <w:r>
              <w:rPr>
                <w:rFonts w:ascii="Arial" w:hAnsi="Arial"/>
                <w:b/>
                <w:color w:val="FFFFFF"/>
                <w:sz w:val="19"/>
              </w:rPr>
              <w:t>Agenda / Work Accomplished</w:t>
            </w:r>
          </w:p>
        </w:tc>
        <w:tc>
          <w:tcPr>
            <w:tcW w:type="dxa" w:w="1958"/>
            <w:vAlign w:val="center"/>
            <w:tcMar>
              <w:top w:w="100" w:type="dxa"/>
              <w:bottom w:w="100" w:type="dxa"/>
              <w:left w:w="130" w:type="dxa"/>
              <w:right w:w="130" w:type="dxa"/>
            </w:tcMar>
            <w:shd w:fill="1E3A8A"/>
          </w:tcPr>
          <w:p>
            <w:pPr>
              <w:spacing w:after="40" w:before="40"/>
            </w:pPr>
            <w:r>
              <w:rPr>
                <w:rFonts w:ascii="Arial" w:hAnsi="Arial"/>
                <w:b/>
                <w:color w:val="FFFFFF"/>
                <w:sz w:val="19"/>
              </w:rPr>
              <w:t>Guide Remarks &amp; Suggestions</w:t>
            </w:r>
          </w:p>
        </w:tc>
        <w:tc>
          <w:tcPr>
            <w:tcW w:type="dxa" w:w="1958"/>
            <w:vAlign w:val="center"/>
            <w:tcMar>
              <w:top w:w="100" w:type="dxa"/>
              <w:bottom w:w="100" w:type="dxa"/>
              <w:left w:w="130" w:type="dxa"/>
              <w:right w:w="130" w:type="dxa"/>
            </w:tcMar>
            <w:shd w:fill="1E3A8A"/>
          </w:tcPr>
          <w:p>
            <w:pPr>
              <w:spacing w:after="40" w:before="40"/>
            </w:pPr>
            <w:r>
              <w:rPr>
                <w:rFonts w:ascii="Arial" w:hAnsi="Arial"/>
                <w:b/>
                <w:color w:val="FFFFFF"/>
                <w:sz w:val="19"/>
              </w:rPr>
              <w:t>Signature</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Review 1</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Week 2</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Project Title Selection, Problem Identification &amp; SRS Definition</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Approved topic and multi-tenant construction scope.</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____________</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Review 2</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Week 5</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System Design: ERD, UML Class Diagram, DFD Level 0 &amp; Level 1</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Refine double-entry accounting models and geo-fence radius.</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____________</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Review 3</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Week 8</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Module Implementation: Auth, Projects, Workforce &amp; Attendance</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Ensure supervisors cannot alter daily pay rates.</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____________</w:t>
            </w:r>
          </w:p>
        </w:tc>
      </w:tr>
      <w:tr>
        <w:trPr>
          <w:cantSplit/>
        </w:trPr>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Review 4</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Week 11</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Module Implementation: DPR, Expenses, FIFO Advance &amp; Payroll</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Verify itemized voucher calculations and PDF letterheads.</w:t>
            </w:r>
          </w:p>
        </w:tc>
        <w:tc>
          <w:tcPr>
            <w:tcW w:type="dxa" w:w="1958"/>
            <w:vAlign w:val="center"/>
            <w:tcMar>
              <w:top w:w="100" w:type="dxa"/>
              <w:bottom w:w="100" w:type="dxa"/>
              <w:left w:w="130" w:type="dxa"/>
              <w:right w:w="130" w:type="dxa"/>
            </w:tcMar>
            <w:shd w:fill="F8FAFC"/>
          </w:tcPr>
          <w:p>
            <w:pPr>
              <w:spacing w:after="40" w:before="40"/>
            </w:pPr>
            <w:r>
              <w:rPr>
                <w:rFonts w:ascii="Arial" w:hAnsi="Arial"/>
                <w:color w:val="1E293B"/>
                <w:sz w:val="18"/>
              </w:rPr>
              <w:t>____________</w:t>
            </w:r>
          </w:p>
        </w:tc>
      </w:tr>
      <w:tr>
        <w:trPr>
          <w:cantSplit/>
        </w:trPr>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Review 5</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Week 14</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Testing &amp; Verification: 186 Automated Unit Tests &amp; Final Report</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System tested with 100% test pass rate. Ready for submission.</w:t>
            </w:r>
          </w:p>
        </w:tc>
        <w:tc>
          <w:tcPr>
            <w:tcW w:type="dxa" w:w="1958"/>
            <w:vAlign w:val="center"/>
            <w:tcMar>
              <w:top w:w="100" w:type="dxa"/>
              <w:bottom w:w="100" w:type="dxa"/>
              <w:left w:w="130" w:type="dxa"/>
              <w:right w:w="130" w:type="dxa"/>
            </w:tcMar>
            <w:shd w:fill="FFFFFF"/>
          </w:tcPr>
          <w:p>
            <w:pPr>
              <w:spacing w:after="40" w:before="40"/>
            </w:pPr>
            <w:r>
              <w:rPr>
                <w:rFonts w:ascii="Arial" w:hAnsi="Arial"/>
                <w:color w:val="1E293B"/>
                <w:sz w:val="18"/>
              </w:rPr>
              <w:t>____________</w:t>
            </w:r>
          </w:p>
        </w:tc>
      </w:tr>
    </w:tbl>
    <w:sectPr w:rsidR="00FC693F" w:rsidRPr="0006063C" w:rsidSect="00034616">
      <w:headerReference w:type="default" r:id="rId9"/>
      <w:footerReference w:type="default" r:id="rId10"/>
      <w:pgSz w:w="12240" w:h="15840"/>
      <w:pgMar w:top="1152" w:right="1224" w:bottom="1152" w:left="1224" w:header="576" w:footer="576" w:gutter="0"/>
      <w:cols w:space="720"/>
      <w:docGrid w:linePitch="360"/>
      <w:pgBorders w:offsetFrom="page">
        <w:top w:val="thinThickSmallGap" w:sz="24" w:space="24" w:color="auto"/>
        <w:left w:val="thinThickSmallGap" w:sz="24" w:space="24" w:color="auto"/>
        <w:bottom w:val="thickThinSmallGap" w:sz="24" w:space="24" w:color="auto"/>
        <w:right w:val="thickThinSmallGap" w:sz="24" w:space="24" w:color="auto"/>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BuildSphere AI — Enterprise Construction Management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00000"/>
        <w:sz w:val="19"/>
      </w:rPr>
      <w:t>Project Name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