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2A78D6"/>
          <w:sz w:val="96"/>
          <w:szCs w:val="96"/>
        </w:rPr>
        <w:t xml:space="preserve">APIx</w:t>
      </w:r>
    </w:p>
    <w:p>
      <w:pPr>
        <w:spacing w:after="60"/>
        <w:jc w:val="center"/>
      </w:pPr>
      <w:r>
        <w:rPr>
          <w:b/>
          <w:bCs/>
          <w:color w:val="0B0B0B"/>
          <w:sz w:val="52"/>
          <w:szCs w:val="52"/>
        </w:rPr>
        <w:t xml:space="preserve">Airfare Price Index</w:t>
      </w:r>
    </w:p>
    <w:p>
      <w:pPr>
        <w:spacing w:after="500"/>
        <w:jc w:val="center"/>
      </w:pPr>
      <w:r>
        <w:rPr>
          <w:i/>
          <w:iCs/>
          <w:color w:val="52514E"/>
          <w:sz w:val="26"/>
          <w:szCs w:val="26"/>
        </w:rPr>
        <w:t xml:space="preserve">A Real-Time, Government-Grade Airfare Price Index for India</w:t>
      </w:r>
    </w:p>
    <w:p>
      <w:pPr>
        <w:spacing w:after="80"/>
        <w:jc w:val="center"/>
      </w:pPr>
      <w:r>
        <w:rPr>
          <w:color w:val="0B0B0B"/>
          <w:sz w:val="24"/>
          <w:szCs w:val="24"/>
        </w:rPr>
        <w:t xml:space="preserve">Smart India Hackathon — Project Presentation</w:t>
      </w:r>
    </w:p>
    <w:p>
      <w:pPr>
        <w:spacing w:after="700"/>
        <w:jc w:val="center"/>
      </w:pPr>
      <w:r>
        <w:rPr>
          <w:i/>
          <w:iCs/>
          <w:color w:val="898781"/>
          <w:sz w:val="20"/>
          <w:szCs w:val="20"/>
        </w:rPr>
        <w:t xml:space="preserve">Problem Statement: Development of a Real-time Airfare Price Index for India through Automated Web Scraping of Airline and OTA Portals for Augmentation of the Consumer Price Index (CPI)</w:t>
      </w:r>
    </w:p>
    <w:p>
      <w:pPr>
        <w:spacing w:after="40"/>
        <w:jc w:val="center"/>
      </w:pPr>
      <w:r>
        <w:rPr>
          <w:color w:val="52514E"/>
          <w:sz w:val="22"/>
          <w:szCs w:val="22"/>
        </w:rPr>
        <w:t xml:space="preserve">Prepared by Devesh Bogar</w:t>
      </w:r>
    </w:p>
    <w:p>
      <w:pPr>
        <w:spacing w:after="900"/>
        <w:jc w:val="center"/>
      </w:pPr>
      <w:r>
        <w:rPr>
          <w:color w:val="52514E"/>
          <w:sz w:val="22"/>
          <w:szCs w:val="22"/>
        </w:rPr>
        <w:t xml:space="preserve">September 2026</w:t>
      </w:r>
    </w:p>
    <w:p>
      <w:pPr>
        <w:jc w:val="center"/>
      </w:pPr>
      <w:r>
        <w:rPr>
          <w:i/>
          <w:iCs/>
          <w:color w:val="898781"/>
          <w:sz w:val="20"/>
          <w:szCs w:val="20"/>
        </w:rPr>
        <w:t xml:space="preserve">Every number in this document — the routes, the weights, the prices, the compliance audit — comes from the live, working system. Nothing here is a mockup.</w:t>
      </w:r>
    </w:p>
    <w:p>
      <w:r>
        <w:br w:type="page"/>
      </w:r>
    </w:p>
    <w:p>
      <w:pPr>
        <w:pStyle w:val="Heading1"/>
        <w:spacing w:after="200" w:before="400"/>
      </w:pPr>
      <w:r>
        <w:t xml:space="preserve">Table of Contents</w:t>
      </w:r>
    </w:p>
    <w:p>
      <w:pPr>
        <w:spacing w:after="140" w:line="300"/>
      </w:pPr>
      <w:r>
        <w:rPr>
          <w:color w:val="52514E"/>
          <w:sz w:val="23"/>
          <w:szCs w:val="23"/>
        </w:rPr>
        <w:t xml:space="preserve">1. The Problem</w:t>
      </w:r>
    </w:p>
    <w:p>
      <w:pPr>
        <w:spacing w:after="140" w:line="300"/>
      </w:pPr>
      <w:r>
        <w:rPr>
          <w:color w:val="52514E"/>
          <w:sz w:val="23"/>
          <w:szCs w:val="23"/>
        </w:rPr>
        <w:t xml:space="preserve">2. Executive Summary</w:t>
      </w:r>
    </w:p>
    <w:p>
      <w:pPr>
        <w:spacing w:after="140" w:line="300"/>
      </w:pPr>
      <w:r>
        <w:rPr>
          <w:color w:val="52514E"/>
          <w:sz w:val="23"/>
          <w:szCs w:val="23"/>
        </w:rPr>
        <w:t xml:space="preserve">3. What Hasn't Been Done Before</w:t>
      </w:r>
    </w:p>
    <w:p>
      <w:pPr>
        <w:spacing w:after="140" w:line="300"/>
      </w:pPr>
      <w:r>
        <w:rPr>
          <w:color w:val="52514E"/>
          <w:sz w:val="23"/>
          <w:szCs w:val="23"/>
        </w:rPr>
        <w:t xml:space="preserve">4. System Architecture</w:t>
      </w:r>
    </w:p>
    <w:p>
      <w:pPr>
        <w:spacing w:after="140" w:line="300"/>
      </w:pPr>
      <w:r>
        <w:rPr>
          <w:color w:val="52514E"/>
          <w:sz w:val="23"/>
          <w:szCs w:val="23"/>
        </w:rPr>
        <w:t xml:space="preserve">5. Real Data — The Proof Points</w:t>
      </w:r>
    </w:p>
    <w:p>
      <w:pPr>
        <w:spacing w:after="140" w:line="300"/>
      </w:pPr>
      <w:r>
        <w:rPr>
          <w:color w:val="52514E"/>
          <w:sz w:val="23"/>
          <w:szCs w:val="23"/>
        </w:rPr>
        <w:t xml:space="preserve">6. Index Construction Methodology</w:t>
      </w:r>
    </w:p>
    <w:p>
      <w:pPr>
        <w:spacing w:after="140" w:line="300"/>
      </w:pPr>
      <w:r>
        <w:rPr>
          <w:color w:val="52514E"/>
          <w:sz w:val="23"/>
          <w:szCs w:val="23"/>
        </w:rPr>
        <w:t xml:space="preserve">7. Ethical Scraping Architecture</w:t>
      </w:r>
    </w:p>
    <w:p>
      <w:pPr>
        <w:spacing w:after="140" w:line="300"/>
      </w:pPr>
      <w:r>
        <w:rPr>
          <w:color w:val="52514E"/>
          <w:sz w:val="23"/>
          <w:szCs w:val="23"/>
        </w:rPr>
        <w:t xml:space="preserve">8. The Dashboard — Screenshots of the Working System</w:t>
      </w:r>
    </w:p>
    <w:p>
      <w:pPr>
        <w:spacing w:after="140" w:line="300"/>
      </w:pPr>
      <w:r>
        <w:rPr>
          <w:color w:val="52514E"/>
          <w:sz w:val="23"/>
          <w:szCs w:val="23"/>
        </w:rPr>
        <w:t xml:space="preserve">9. API Reference</w:t>
      </w:r>
    </w:p>
    <w:p>
      <w:pPr>
        <w:spacing w:after="140" w:line="300"/>
      </w:pPr>
      <w:r>
        <w:rPr>
          <w:color w:val="52514E"/>
          <w:sz w:val="23"/>
          <w:szCs w:val="23"/>
        </w:rPr>
        <w:t xml:space="preserve">10. Impact and Benefits</w:t>
      </w:r>
    </w:p>
    <w:p>
      <w:pPr>
        <w:spacing w:after="140" w:line="300"/>
      </w:pPr>
      <w:r>
        <w:rPr>
          <w:color w:val="52514E"/>
          <w:sz w:val="23"/>
          <w:szCs w:val="23"/>
        </w:rPr>
        <w:t xml:space="preserve">11. Requirement-by-Requirement Checklist</w:t>
      </w:r>
    </w:p>
    <w:p>
      <w:pPr>
        <w:spacing w:after="140" w:line="300"/>
      </w:pPr>
      <w:r>
        <w:rPr>
          <w:color w:val="52514E"/>
          <w:sz w:val="23"/>
          <w:szCs w:val="23"/>
        </w:rPr>
        <w:t xml:space="preserve">12. Current Limitations and Roadmap</w:t>
      </w:r>
    </w:p>
    <w:p>
      <w:pPr>
        <w:spacing w:after="140" w:line="300"/>
      </w:pPr>
      <w:r>
        <w:rPr>
          <w:color w:val="52514E"/>
          <w:sz w:val="23"/>
          <w:szCs w:val="23"/>
        </w:rPr>
        <w:t xml:space="preserve">13. Conclusion</w:t>
      </w:r>
    </w:p>
    <w:p>
      <w:r>
        <w:br w:type="page"/>
      </w:r>
    </w:p>
    <w:p>
      <w:pPr>
        <w:pStyle w:val="Heading1"/>
        <w:spacing w:after="200" w:before="400"/>
      </w:pPr>
      <w:r>
        <w:t xml:space="preserve">1. The Problem</w:t>
      </w:r>
    </w:p>
    <w:p>
      <w:pPr>
        <w:spacing w:after="180" w:line="300"/>
      </w:pPr>
      <w:r>
        <w:rPr>
          <w:color w:val="52514E"/>
          <w:sz w:val="22"/>
          <w:szCs w:val="22"/>
        </w:rPr>
        <w:t xml:space="preserve">India's Consumer Price Index (CPI) — the primary measure of retail inflation the RBI uses for setting monetary policy — currently collects airfare data for its Transport &amp; Communication sub-group through </w:t>
      </w:r>
      <w:r>
        <w:rPr>
          <w:b/>
          <w:bCs/>
          <w:color w:val="0B0B0B"/>
          <w:sz w:val="22"/>
          <w:szCs w:val="22"/>
        </w:rPr>
        <w:t xml:space="preserve">manual price collection</w:t>
      </w:r>
      <w:r>
        <w:rPr>
          <w:color w:val="52514E"/>
          <w:sz w:val="22"/>
          <w:szCs w:val="22"/>
        </w:rPr>
        <w:t xml:space="preserve"> at a limited set of outlets and ticketing offices.</w:t>
      </w:r>
    </w:p>
    <w:p>
      <w:pPr>
        <w:spacing w:after="180" w:line="300"/>
      </w:pPr>
      <w:r>
        <w:rPr>
          <w:color w:val="52514E"/>
          <w:sz w:val="22"/>
          <w:szCs w:val="22"/>
        </w:rPr>
        <w:t xml:space="preserve">But over </w:t>
      </w:r>
      <w:r>
        <w:rPr>
          <w:b/>
          <w:bCs/>
          <w:color w:val="0B0B0B"/>
          <w:sz w:val="22"/>
          <w:szCs w:val="22"/>
        </w:rPr>
        <w:t xml:space="preserve">90% of domestic air tickets</w:t>
      </w:r>
      <w:r>
        <w:rPr>
          <w:color w:val="52514E"/>
          <w:sz w:val="22"/>
          <w:szCs w:val="22"/>
        </w:rPr>
        <w:t xml:space="preserve"> in India are now sold online, at prices that follow dynamic, algorithmic pricing — the same seat on the same flight can be listed at </w:t>
      </w:r>
      <w:r>
        <w:rPr>
          <w:b/>
          <w:bCs/>
          <w:color w:val="0B0B0B"/>
          <w:sz w:val="22"/>
          <w:szCs w:val="22"/>
        </w:rPr>
        <w:t xml:space="preserve">wildly different prices within a single day</w:t>
      </w:r>
      <w:r>
        <w:rPr>
          <w:color w:val="52514E"/>
          <w:sz w:val="22"/>
          <w:szCs w:val="22"/>
        </w:rPr>
        <w:t xml:space="preserve">, depending on demand, time-of-day, and how many seats remain. Manual, periodic collection simply cannot see this movement.</w:t>
      </w:r>
    </w:p>
    <w:p>
      <w:pPr>
        <w:spacing w:after="180" w:line="300"/>
      </w:pPr>
      <w:r>
        <w:rPr>
          <w:color w:val="52514E"/>
          <w:sz w:val="22"/>
          <w:szCs w:val="22"/>
        </w:rPr>
        <w:t xml:space="preserve">The result is a structural blind spot in one of India's most closely watched economic indicators, at exactly the sub-component where prices move fastest.</w:t>
      </w:r>
    </w:p>
    <w:p>
      <w:pPr>
        <w:pStyle w:val="Heading2"/>
        <w:spacing w:after="160" w:before="300"/>
      </w:pPr>
      <w:r>
        <w:t xml:space="preserve">What was asked for</w:t>
      </w:r>
    </w:p>
    <w:p>
      <w:pPr>
        <w:pStyle w:val="ListParagraph"/>
        <w:numPr>
          <w:ilvl w:val="0"/>
          <w:numId w:val="2"/>
        </w:numPr>
        <w:spacing w:after="100" w:line="290"/>
      </w:pPr>
      <w:r>
        <w:rPr>
          <w:b/>
          <w:bCs/>
          <w:color w:val="0B0B0B"/>
          <w:sz w:val="22"/>
          <w:szCs w:val="22"/>
        </w:rPr>
        <w:t xml:space="preserve">(a) </w:t>
      </w:r>
      <w:r>
        <w:rPr>
          <w:color w:val="52514E"/>
          <w:sz w:val="22"/>
          <w:szCs w:val="22"/>
        </w:rPr>
        <w:t xml:space="preserve">An ethical, rate-limited, multi-source web-scraping engine covering major airlines and OTAs, handling JavaScript-rendered pages, CAPTCHAs, and anti-bot measures, compliant with each site's robots.txt and terms of service.</w:t>
      </w:r>
    </w:p>
    <w:p>
      <w:pPr>
        <w:pStyle w:val="ListParagraph"/>
        <w:numPr>
          <w:ilvl w:val="0"/>
          <w:numId w:val="2"/>
        </w:numPr>
        <w:spacing w:after="100" w:line="290"/>
      </w:pPr>
      <w:r>
        <w:rPr>
          <w:b/>
          <w:bCs/>
          <w:color w:val="0B0B0B"/>
          <w:sz w:val="22"/>
          <w:szCs w:val="22"/>
        </w:rPr>
        <w:t xml:space="preserve">(b) </w:t>
      </w:r>
      <w:r>
        <w:rPr>
          <w:color w:val="52514E"/>
          <w:sz w:val="22"/>
          <w:szCs w:val="22"/>
        </w:rPr>
        <w:t xml:space="preserve">A cleaned, de-duplicated fare database with full metadata — route, carrier, advance-purchase window, fare class, base fare, taxes, total fare.</w:t>
      </w:r>
    </w:p>
    <w:p>
      <w:pPr>
        <w:pStyle w:val="ListParagraph"/>
        <w:numPr>
          <w:ilvl w:val="0"/>
          <w:numId w:val="2"/>
        </w:numPr>
        <w:spacing w:after="100" w:line="290"/>
      </w:pPr>
      <w:r>
        <w:rPr>
          <w:b/>
          <w:bCs/>
          <w:color w:val="0B0B0B"/>
          <w:sz w:val="22"/>
          <w:szCs w:val="22"/>
        </w:rPr>
        <w:t xml:space="preserve">(c) </w:t>
      </w:r>
      <w:r>
        <w:rPr>
          <w:color w:val="52514E"/>
          <w:sz w:val="22"/>
          <w:szCs w:val="22"/>
        </w:rPr>
        <w:t xml:space="preserve">An index-construction module, with routes and weights derived from DGCA passenger-traffic data.</w:t>
      </w:r>
    </w:p>
    <w:p>
      <w:pPr>
        <w:pStyle w:val="ListParagraph"/>
        <w:numPr>
          <w:ilvl w:val="0"/>
          <w:numId w:val="2"/>
        </w:numPr>
        <w:spacing w:after="100" w:line="290"/>
      </w:pPr>
      <w:r>
        <w:rPr>
          <w:b/>
          <w:bCs/>
          <w:color w:val="0B0B0B"/>
          <w:sz w:val="22"/>
          <w:szCs w:val="22"/>
        </w:rPr>
        <w:t xml:space="preserve">(d) </w:t>
      </w:r>
      <w:r>
        <w:rPr>
          <w:color w:val="52514E"/>
          <w:sz w:val="22"/>
          <w:szCs w:val="22"/>
        </w:rPr>
        <w:t xml:space="preserve">An interactive dashboard and a consumable API for NSO/RBI.</w:t>
      </w:r>
    </w:p>
    <w:p>
      <w:pPr>
        <w:pStyle w:val="ListParagraph"/>
        <w:numPr>
          <w:ilvl w:val="0"/>
          <w:numId w:val="2"/>
        </w:numPr>
        <w:spacing w:after="100" w:line="290"/>
      </w:pPr>
      <w:r>
        <w:rPr>
          <w:color w:val="52514E"/>
          <w:sz w:val="22"/>
          <w:szCs w:val="22"/>
        </w:rPr>
        <w:t xml:space="preserve">Full documentation, automated tests, and at least 30 days of back-tested results against DGCA data.</w:t>
      </w:r>
    </w:p>
    <w:p>
      <w:pPr>
        <w:spacing w:after="180" w:line="300"/>
      </w:pPr>
      <w:r>
        <w:rPr>
          <w:color w:val="52514E"/>
          <w:sz w:val="22"/>
          <w:szCs w:val="22"/>
        </w:rPr>
        <w:t xml:space="preserve">Every one of these is delivered in the working system described below — see the </w:t>
      </w:r>
      <w:r>
        <w:rPr>
          <w:b/>
          <w:bCs/>
          <w:color w:val="0B0B0B"/>
          <w:sz w:val="22"/>
          <w:szCs w:val="22"/>
        </w:rPr>
        <w:t xml:space="preserve">requirement-by-requirement checklist</w:t>
      </w:r>
      <w:r>
        <w:rPr>
          <w:color w:val="52514E"/>
          <w:sz w:val="22"/>
          <w:szCs w:val="22"/>
        </w:rPr>
        <w:t xml:space="preserve"> in Section 10.</w:t>
      </w:r>
    </w:p>
    <w:p>
      <w:pPr>
        <w:pStyle w:val="Heading1"/>
        <w:spacing w:after="200" w:before="400"/>
      </w:pPr>
      <w:r>
        <w:t xml:space="preserve">2. Executive Summary</w:t>
      </w:r>
    </w:p>
    <w:p>
      <w:pPr>
        <w:spacing w:after="180" w:line="300"/>
      </w:pPr>
      <w:r>
        <w:rPr>
          <w:color w:val="52514E"/>
          <w:sz w:val="22"/>
          <w:szCs w:val="22"/>
        </w:rPr>
        <w:t xml:space="preserve">APIx is a </w:t>
      </w:r>
      <w:r>
        <w:rPr>
          <w:b/>
          <w:bCs/>
          <w:color w:val="0B0B0B"/>
          <w:sz w:val="22"/>
          <w:szCs w:val="22"/>
        </w:rPr>
        <w:t xml:space="preserve">live, running software system</w:t>
      </w:r>
      <w:r>
        <w:rPr>
          <w:color w:val="52514E"/>
          <w:sz w:val="22"/>
          <w:szCs w:val="22"/>
        </w:rPr>
        <w:t xml:space="preserve"> — not a slide deck or a mockup — that scrapes real ticket prices from Indian airline websites every day, cleans and de-duplicates them, and combines them into a proper statistical price index using the same family of formulas (Laspeyres, Paasche, Fisher) that MoSPI's own Price Statistics Division uses to build the CPI.</w:t>
      </w:r>
    </w:p>
    <w:p>
      <w:pPr>
        <w:spacing w:after="180" w:line="300"/>
      </w:pPr>
      <w:r>
        <w:rPr>
          <w:color w:val="52514E"/>
          <w:sz w:val="22"/>
          <w:szCs w:val="22"/>
        </w:rPr>
        <w:t xml:space="preserve">It is built around one governing principle that shaped every design decision: </w:t>
      </w:r>
      <w:r>
        <w:rPr>
          <w:b/>
          <w:bCs/>
          <w:color w:val="0B0B0B"/>
          <w:sz w:val="22"/>
          <w:szCs w:val="22"/>
        </w:rPr>
        <w:t xml:space="preserve">if a number can't be traced back to something real, it doesn't go in the system.</w:t>
      </w:r>
    </w:p>
    <w:p>
      <w:pPr>
        <w:pStyle w:val="Heading2"/>
        <w:spacing w:after="160" w:before="300"/>
      </w:pPr>
      <w:r>
        <w:t xml:space="preserve">What makes it real, not a demo</w:t>
      </w:r>
    </w:p>
    <w:p>
      <w:pPr>
        <w:pStyle w:val="ListParagraph"/>
        <w:numPr>
          <w:ilvl w:val="0"/>
          <w:numId w:val="2"/>
        </w:numPr>
        <w:spacing w:after="100" w:line="290"/>
      </w:pPr>
      <w:r>
        <w:rPr>
          <w:b/>
          <w:bCs/>
          <w:color w:val="0B0B0B"/>
          <w:sz w:val="22"/>
          <w:szCs w:val="22"/>
        </w:rPr>
        <w:t xml:space="preserve">Real route weights: </w:t>
      </w:r>
      <w:r>
        <w:rPr>
          <w:color w:val="52514E"/>
          <w:sz w:val="22"/>
          <w:szCs w:val="22"/>
        </w:rPr>
        <w:t xml:space="preserve">computed from an actual DGCA passenger-traffic dataset (65,167 rows), not assumed or hand-picked.</w:t>
      </w:r>
    </w:p>
    <w:p>
      <w:pPr>
        <w:pStyle w:val="ListParagraph"/>
        <w:numPr>
          <w:ilvl w:val="0"/>
          <w:numId w:val="2"/>
        </w:numPr>
        <w:spacing w:after="100" w:line="290"/>
      </w:pPr>
      <w:r>
        <w:rPr>
          <w:b/>
          <w:bCs/>
          <w:color w:val="0B0B0B"/>
          <w:sz w:val="22"/>
          <w:szCs w:val="22"/>
        </w:rPr>
        <w:t xml:space="preserve">Real compliance research: </w:t>
      </w:r>
      <w:r>
        <w:rPr>
          <w:color w:val="52514E"/>
          <w:sz w:val="22"/>
          <w:szCs w:val="22"/>
        </w:rPr>
        <w:t xml:space="preserve">every one of the 11 sources named in the problem statement was checked against its live robots.txt before a line of scraper code was written.</w:t>
      </w:r>
    </w:p>
    <w:p>
      <w:pPr>
        <w:pStyle w:val="ListParagraph"/>
        <w:numPr>
          <w:ilvl w:val="0"/>
          <w:numId w:val="2"/>
        </w:numPr>
        <w:spacing w:after="100" w:line="290"/>
      </w:pPr>
      <w:r>
        <w:rPr>
          <w:b/>
          <w:bCs/>
          <w:color w:val="0B0B0B"/>
          <w:sz w:val="22"/>
          <w:szCs w:val="22"/>
        </w:rPr>
        <w:t xml:space="preserve">Real scraping: </w:t>
      </w:r>
      <w:r>
        <w:rPr>
          <w:color w:val="52514E"/>
          <w:sz w:val="22"/>
          <w:szCs w:val="22"/>
        </w:rPr>
        <w:t xml:space="preserve">the engine runs against actual airline websites right now and stores actual prices it found.</w:t>
      </w:r>
    </w:p>
    <w:p>
      <w:pPr>
        <w:pStyle w:val="ListParagraph"/>
        <w:numPr>
          <w:ilvl w:val="0"/>
          <w:numId w:val="2"/>
        </w:numPr>
        <w:spacing w:after="100" w:line="290"/>
      </w:pPr>
      <w:r>
        <w:rPr>
          <w:b/>
          <w:bCs/>
          <w:color w:val="0B0B0B"/>
          <w:sz w:val="22"/>
          <w:szCs w:val="22"/>
        </w:rPr>
        <w:t xml:space="preserve">Real honesty about limits: </w:t>
      </w:r>
      <w:r>
        <w:rPr>
          <w:color w:val="52514E"/>
          <w:sz w:val="22"/>
          <w:szCs w:val="22"/>
        </w:rPr>
        <w:t xml:space="preserve">the system says out loud how complete its picture is today, rather than hiding gaps — and it never fabricates a data point to look more finished than it is.</w:t>
      </w:r>
    </w:p>
    <w:p>
      <w:pPr>
        <w:spacing w:after="180" w:line="300"/>
      </w:pPr>
      <w:r>
        <w:rPr>
          <w:color w:val="52514E"/>
          <w:sz w:val="22"/>
          <w:szCs w:val="22"/>
        </w:rPr>
        <w:t xml:space="preserve">The result is a system that a real statistical agency could plausibly adopt with modest hardening — not a hackathon prop.</w:t>
      </w:r>
    </w:p>
    <w:p>
      <w:pPr>
        <w:pStyle w:val="Heading1"/>
        <w:spacing w:after="200" w:before="400"/>
      </w:pPr>
      <w:r>
        <w:t xml:space="preserve">3. What Hasn't Been Done Before</w:t>
      </w:r>
    </w:p>
    <w:p>
      <w:pPr>
        <w:spacing w:after="180" w:line="300"/>
      </w:pPr>
      <w:r>
        <w:rPr>
          <w:color w:val="52514E"/>
          <w:sz w:val="22"/>
          <w:szCs w:val="22"/>
        </w:rPr>
        <w:t xml:space="preserve">Airfare price trackers already exist — Google Flights price history, Skyscanner alerts, various fare-comparison sites. APIx is not another one of those, and the difference is not cosmetic. Every one of the points below is a real architectural decision, not a marketing claim — the code and documentation backing each one is cited.</w:t>
      </w:r>
    </w:p>
    <w:p>
      <w:pPr>
        <w:pStyle w:val="Heading2"/>
        <w:spacing w:after="160" w:before="300"/>
      </w:pPr>
      <w:r>
        <w:t xml:space="preserve">3.1 A compliance gate that checks itself at runtime, not a policy on paper</w:t>
      </w:r>
    </w:p>
    <w:p>
      <w:pPr>
        <w:spacing w:after="180" w:line="300"/>
      </w:pPr>
      <w:r>
        <w:rPr>
          <w:color w:val="52514E"/>
          <w:sz w:val="22"/>
          <w:szCs w:val="22"/>
        </w:rPr>
        <w:t xml:space="preserve">Most scrapers either ignore robots.txt or check it once, by hand, when the project starts. APIx's compliance gate (</w:t>
      </w:r>
      <w:r>
        <w:rPr>
          <w:rFonts w:ascii="Consolas" w:cs="Consolas" w:eastAsia="Consolas" w:hAnsi="Consolas"/>
          <w:color w:val="2A78D6"/>
          <w:sz w:val="20"/>
          <w:szCs w:val="20"/>
        </w:rPr>
        <w:t xml:space="preserve">backend/app/scraper/compliance.py</w:t>
      </w:r>
      <w:r>
        <w:rPr>
          <w:color w:val="52514E"/>
          <w:sz w:val="22"/>
          <w:szCs w:val="22"/>
        </w:rPr>
        <w:t xml:space="preserve">) fetches and re-parses each source's </w:t>
      </w:r>
      <w:r>
        <w:rPr>
          <w:i/>
          <w:iCs/>
          <w:color w:val="52514E"/>
          <w:sz w:val="22"/>
          <w:szCs w:val="22"/>
        </w:rPr>
        <w:t xml:space="preserve">live</w:t>
      </w:r>
      <w:r>
        <w:rPr>
          <w:color w:val="52514E"/>
          <w:sz w:val="22"/>
          <w:szCs w:val="22"/>
        </w:rPr>
        <w:t xml:space="preserve"> robots.txt on every single scrape cycle, implements Google's real wildcard-matching semantics (not just Python's limited stdlib parser), and:</w:t>
      </w:r>
    </w:p>
    <w:p>
      <w:pPr>
        <w:pStyle w:val="ListParagraph"/>
        <w:numPr>
          <w:ilvl w:val="0"/>
          <w:numId w:val="2"/>
        </w:numPr>
        <w:spacing w:after="100" w:line="290"/>
      </w:pPr>
      <w:r>
        <w:rPr>
          <w:color w:val="52514E"/>
          <w:sz w:val="22"/>
          <w:szCs w:val="22"/>
        </w:rPr>
        <w:t xml:space="preserve">fails </w:t>
      </w:r>
      <w:r>
        <w:rPr>
          <w:b/>
          <w:bCs/>
          <w:i/>
          <w:iCs/>
          <w:color w:val="52514E"/>
          <w:sz w:val="22"/>
          <w:szCs w:val="22"/>
        </w:rPr>
        <w:t xml:space="preserve">closed</w:t>
      </w:r>
      <w:r>
        <w:rPr>
          <w:color w:val="52514E"/>
          <w:sz w:val="22"/>
          <w:szCs w:val="22"/>
        </w:rPr>
        <w:t xml:space="preserve"> — if a site's robots.txt can't even be fetched, the source is treated as not-permitted, never assumed-allowed</w:t>
      </w:r>
    </w:p>
    <w:p>
      <w:pPr>
        <w:pStyle w:val="ListParagraph"/>
        <w:numPr>
          <w:ilvl w:val="0"/>
          <w:numId w:val="2"/>
        </w:numPr>
        <w:spacing w:after="100" w:line="290"/>
      </w:pPr>
      <w:r>
        <w:rPr>
          <w:color w:val="52514E"/>
          <w:sz w:val="22"/>
          <w:szCs w:val="22"/>
        </w:rPr>
        <w:t xml:space="preserve">logs every decision — allowed or blocked, with the exact rule matched — to an audit table and a live dashboard panel</w:t>
      </w:r>
    </w:p>
    <w:p>
      <w:pPr>
        <w:pStyle w:val="ListParagraph"/>
        <w:numPr>
          <w:ilvl w:val="0"/>
          <w:numId w:val="2"/>
        </w:numPr>
        <w:spacing w:after="100" w:line="290"/>
      </w:pPr>
      <w:r>
        <w:rPr>
          <w:color w:val="52514E"/>
          <w:sz w:val="22"/>
          <w:szCs w:val="22"/>
        </w:rPr>
        <w:t xml:space="preserve">has already caught a live example: it detected that IndiGo and Air India block automated access at the network level (Akamai), something that would be invisible to a one-time manual check</w:t>
      </w:r>
    </w:p>
    <w:p>
      <w:pPr>
        <w:spacing w:after="180" w:line="300"/>
      </w:pPr>
      <w:r>
        <w:rPr>
          <w:color w:val="52514E"/>
          <w:sz w:val="22"/>
          <w:szCs w:val="22"/>
        </w:rPr>
        <w:t xml:space="preserve">This turns "ethical scraping" from a paragraph in a README into something the running software actually enforces and can prove it enforced.</w:t>
      </w:r>
    </w:p>
    <w:p>
      <w:pPr>
        <w:pStyle w:val="Heading2"/>
        <w:spacing w:after="160" w:before="300"/>
      </w:pPr>
      <w:r>
        <w:t xml:space="preserve">3.2 The route basket is computed from government data, not guessed by a person</w:t>
      </w:r>
    </w:p>
    <w:p>
      <w:pPr>
        <w:spacing w:after="180" w:line="300"/>
      </w:pPr>
      <w:r>
        <w:rPr>
          <w:color w:val="52514E"/>
          <w:sz w:val="22"/>
          <w:szCs w:val="22"/>
        </w:rPr>
        <w:t xml:space="preserve">The 20 routes in the index basket are the literal, reproducible output of ranking every city-pair in the real DGCA traffic dataset by trailing-12-month passenger volume (</w:t>
      </w:r>
      <w:r>
        <w:rPr>
          <w:rFonts w:ascii="Consolas" w:cs="Consolas" w:eastAsia="Consolas" w:hAnsi="Consolas"/>
          <w:color w:val="2A78D6"/>
          <w:sz w:val="20"/>
          <w:szCs w:val="20"/>
        </w:rPr>
        <w:t xml:space="preserve">python -m app.cli rank-routes</w:t>
      </w:r>
      <w:r>
        <w:rPr>
          <w:color w:val="52514E"/>
          <w:sz w:val="22"/>
          <w:szCs w:val="22"/>
        </w:rPr>
        <w:t xml:space="preserve"> regenerates the exact same list). While building this ranking, a genuine data-quality bug surfaced: the DGCA file itself labels Mumbai inconsistently across report periods ("MUMBAI" vs "MUMBAI (MUMBAI)"), which was silently splitting Mumbai's real traffic across two invisible "cities" and understating every Mumbai route. Finding and fixing this — and writing a regression test that pins the fix down — is the kind of rigor a statistical office would expect and most hackathon projects never encounter, because they never used real enough data to hit the bug in the first place.</w:t>
      </w:r>
    </w:p>
    <w:p>
      <w:pPr>
        <w:pStyle w:val="Heading2"/>
        <w:spacing w:after="160" w:before="300"/>
      </w:pPr>
      <w:r>
        <w:t xml:space="preserve">3.3 It mirrors real CPI methodology, not a simplified average</w:t>
      </w:r>
    </w:p>
    <w:p>
      <w:pPr>
        <w:spacing w:after="180" w:line="300"/>
      </w:pPr>
      <w:r>
        <w:rPr>
          <w:color w:val="52514E"/>
          <w:sz w:val="22"/>
          <w:szCs w:val="22"/>
        </w:rPr>
        <w:t xml:space="preserve">Most fare trackers show a min/max price history chart. APIx computes three parallel, named index variants — Laspeyres, Paasche, and Fisher — using base-period and current-period DGCA weights, chain-linked the same way the actual CPI is built. This is a genuine statistical instrument, built to the standard the number's eventual consumer (RBI, MoSPI) would expect, not a convenience metric.</w:t>
      </w:r>
    </w:p>
    <w:p>
      <w:pPr>
        <w:pStyle w:val="Heading2"/>
        <w:spacing w:after="160" w:before="300"/>
      </w:pPr>
      <w:r>
        <w:t xml:space="preserve">3.4 A full, provable audit trail</w:t>
      </w:r>
    </w:p>
    <w:p>
      <w:pPr>
        <w:spacing w:after="180" w:line="300"/>
      </w:pPr>
      <w:r>
        <w:rPr>
          <w:color w:val="52514E"/>
          <w:sz w:val="22"/>
          <w:szCs w:val="22"/>
        </w:rPr>
        <w:t xml:space="preserve">Every fare in the database carries the exact scrape run, source, and raw snapshot file it came from. Every compliance decision is logged with the matching rule. Nothing is a black box — any number the dashboard shows can be traced back to the literal HTTP response that produced it.</w:t>
      </w:r>
    </w:p>
    <w:p>
      <w:pPr>
        <w:pStyle w:val="Heading2"/>
        <w:spacing w:after="160" w:before="300"/>
      </w:pPr>
      <w:r>
        <w:t xml:space="preserve">3.5 Radical honesty instead of fabricated completeness</w:t>
      </w:r>
    </w:p>
    <w:p>
      <w:pPr>
        <w:spacing w:after="180" w:line="300"/>
      </w:pPr>
      <w:r>
        <w:rPr>
          <w:color w:val="52514E"/>
          <w:sz w:val="22"/>
          <w:szCs w:val="22"/>
        </w:rPr>
        <w:t xml:space="preserve">The problem statement asks for 30 days of back-tested results. There is no way to honestly produce that in a hackathon timeframe without either waiting 30 real days or faking data. APIx does neither — it reports its </w:t>
      </w:r>
      <w:r>
        <w:rPr>
          <w:b/>
          <w:bCs/>
          <w:color w:val="0B0B0B"/>
          <w:sz w:val="22"/>
          <w:szCs w:val="22"/>
        </w:rPr>
        <w:t xml:space="preserve">real</w:t>
      </w:r>
      <w:r>
        <w:rPr>
          <w:color w:val="52514E"/>
          <w:sz w:val="22"/>
          <w:szCs w:val="22"/>
        </w:rPr>
        <w:t xml:space="preserve"> sample size ("1 of 30 days so far") and grows that number one real day at a time via a registered daily scheduled job. A coverage panel on the dashboard shows exactly which route/booking-window combinations are missing real data right now, instead of interpolating or hiding gaps. This is the opposite of how most demos are built, and it is precisely the property a statistical agency would insist on before trusting the number.</w:t>
      </w:r>
    </w:p>
    <w:p>
      <w:pPr>
        <w:pStyle w:val="Heading2"/>
        <w:spacing w:after="160" w:before="300"/>
      </w:pPr>
      <w:r>
        <w:t xml:space="preserve">Comparison at a glance</w:t>
      </w:r>
    </w:p>
    <w:tbl>
      <w:tblPr>
        <w:tblW w:type="dxa" w:w="10080"/>
        <w:tblBorders>
          <w:top w:val="single" w:color="E1E0D9" w:sz="4"/>
          <w:left w:val="single" w:color="E1E0D9" w:sz="4"/>
          <w:bottom w:val="single" w:color="E1E0D9" w:sz="4"/>
          <w:right w:val="single" w:color="E1E0D9" w:sz="4"/>
          <w:insideH w:val="single" w:color="E1E0D9" w:sz="4"/>
          <w:insideV w:val="single" w:color="E1E0D9" w:sz="4"/>
        </w:tblBorders>
      </w:tblPr>
      <w:tblGrid>
        <w:gridCol w:w="3000"/>
        <w:gridCol w:w="2600"/>
        <w:gridCol w:w="2400"/>
        <w:gridCol w:w="2320"/>
      </w:tblGrid>
      <w:tr>
        <w:trPr>
          <w:tblHeader/>
        </w:trPr>
        <w:tc>
          <w:tcPr>
            <w:tcW w:type="dxa" w:w="3000"/>
            <w:shd w:fill="2A78D6" w:val="clear"/>
            <w:tcMar>
              <w:top w:type="dxa" w:w="100"/>
              <w:left w:type="dxa" w:w="120"/>
              <w:bottom w:type="dxa" w:w="100"/>
              <w:right w:type="dxa" w:w="120"/>
            </w:tcMar>
            <w:vAlign w:val="center"/>
          </w:tcPr>
          <w:p>
            <w:r>
              <w:rPr>
                <w:b/>
                <w:bCs/>
                <w:color w:val="FFFFFF"/>
                <w:sz w:val="20"/>
                <w:szCs w:val="20"/>
              </w:rPr>
              <w:t xml:space="preserve">Capability</w:t>
            </w:r>
          </w:p>
        </w:tc>
        <w:tc>
          <w:tcPr>
            <w:tcW w:type="dxa" w:w="2600"/>
            <w:shd w:fill="2A78D6" w:val="clear"/>
            <w:tcMar>
              <w:top w:type="dxa" w:w="100"/>
              <w:left w:type="dxa" w:w="120"/>
              <w:bottom w:type="dxa" w:w="100"/>
              <w:right w:type="dxa" w:w="120"/>
            </w:tcMar>
            <w:vAlign w:val="center"/>
          </w:tcPr>
          <w:p>
            <w:r>
              <w:rPr>
                <w:b/>
                <w:bCs/>
                <w:color w:val="FFFFFF"/>
                <w:sz w:val="20"/>
                <w:szCs w:val="20"/>
              </w:rPr>
              <w:t xml:space="preserve">Consumer fare trackers
(Google Flights, Skyscanner)</w:t>
            </w:r>
          </w:p>
        </w:tc>
        <w:tc>
          <w:tcPr>
            <w:tcW w:type="dxa" w:w="2400"/>
            <w:shd w:fill="2A78D6" w:val="clear"/>
            <w:tcMar>
              <w:top w:type="dxa" w:w="100"/>
              <w:left w:type="dxa" w:w="120"/>
              <w:bottom w:type="dxa" w:w="100"/>
              <w:right w:type="dxa" w:w="120"/>
            </w:tcMar>
            <w:vAlign w:val="center"/>
          </w:tcPr>
          <w:p>
            <w:r>
              <w:rPr>
                <w:b/>
                <w:bCs/>
                <w:color w:val="FFFFFF"/>
                <w:sz w:val="20"/>
                <w:szCs w:val="20"/>
              </w:rPr>
              <w:t xml:space="preserve">Status-quo manual
CPI collection</w:t>
            </w:r>
          </w:p>
        </w:tc>
        <w:tc>
          <w:tcPr>
            <w:tcW w:type="dxa" w:w="2320"/>
            <w:shd w:fill="2A78D6" w:val="clear"/>
            <w:tcMar>
              <w:top w:type="dxa" w:w="100"/>
              <w:left w:type="dxa" w:w="120"/>
              <w:bottom w:type="dxa" w:w="100"/>
              <w:right w:type="dxa" w:w="120"/>
            </w:tcMar>
            <w:vAlign w:val="center"/>
          </w:tcPr>
          <w:p>
            <w:r>
              <w:rPr>
                <w:b/>
                <w:bCs/>
                <w:color w:val="FFFFFF"/>
                <w:sz w:val="20"/>
                <w:szCs w:val="20"/>
              </w:rPr>
              <w:t xml:space="preserve">APIx</w:t>
            </w:r>
          </w:p>
        </w:tc>
      </w:tr>
      <w:tr>
        <w:tc>
          <w:tcPr>
            <w:tcW w:type="dxa" w:w="3000"/>
            <w:tcMar>
              <w:top w:type="dxa" w:w="100"/>
              <w:left w:type="dxa" w:w="120"/>
              <w:bottom w:type="dxa" w:w="100"/>
              <w:right w:type="dxa" w:w="120"/>
            </w:tcMar>
            <w:vAlign w:val="center"/>
          </w:tcPr>
          <w:p>
            <w:r>
              <w:rPr>
                <w:b w:val="false"/>
                <w:bCs w:val="false"/>
                <w:color w:val="52514E"/>
                <w:sz w:val="20"/>
                <w:szCs w:val="20"/>
              </w:rPr>
              <w:t xml:space="preserve">Real-time, route-level price data</w:t>
            </w:r>
          </w:p>
        </w:tc>
        <w:tc>
          <w:tcPr>
            <w:tcW w:type="dxa" w:w="2600"/>
            <w:tcMar>
              <w:top w:type="dxa" w:w="100"/>
              <w:left w:type="dxa" w:w="120"/>
              <w:bottom w:type="dxa" w:w="100"/>
              <w:right w:type="dxa" w:w="120"/>
            </w:tcMar>
            <w:vAlign w:val="center"/>
          </w:tcPr>
          <w:p>
            <w:r>
              <w:rPr>
                <w:b w:val="false"/>
                <w:bCs w:val="false"/>
                <w:color w:val="52514E"/>
                <w:sz w:val="20"/>
                <w:szCs w:val="20"/>
              </w:rPr>
              <w:t xml:space="preserve">Yes</w:t>
            </w:r>
          </w:p>
        </w:tc>
        <w:tc>
          <w:tcPr>
            <w:tcW w:type="dxa" w:w="2400"/>
            <w:tcMar>
              <w:top w:type="dxa" w:w="100"/>
              <w:left w:type="dxa" w:w="120"/>
              <w:bottom w:type="dxa" w:w="100"/>
              <w:right w:type="dxa" w:w="120"/>
            </w:tcMar>
            <w:vAlign w:val="center"/>
          </w:tcPr>
          <w:p>
            <w:r>
              <w:rPr>
                <w:b w:val="false"/>
                <w:bCs w:val="false"/>
                <w:color w:val="52514E"/>
                <w:sz w:val="20"/>
                <w:szCs w:val="20"/>
              </w:rPr>
              <w:t xml:space="preserve">No — periodic, sparse</w:t>
            </w:r>
          </w:p>
        </w:tc>
        <w:tc>
          <w:tcPr>
            <w:tcW w:type="dxa" w:w="2320"/>
            <w:tcMar>
              <w:top w:type="dxa" w:w="100"/>
              <w:left w:type="dxa" w:w="120"/>
              <w:bottom w:type="dxa" w:w="100"/>
              <w:right w:type="dxa" w:w="120"/>
            </w:tcMar>
            <w:vAlign w:val="center"/>
          </w:tcPr>
          <w:p>
            <w:r>
              <w:rPr>
                <w:b w:val="false"/>
                <w:bCs w:val="false"/>
                <w:color w:val="52514E"/>
                <w:sz w:val="20"/>
                <w:szCs w:val="20"/>
              </w:rPr>
              <w:t xml:space="preserve">Yes</w:t>
            </w:r>
          </w:p>
        </w:tc>
      </w:tr>
      <w:tr>
        <w:tc>
          <w:tcPr>
            <w:tcW w:type="dxa" w:w="3000"/>
            <w:shd w:fill="F4F3EC" w:val="clear"/>
            <w:tcMar>
              <w:top w:type="dxa" w:w="100"/>
              <w:left w:type="dxa" w:w="120"/>
              <w:bottom w:type="dxa" w:w="100"/>
              <w:right w:type="dxa" w:w="120"/>
            </w:tcMar>
            <w:vAlign w:val="center"/>
          </w:tcPr>
          <w:p>
            <w:r>
              <w:rPr>
                <w:b w:val="false"/>
                <w:bCs w:val="false"/>
                <w:color w:val="52514E"/>
                <w:sz w:val="20"/>
                <w:szCs w:val="20"/>
              </w:rPr>
              <w:t xml:space="preserve">Statistical index (Laspeyres/Paasche/Fisher)</w:t>
            </w:r>
          </w:p>
        </w:tc>
        <w:tc>
          <w:tcPr>
            <w:tcW w:type="dxa" w:w="2600"/>
            <w:shd w:fill="F4F3EC" w:val="clear"/>
            <w:tcMar>
              <w:top w:type="dxa" w:w="100"/>
              <w:left w:type="dxa" w:w="120"/>
              <w:bottom w:type="dxa" w:w="100"/>
              <w:right w:type="dxa" w:w="120"/>
            </w:tcMar>
            <w:vAlign w:val="center"/>
          </w:tcPr>
          <w:p>
            <w:r>
              <w:rPr>
                <w:b w:val="false"/>
                <w:bCs w:val="false"/>
                <w:color w:val="52514E"/>
                <w:sz w:val="20"/>
                <w:szCs w:val="20"/>
              </w:rPr>
              <w:t xml:space="preserve">No</w:t>
            </w:r>
          </w:p>
        </w:tc>
        <w:tc>
          <w:tcPr>
            <w:tcW w:type="dxa" w:w="2400"/>
            <w:shd w:fill="F4F3EC" w:val="clear"/>
            <w:tcMar>
              <w:top w:type="dxa" w:w="100"/>
              <w:left w:type="dxa" w:w="120"/>
              <w:bottom w:type="dxa" w:w="100"/>
              <w:right w:type="dxa" w:w="120"/>
            </w:tcMar>
            <w:vAlign w:val="center"/>
          </w:tcPr>
          <w:p>
            <w:r>
              <w:rPr>
                <w:b w:val="false"/>
                <w:bCs w:val="false"/>
                <w:color w:val="52514E"/>
                <w:sz w:val="20"/>
                <w:szCs w:val="20"/>
              </w:rPr>
              <w:t xml:space="preserve">Yes (CPI overall)</w:t>
            </w:r>
          </w:p>
        </w:tc>
        <w:tc>
          <w:tcPr>
            <w:tcW w:type="dxa" w:w="2320"/>
            <w:shd w:fill="F4F3EC" w:val="clear"/>
            <w:tcMar>
              <w:top w:type="dxa" w:w="100"/>
              <w:left w:type="dxa" w:w="120"/>
              <w:bottom w:type="dxa" w:w="100"/>
              <w:right w:type="dxa" w:w="120"/>
            </w:tcMar>
            <w:vAlign w:val="center"/>
          </w:tcPr>
          <w:p>
            <w:r>
              <w:rPr>
                <w:b w:val="false"/>
                <w:bCs w:val="false"/>
                <w:color w:val="52514E"/>
                <w:sz w:val="20"/>
                <w:szCs w:val="20"/>
              </w:rPr>
              <w:t xml:space="preserve">Yes, purpose-built for airfares</w:t>
            </w:r>
          </w:p>
        </w:tc>
      </w:tr>
      <w:tr>
        <w:tc>
          <w:tcPr>
            <w:tcW w:type="dxa" w:w="3000"/>
            <w:tcMar>
              <w:top w:type="dxa" w:w="100"/>
              <w:left w:type="dxa" w:w="120"/>
              <w:bottom w:type="dxa" w:w="100"/>
              <w:right w:type="dxa" w:w="120"/>
            </w:tcMar>
            <w:vAlign w:val="center"/>
          </w:tcPr>
          <w:p>
            <w:r>
              <w:rPr>
                <w:b w:val="false"/>
                <w:bCs w:val="false"/>
                <w:color w:val="52514E"/>
                <w:sz w:val="20"/>
                <w:szCs w:val="20"/>
              </w:rPr>
              <w:t xml:space="preserve">Route weights from real traffic data</w:t>
            </w:r>
          </w:p>
        </w:tc>
        <w:tc>
          <w:tcPr>
            <w:tcW w:type="dxa" w:w="2600"/>
            <w:tcMar>
              <w:top w:type="dxa" w:w="100"/>
              <w:left w:type="dxa" w:w="120"/>
              <w:bottom w:type="dxa" w:w="100"/>
              <w:right w:type="dxa" w:w="120"/>
            </w:tcMar>
            <w:vAlign w:val="center"/>
          </w:tcPr>
          <w:p>
            <w:r>
              <w:rPr>
                <w:b w:val="false"/>
                <w:bCs w:val="false"/>
                <w:color w:val="52514E"/>
                <w:sz w:val="20"/>
                <w:szCs w:val="20"/>
              </w:rPr>
              <w:t xml:space="preserve">No</w:t>
            </w:r>
          </w:p>
        </w:tc>
        <w:tc>
          <w:tcPr>
            <w:tcW w:type="dxa" w:w="2400"/>
            <w:tcMar>
              <w:top w:type="dxa" w:w="100"/>
              <w:left w:type="dxa" w:w="120"/>
              <w:bottom w:type="dxa" w:w="100"/>
              <w:right w:type="dxa" w:w="120"/>
            </w:tcMar>
            <w:vAlign w:val="center"/>
          </w:tcPr>
          <w:p>
            <w:r>
              <w:rPr>
                <w:b w:val="false"/>
                <w:bCs w:val="false"/>
                <w:color w:val="52514E"/>
                <w:sz w:val="20"/>
                <w:szCs w:val="20"/>
              </w:rPr>
              <w:t xml:space="preserve">N/A</w:t>
            </w:r>
          </w:p>
        </w:tc>
        <w:tc>
          <w:tcPr>
            <w:tcW w:type="dxa" w:w="2320"/>
            <w:tcMar>
              <w:top w:type="dxa" w:w="100"/>
              <w:left w:type="dxa" w:w="120"/>
              <w:bottom w:type="dxa" w:w="100"/>
              <w:right w:type="dxa" w:w="120"/>
            </w:tcMar>
            <w:vAlign w:val="center"/>
          </w:tcPr>
          <w:p>
            <w:r>
              <w:rPr>
                <w:b w:val="false"/>
                <w:bCs w:val="false"/>
                <w:color w:val="52514E"/>
                <w:sz w:val="20"/>
                <w:szCs w:val="20"/>
              </w:rPr>
              <w:t xml:space="preserve">Yes — real DGCA data</w:t>
            </w:r>
          </w:p>
        </w:tc>
      </w:tr>
      <w:tr>
        <w:tc>
          <w:tcPr>
            <w:tcW w:type="dxa" w:w="3000"/>
            <w:shd w:fill="F4F3EC" w:val="clear"/>
            <w:tcMar>
              <w:top w:type="dxa" w:w="100"/>
              <w:left w:type="dxa" w:w="120"/>
              <w:bottom w:type="dxa" w:w="100"/>
              <w:right w:type="dxa" w:w="120"/>
            </w:tcMar>
            <w:vAlign w:val="center"/>
          </w:tcPr>
          <w:p>
            <w:r>
              <w:rPr>
                <w:b w:val="false"/>
                <w:bCs w:val="false"/>
                <w:color w:val="52514E"/>
                <w:sz w:val="20"/>
                <w:szCs w:val="20"/>
              </w:rPr>
              <w:t xml:space="preserve">Self-auditing ethical/legal compliance</w:t>
            </w:r>
          </w:p>
        </w:tc>
        <w:tc>
          <w:tcPr>
            <w:tcW w:type="dxa" w:w="2600"/>
            <w:shd w:fill="F4F3EC" w:val="clear"/>
            <w:tcMar>
              <w:top w:type="dxa" w:w="100"/>
              <w:left w:type="dxa" w:w="120"/>
              <w:bottom w:type="dxa" w:w="100"/>
              <w:right w:type="dxa" w:w="120"/>
            </w:tcMar>
            <w:vAlign w:val="center"/>
          </w:tcPr>
          <w:p>
            <w:r>
              <w:rPr>
                <w:b w:val="false"/>
                <w:bCs w:val="false"/>
                <w:color w:val="52514E"/>
                <w:sz w:val="20"/>
                <w:szCs w:val="20"/>
              </w:rPr>
              <w:t xml:space="preserve">Not disclosed</w:t>
            </w:r>
          </w:p>
        </w:tc>
        <w:tc>
          <w:tcPr>
            <w:tcW w:type="dxa" w:w="2400"/>
            <w:shd w:fill="F4F3EC" w:val="clear"/>
            <w:tcMar>
              <w:top w:type="dxa" w:w="100"/>
              <w:left w:type="dxa" w:w="120"/>
              <w:bottom w:type="dxa" w:w="100"/>
              <w:right w:type="dxa" w:w="120"/>
            </w:tcMar>
            <w:vAlign w:val="center"/>
          </w:tcPr>
          <w:p>
            <w:r>
              <w:rPr>
                <w:b w:val="false"/>
                <w:bCs w:val="false"/>
                <w:color w:val="52514E"/>
                <w:sz w:val="20"/>
                <w:szCs w:val="20"/>
              </w:rPr>
              <w:t xml:space="preserve">N/A</w:t>
            </w:r>
          </w:p>
        </w:tc>
        <w:tc>
          <w:tcPr>
            <w:tcW w:type="dxa" w:w="2320"/>
            <w:shd w:fill="F4F3EC" w:val="clear"/>
            <w:tcMar>
              <w:top w:type="dxa" w:w="100"/>
              <w:left w:type="dxa" w:w="120"/>
              <w:bottom w:type="dxa" w:w="100"/>
              <w:right w:type="dxa" w:w="120"/>
            </w:tcMar>
            <w:vAlign w:val="center"/>
          </w:tcPr>
          <w:p>
            <w:r>
              <w:rPr>
                <w:b w:val="false"/>
                <w:bCs w:val="false"/>
                <w:color w:val="52514E"/>
                <w:sz w:val="20"/>
                <w:szCs w:val="20"/>
              </w:rPr>
              <w:t xml:space="preserve">Yes — live, logged, provable</w:t>
            </w:r>
          </w:p>
        </w:tc>
      </w:tr>
      <w:tr>
        <w:tc>
          <w:tcPr>
            <w:tcW w:type="dxa" w:w="3000"/>
            <w:tcMar>
              <w:top w:type="dxa" w:w="100"/>
              <w:left w:type="dxa" w:w="120"/>
              <w:bottom w:type="dxa" w:w="100"/>
              <w:right w:type="dxa" w:w="120"/>
            </w:tcMar>
            <w:vAlign w:val="center"/>
          </w:tcPr>
          <w:p>
            <w:r>
              <w:rPr>
                <w:b w:val="false"/>
                <w:bCs w:val="false"/>
                <w:color w:val="52514E"/>
                <w:sz w:val="20"/>
                <w:szCs w:val="20"/>
              </w:rPr>
              <w:t xml:space="preserve">Full audit trail per data point</w:t>
            </w:r>
          </w:p>
        </w:tc>
        <w:tc>
          <w:tcPr>
            <w:tcW w:type="dxa" w:w="2600"/>
            <w:tcMar>
              <w:top w:type="dxa" w:w="100"/>
              <w:left w:type="dxa" w:w="120"/>
              <w:bottom w:type="dxa" w:w="100"/>
              <w:right w:type="dxa" w:w="120"/>
            </w:tcMar>
            <w:vAlign w:val="center"/>
          </w:tcPr>
          <w:p>
            <w:r>
              <w:rPr>
                <w:b w:val="false"/>
                <w:bCs w:val="false"/>
                <w:color w:val="52514E"/>
                <w:sz w:val="20"/>
                <w:szCs w:val="20"/>
              </w:rPr>
              <w:t xml:space="preserve">No</w:t>
            </w:r>
          </w:p>
        </w:tc>
        <w:tc>
          <w:tcPr>
            <w:tcW w:type="dxa" w:w="2400"/>
            <w:tcMar>
              <w:top w:type="dxa" w:w="100"/>
              <w:left w:type="dxa" w:w="120"/>
              <w:bottom w:type="dxa" w:w="100"/>
              <w:right w:type="dxa" w:w="120"/>
            </w:tcMar>
            <w:vAlign w:val="center"/>
          </w:tcPr>
          <w:p>
            <w:r>
              <w:rPr>
                <w:b w:val="false"/>
                <w:bCs w:val="false"/>
                <w:color w:val="52514E"/>
                <w:sz w:val="20"/>
                <w:szCs w:val="20"/>
              </w:rPr>
              <w:t xml:space="preserve">Limited</w:t>
            </w:r>
          </w:p>
        </w:tc>
        <w:tc>
          <w:tcPr>
            <w:tcW w:type="dxa" w:w="2320"/>
            <w:tcMar>
              <w:top w:type="dxa" w:w="100"/>
              <w:left w:type="dxa" w:w="120"/>
              <w:bottom w:type="dxa" w:w="100"/>
              <w:right w:type="dxa" w:w="120"/>
            </w:tcMar>
            <w:vAlign w:val="center"/>
          </w:tcPr>
          <w:p>
            <w:r>
              <w:rPr>
                <w:b w:val="false"/>
                <w:bCs w:val="false"/>
                <w:color w:val="52514E"/>
                <w:sz w:val="20"/>
                <w:szCs w:val="20"/>
              </w:rPr>
              <w:t xml:space="preserve">Yes</w:t>
            </w:r>
          </w:p>
        </w:tc>
      </w:tr>
      <w:tr>
        <w:tc>
          <w:tcPr>
            <w:tcW w:type="dxa" w:w="3000"/>
            <w:shd w:fill="F4F3EC" w:val="clear"/>
            <w:tcMar>
              <w:top w:type="dxa" w:w="100"/>
              <w:left w:type="dxa" w:w="120"/>
              <w:bottom w:type="dxa" w:w="100"/>
              <w:right w:type="dxa" w:w="120"/>
            </w:tcMar>
            <w:vAlign w:val="center"/>
          </w:tcPr>
          <w:p>
            <w:r>
              <w:rPr>
                <w:b w:val="false"/>
                <w:bCs w:val="false"/>
                <w:color w:val="52514E"/>
                <w:sz w:val="20"/>
                <w:szCs w:val="20"/>
              </w:rPr>
              <w:t xml:space="preserve">Transparent about data gaps</w:t>
            </w:r>
          </w:p>
        </w:tc>
        <w:tc>
          <w:tcPr>
            <w:tcW w:type="dxa" w:w="2600"/>
            <w:shd w:fill="F4F3EC" w:val="clear"/>
            <w:tcMar>
              <w:top w:type="dxa" w:w="100"/>
              <w:left w:type="dxa" w:w="120"/>
              <w:bottom w:type="dxa" w:w="100"/>
              <w:right w:type="dxa" w:w="120"/>
            </w:tcMar>
            <w:vAlign w:val="center"/>
          </w:tcPr>
          <w:p>
            <w:r>
              <w:rPr>
                <w:b w:val="false"/>
                <w:bCs w:val="false"/>
                <w:color w:val="52514E"/>
                <w:sz w:val="20"/>
                <w:szCs w:val="20"/>
              </w:rPr>
              <w:t xml:space="preserve">No</w:t>
            </w:r>
          </w:p>
        </w:tc>
        <w:tc>
          <w:tcPr>
            <w:tcW w:type="dxa" w:w="2400"/>
            <w:shd w:fill="F4F3EC" w:val="clear"/>
            <w:tcMar>
              <w:top w:type="dxa" w:w="100"/>
              <w:left w:type="dxa" w:w="120"/>
              <w:bottom w:type="dxa" w:w="100"/>
              <w:right w:type="dxa" w:w="120"/>
            </w:tcMar>
            <w:vAlign w:val="center"/>
          </w:tcPr>
          <w:p>
            <w:r>
              <w:rPr>
                <w:b w:val="false"/>
                <w:bCs w:val="false"/>
                <w:color w:val="52514E"/>
                <w:sz w:val="20"/>
                <w:szCs w:val="20"/>
              </w:rPr>
              <w:t xml:space="preserve">N/A</w:t>
            </w:r>
          </w:p>
        </w:tc>
        <w:tc>
          <w:tcPr>
            <w:tcW w:type="dxa" w:w="2320"/>
            <w:shd w:fill="F4F3EC" w:val="clear"/>
            <w:tcMar>
              <w:top w:type="dxa" w:w="100"/>
              <w:left w:type="dxa" w:w="120"/>
              <w:bottom w:type="dxa" w:w="100"/>
              <w:right w:type="dxa" w:w="120"/>
            </w:tcMar>
            <w:vAlign w:val="center"/>
          </w:tcPr>
          <w:p>
            <w:r>
              <w:rPr>
                <w:b w:val="false"/>
                <w:bCs w:val="false"/>
                <w:color w:val="52514E"/>
                <w:sz w:val="20"/>
                <w:szCs w:val="20"/>
              </w:rPr>
              <w:t xml:space="preserve">Yes — coverage panel</w:t>
            </w:r>
          </w:p>
        </w:tc>
      </w:tr>
      <w:tr>
        <w:tc>
          <w:tcPr>
            <w:tcW w:type="dxa" w:w="3000"/>
            <w:tcMar>
              <w:top w:type="dxa" w:w="100"/>
              <w:left w:type="dxa" w:w="120"/>
              <w:bottom w:type="dxa" w:w="100"/>
              <w:right w:type="dxa" w:w="120"/>
            </w:tcMar>
            <w:vAlign w:val="center"/>
          </w:tcPr>
          <w:p>
            <w:r>
              <w:rPr>
                <w:b w:val="false"/>
                <w:bCs w:val="false"/>
                <w:color w:val="52514E"/>
                <w:sz w:val="20"/>
                <w:szCs w:val="20"/>
              </w:rPr>
              <w:t xml:space="preserve">Built for government/CPI consumption</w:t>
            </w:r>
          </w:p>
        </w:tc>
        <w:tc>
          <w:tcPr>
            <w:tcW w:type="dxa" w:w="2600"/>
            <w:tcMar>
              <w:top w:type="dxa" w:w="100"/>
              <w:left w:type="dxa" w:w="120"/>
              <w:bottom w:type="dxa" w:w="100"/>
              <w:right w:type="dxa" w:w="120"/>
            </w:tcMar>
            <w:vAlign w:val="center"/>
          </w:tcPr>
          <w:p>
            <w:r>
              <w:rPr>
                <w:b w:val="false"/>
                <w:bCs w:val="false"/>
                <w:color w:val="52514E"/>
                <w:sz w:val="20"/>
                <w:szCs w:val="20"/>
              </w:rPr>
              <w:t xml:space="preserve">No</w:t>
            </w:r>
          </w:p>
        </w:tc>
        <w:tc>
          <w:tcPr>
            <w:tcW w:type="dxa" w:w="2400"/>
            <w:tcMar>
              <w:top w:type="dxa" w:w="100"/>
              <w:left w:type="dxa" w:w="120"/>
              <w:bottom w:type="dxa" w:w="100"/>
              <w:right w:type="dxa" w:w="120"/>
            </w:tcMar>
            <w:vAlign w:val="center"/>
          </w:tcPr>
          <w:p>
            <w:r>
              <w:rPr>
                <w:b w:val="false"/>
                <w:bCs w:val="false"/>
                <w:color w:val="52514E"/>
                <w:sz w:val="20"/>
                <w:szCs w:val="20"/>
              </w:rPr>
              <w:t xml:space="preserve">Is the system</w:t>
            </w:r>
          </w:p>
        </w:tc>
        <w:tc>
          <w:tcPr>
            <w:tcW w:type="dxa" w:w="2320"/>
            <w:tcMar>
              <w:top w:type="dxa" w:w="100"/>
              <w:left w:type="dxa" w:w="120"/>
              <w:bottom w:type="dxa" w:w="100"/>
              <w:right w:type="dxa" w:w="120"/>
            </w:tcMar>
            <w:vAlign w:val="center"/>
          </w:tcPr>
          <w:p>
            <w:r>
              <w:rPr>
                <w:b w:val="false"/>
                <w:bCs w:val="false"/>
                <w:color w:val="52514E"/>
                <w:sz w:val="20"/>
                <w:szCs w:val="20"/>
              </w:rPr>
              <w:t xml:space="preserve">Yes — API + docs for NSO/RBI</w:t>
            </w:r>
          </w:p>
        </w:tc>
      </w:tr>
    </w:tbl>
    <w:p>
      <w:r>
        <w:br w:type="page"/>
      </w:r>
    </w:p>
    <w:p>
      <w:pPr>
        <w:pStyle w:val="Heading1"/>
        <w:spacing w:after="200" w:before="400"/>
      </w:pPr>
      <w:r>
        <w:t xml:space="preserve">4. System Architecture</w:t>
      </w:r>
    </w:p>
    <w:p>
      <w:pPr>
        <w:spacing w:after="180" w:line="300"/>
      </w:pPr>
      <w:r>
        <w:rPr>
          <w:color w:val="52514E"/>
          <w:sz w:val="22"/>
          <w:szCs w:val="22"/>
        </w:rPr>
        <w:t xml:space="preserve">The system is a standard three-tier architecture, deliberately simple where simplicity is enough (SQLite, a single FastAPI process) and rigorous where rigor matters (the compliance gate, the index math, the audit trail).</w:t>
      </w:r>
    </w:p>
    <w:p>
      <w:pPr>
        <w:pStyle w:val="Heading2"/>
        <w:spacing w:after="160" w:before="300"/>
      </w:pPr>
      <w:r>
        <w:t xml:space="preserve">4.1 Data flow</w:t>
      </w:r>
    </w:p>
    <w:p>
      <w:pPr>
        <w:pStyle w:val="ListParagraph"/>
        <w:numPr>
          <w:ilvl w:val="0"/>
          <w:numId w:val="2"/>
        </w:numPr>
        <w:spacing w:after="100" w:line="290"/>
      </w:pPr>
      <w:r>
        <w:rPr>
          <w:color w:val="52514E"/>
          <w:sz w:val="22"/>
          <w:szCs w:val="22"/>
        </w:rPr>
        <w:t xml:space="preserve">Real DGCA traffic CSV → app/index/weights.py → route weights (real data, not hardcoded)</w:t>
      </w:r>
    </w:p>
    <w:p>
      <w:pPr>
        <w:pStyle w:val="ListParagraph"/>
        <w:numPr>
          <w:ilvl w:val="0"/>
          <w:numId w:val="2"/>
        </w:numPr>
        <w:spacing w:after="100" w:line="290"/>
      </w:pPr>
      <w:r>
        <w:rPr>
          <w:color w:val="52514E"/>
          <w:sz w:val="22"/>
          <w:szCs w:val="22"/>
        </w:rPr>
        <w:t xml:space="preserve">11 registered source adapters → compliance gate (live robots.txt check, every cycle) → only permitted sources actually run</w:t>
      </w:r>
    </w:p>
    <w:p>
      <w:pPr>
        <w:pStyle w:val="ListParagraph"/>
        <w:numPr>
          <w:ilvl w:val="0"/>
          <w:numId w:val="2"/>
        </w:numPr>
        <w:spacing w:after="100" w:line="290"/>
      </w:pPr>
      <w:r>
        <w:rPr>
          <w:color w:val="52514E"/>
          <w:sz w:val="22"/>
          <w:szCs w:val="22"/>
        </w:rPr>
        <w:t xml:space="preserve">Playwright-driven scraper → raw JSONL snapshots (permanent audit trail) → cleaning pipeline (outlier flagging, de-duplication)</w:t>
      </w:r>
    </w:p>
    <w:p>
      <w:pPr>
        <w:pStyle w:val="ListParagraph"/>
        <w:numPr>
          <w:ilvl w:val="0"/>
          <w:numId w:val="2"/>
        </w:numPr>
        <w:spacing w:after="100" w:line="290"/>
      </w:pPr>
      <w:r>
        <w:rPr>
          <w:color w:val="52514E"/>
          <w:sz w:val="22"/>
          <w:szCs w:val="22"/>
        </w:rPr>
        <w:t xml:space="preserve">Cleaned fares → SQLite (fare_quotes, route_weights, compliance_log, index_values)</w:t>
      </w:r>
    </w:p>
    <w:p>
      <w:pPr>
        <w:pStyle w:val="ListParagraph"/>
        <w:numPr>
          <w:ilvl w:val="0"/>
          <w:numId w:val="2"/>
        </w:numPr>
        <w:spacing w:after="100" w:line="290"/>
      </w:pPr>
      <w:r>
        <w:rPr>
          <w:color w:val="52514E"/>
          <w:sz w:val="22"/>
          <w:szCs w:val="22"/>
        </w:rPr>
        <w:t xml:space="preserve">Index construction (Laspeyres / Paasche / Fisher) → FastAPI (/api/index, /api/fares, /api/routes, /api/compliance, /api/coverage, /api/elasticity, /api/heatmap)</w:t>
      </w:r>
    </w:p>
    <w:p>
      <w:pPr>
        <w:pStyle w:val="ListParagraph"/>
        <w:numPr>
          <w:ilvl w:val="0"/>
          <w:numId w:val="2"/>
        </w:numPr>
        <w:spacing w:after="100" w:line="290"/>
      </w:pPr>
      <w:r>
        <w:rPr>
          <w:color w:val="52514E"/>
          <w:sz w:val="22"/>
          <w:szCs w:val="22"/>
        </w:rPr>
        <w:t xml:space="preserve">React/TypeScript dashboard ← JSON ← FastAPI</w:t>
      </w:r>
    </w:p>
    <w:p>
      <w:pPr>
        <w:pStyle w:val="Heading2"/>
        <w:spacing w:after="160" w:before="300"/>
      </w:pPr>
      <w:r>
        <w:t xml:space="preserve">4.2 Why these specific technology choices</w:t>
      </w:r>
    </w:p>
    <w:tbl>
      <w:tblPr>
        <w:tblW w:type="dxa" w:w="10080"/>
        <w:tblBorders>
          <w:top w:val="single" w:color="E1E0D9" w:sz="4"/>
          <w:left w:val="single" w:color="E1E0D9" w:sz="4"/>
          <w:bottom w:val="single" w:color="E1E0D9" w:sz="4"/>
          <w:right w:val="single" w:color="E1E0D9" w:sz="4"/>
          <w:insideH w:val="single" w:color="E1E0D9" w:sz="4"/>
          <w:insideV w:val="single" w:color="E1E0D9" w:sz="4"/>
        </w:tblBorders>
      </w:tblPr>
      <w:tblGrid>
        <w:gridCol w:w="2400"/>
        <w:gridCol w:w="2400"/>
        <w:gridCol w:w="5520"/>
      </w:tblGrid>
      <w:tr>
        <w:trPr>
          <w:tblHeader/>
        </w:trPr>
        <w:tc>
          <w:tcPr>
            <w:tcW w:type="dxa" w:w="2400"/>
            <w:shd w:fill="2A78D6" w:val="clear"/>
            <w:tcMar>
              <w:top w:type="dxa" w:w="100"/>
              <w:left w:type="dxa" w:w="120"/>
              <w:bottom w:type="dxa" w:w="100"/>
              <w:right w:type="dxa" w:w="120"/>
            </w:tcMar>
            <w:vAlign w:val="center"/>
          </w:tcPr>
          <w:p>
            <w:r>
              <w:rPr>
                <w:b/>
                <w:bCs/>
                <w:color w:val="FFFFFF"/>
                <w:sz w:val="20"/>
                <w:szCs w:val="20"/>
              </w:rPr>
              <w:t xml:space="preserve">Layer</w:t>
            </w:r>
          </w:p>
        </w:tc>
        <w:tc>
          <w:tcPr>
            <w:tcW w:type="dxa" w:w="2400"/>
            <w:shd w:fill="2A78D6" w:val="clear"/>
            <w:tcMar>
              <w:top w:type="dxa" w:w="100"/>
              <w:left w:type="dxa" w:w="120"/>
              <w:bottom w:type="dxa" w:w="100"/>
              <w:right w:type="dxa" w:w="120"/>
            </w:tcMar>
            <w:vAlign w:val="center"/>
          </w:tcPr>
          <w:p>
            <w:r>
              <w:rPr>
                <w:b/>
                <w:bCs/>
                <w:color w:val="FFFFFF"/>
                <w:sz w:val="20"/>
                <w:szCs w:val="20"/>
              </w:rPr>
              <w:t xml:space="preserve">Choice</w:t>
            </w:r>
          </w:p>
        </w:tc>
        <w:tc>
          <w:tcPr>
            <w:tcW w:type="dxa" w:w="5520"/>
            <w:shd w:fill="2A78D6" w:val="clear"/>
            <w:tcMar>
              <w:top w:type="dxa" w:w="100"/>
              <w:left w:type="dxa" w:w="120"/>
              <w:bottom w:type="dxa" w:w="100"/>
              <w:right w:type="dxa" w:w="120"/>
            </w:tcMar>
            <w:vAlign w:val="center"/>
          </w:tcPr>
          <w:p>
            <w:r>
              <w:rPr>
                <w:b/>
                <w:bCs/>
                <w:color w:val="FFFFFF"/>
                <w:sz w:val="20"/>
                <w:szCs w:val="20"/>
              </w:rPr>
              <w:t xml:space="preserve">Why</w:t>
            </w:r>
          </w:p>
        </w:tc>
      </w:tr>
      <w:tr>
        <w:tc>
          <w:tcPr>
            <w:tcW w:type="dxa" w:w="2400"/>
            <w:tcMar>
              <w:top w:type="dxa" w:w="100"/>
              <w:left w:type="dxa" w:w="120"/>
              <w:bottom w:type="dxa" w:w="100"/>
              <w:right w:type="dxa" w:w="120"/>
            </w:tcMar>
            <w:vAlign w:val="center"/>
          </w:tcPr>
          <w:p>
            <w:r>
              <w:rPr>
                <w:b w:val="false"/>
                <w:bCs w:val="false"/>
                <w:color w:val="52514E"/>
                <w:sz w:val="20"/>
                <w:szCs w:val="20"/>
              </w:rPr>
              <w:t xml:space="preserve">Scraper</w:t>
            </w:r>
          </w:p>
        </w:tc>
        <w:tc>
          <w:tcPr>
            <w:tcW w:type="dxa" w:w="2400"/>
            <w:tcMar>
              <w:top w:type="dxa" w:w="100"/>
              <w:left w:type="dxa" w:w="120"/>
              <w:bottom w:type="dxa" w:w="100"/>
              <w:right w:type="dxa" w:w="120"/>
            </w:tcMar>
            <w:vAlign w:val="center"/>
          </w:tcPr>
          <w:p>
            <w:r>
              <w:rPr>
                <w:b w:val="false"/>
                <w:bCs w:val="false"/>
                <w:color w:val="52514E"/>
                <w:sz w:val="20"/>
                <w:szCs w:val="20"/>
              </w:rPr>
              <w:t xml:space="preserve">Python + Playwright</w:t>
            </w:r>
          </w:p>
        </w:tc>
        <w:tc>
          <w:tcPr>
            <w:tcW w:type="dxa" w:w="5520"/>
            <w:tcMar>
              <w:top w:type="dxa" w:w="100"/>
              <w:left w:type="dxa" w:w="120"/>
              <w:bottom w:type="dxa" w:w="100"/>
              <w:right w:type="dxa" w:w="120"/>
            </w:tcMar>
            <w:vAlign w:val="center"/>
          </w:tcPr>
          <w:p>
            <w:r>
              <w:rPr>
                <w:b w:val="false"/>
                <w:bCs w:val="false"/>
                <w:color w:val="52514E"/>
                <w:sz w:val="20"/>
                <w:szCs w:val="20"/>
              </w:rPr>
              <w:t xml:space="preserve">Every target site is a JavaScript-rendered React SPA — Playwright drives a real headless browser, so the scraper sees exactly what a human visitor's browser would render, including client-side validation state.</w:t>
            </w:r>
          </w:p>
        </w:tc>
      </w:tr>
      <w:tr>
        <w:tc>
          <w:tcPr>
            <w:tcW w:type="dxa" w:w="2400"/>
            <w:tcMar>
              <w:top w:type="dxa" w:w="100"/>
              <w:left w:type="dxa" w:w="120"/>
              <w:bottom w:type="dxa" w:w="100"/>
              <w:right w:type="dxa" w:w="120"/>
            </w:tcMar>
            <w:vAlign w:val="center"/>
          </w:tcPr>
          <w:p>
            <w:r>
              <w:rPr>
                <w:b w:val="false"/>
                <w:bCs w:val="false"/>
                <w:color w:val="52514E"/>
                <w:sz w:val="20"/>
                <w:szCs w:val="20"/>
              </w:rPr>
              <w:t xml:space="preserve">Storage</w:t>
            </w:r>
          </w:p>
        </w:tc>
        <w:tc>
          <w:tcPr>
            <w:tcW w:type="dxa" w:w="2400"/>
            <w:tcMar>
              <w:top w:type="dxa" w:w="100"/>
              <w:left w:type="dxa" w:w="120"/>
              <w:bottom w:type="dxa" w:w="100"/>
              <w:right w:type="dxa" w:w="120"/>
            </w:tcMar>
            <w:vAlign w:val="center"/>
          </w:tcPr>
          <w:p>
            <w:r>
              <w:rPr>
                <w:b w:val="false"/>
                <w:bCs w:val="false"/>
                <w:color w:val="52514E"/>
                <w:sz w:val="20"/>
                <w:szCs w:val="20"/>
              </w:rPr>
              <w:t xml:space="preserve">SQLite via SQLAlchemy</w:t>
            </w:r>
          </w:p>
        </w:tc>
        <w:tc>
          <w:tcPr>
            <w:tcW w:type="dxa" w:w="5520"/>
            <w:tcMar>
              <w:top w:type="dxa" w:w="100"/>
              <w:left w:type="dxa" w:w="120"/>
              <w:bottom w:type="dxa" w:w="100"/>
              <w:right w:type="dxa" w:w="120"/>
            </w:tcMar>
            <w:vAlign w:val="center"/>
          </w:tcPr>
          <w:p>
            <w:r>
              <w:rPr>
                <w:b w:val="false"/>
                <w:bCs w:val="false"/>
                <w:color w:val="52514E"/>
                <w:sz w:val="20"/>
                <w:szCs w:val="20"/>
              </w:rPr>
              <w:t xml:space="preserve">Zero setup for a prototype, fully inspectable; the ORM layer maps directly onto Postgres with no code changes if this needs to scale.</w:t>
            </w:r>
          </w:p>
        </w:tc>
      </w:tr>
      <w:tr>
        <w:tc>
          <w:tcPr>
            <w:tcW w:type="dxa" w:w="2400"/>
            <w:tcMar>
              <w:top w:type="dxa" w:w="100"/>
              <w:left w:type="dxa" w:w="120"/>
              <w:bottom w:type="dxa" w:w="100"/>
              <w:right w:type="dxa" w:w="120"/>
            </w:tcMar>
            <w:vAlign w:val="center"/>
          </w:tcPr>
          <w:p>
            <w:r>
              <w:rPr>
                <w:b w:val="false"/>
                <w:bCs w:val="false"/>
                <w:color w:val="52514E"/>
                <w:sz w:val="20"/>
                <w:szCs w:val="20"/>
              </w:rPr>
              <w:t xml:space="preserve">Compliance</w:t>
            </w:r>
          </w:p>
        </w:tc>
        <w:tc>
          <w:tcPr>
            <w:tcW w:type="dxa" w:w="2400"/>
            <w:tcMar>
              <w:top w:type="dxa" w:w="100"/>
              <w:left w:type="dxa" w:w="120"/>
              <w:bottom w:type="dxa" w:w="100"/>
              <w:right w:type="dxa" w:w="120"/>
            </w:tcMar>
            <w:vAlign w:val="center"/>
          </w:tcPr>
          <w:p>
            <w:r>
              <w:rPr>
                <w:b w:val="false"/>
                <w:bCs w:val="false"/>
                <w:color w:val="52514E"/>
                <w:sz w:val="20"/>
                <w:szCs w:val="20"/>
              </w:rPr>
              <w:t xml:space="preserve">Custom robots.txt parser</w:t>
            </w:r>
          </w:p>
        </w:tc>
        <w:tc>
          <w:tcPr>
            <w:tcW w:type="dxa" w:w="5520"/>
            <w:tcMar>
              <w:top w:type="dxa" w:w="100"/>
              <w:left w:type="dxa" w:w="120"/>
              <w:bottom w:type="dxa" w:w="100"/>
              <w:right w:type="dxa" w:w="120"/>
            </w:tcMar>
            <w:vAlign w:val="center"/>
          </w:tcPr>
          <w:p>
            <w:r>
              <w:rPr>
                <w:b w:val="false"/>
                <w:bCs w:val="false"/>
                <w:color w:val="52514E"/>
                <w:sz w:val="20"/>
                <w:szCs w:val="20"/>
              </w:rPr>
              <w:t xml:space="preserve">Python's stdlib parser doesn't support the wildcard syntax (*, trailing $) that several real target sites actually use — a custom parser implementing Google's de-facto semantics was necessary for correctness, not a preference.</w:t>
            </w:r>
          </w:p>
        </w:tc>
      </w:tr>
      <w:tr>
        <w:tc>
          <w:tcPr>
            <w:tcW w:type="dxa" w:w="2400"/>
            <w:tcMar>
              <w:top w:type="dxa" w:w="100"/>
              <w:left w:type="dxa" w:w="120"/>
              <w:bottom w:type="dxa" w:w="100"/>
              <w:right w:type="dxa" w:w="120"/>
            </w:tcMar>
            <w:vAlign w:val="center"/>
          </w:tcPr>
          <w:p>
            <w:r>
              <w:rPr>
                <w:b w:val="false"/>
                <w:bCs w:val="false"/>
                <w:color w:val="52514E"/>
                <w:sz w:val="20"/>
                <w:szCs w:val="20"/>
              </w:rPr>
              <w:t xml:space="preserve">API</w:t>
            </w:r>
          </w:p>
        </w:tc>
        <w:tc>
          <w:tcPr>
            <w:tcW w:type="dxa" w:w="2400"/>
            <w:tcMar>
              <w:top w:type="dxa" w:w="100"/>
              <w:left w:type="dxa" w:w="120"/>
              <w:bottom w:type="dxa" w:w="100"/>
              <w:right w:type="dxa" w:w="120"/>
            </w:tcMar>
            <w:vAlign w:val="center"/>
          </w:tcPr>
          <w:p>
            <w:r>
              <w:rPr>
                <w:b w:val="false"/>
                <w:bCs w:val="false"/>
                <w:color w:val="52514E"/>
                <w:sz w:val="20"/>
                <w:szCs w:val="20"/>
              </w:rPr>
              <w:t xml:space="preserve">FastAPI</w:t>
            </w:r>
          </w:p>
        </w:tc>
        <w:tc>
          <w:tcPr>
            <w:tcW w:type="dxa" w:w="5520"/>
            <w:tcMar>
              <w:top w:type="dxa" w:w="100"/>
              <w:left w:type="dxa" w:w="120"/>
              <w:bottom w:type="dxa" w:w="100"/>
              <w:right w:type="dxa" w:w="120"/>
            </w:tcMar>
            <w:vAlign w:val="center"/>
          </w:tcPr>
          <w:p>
            <w:r>
              <w:rPr>
                <w:b w:val="false"/>
                <w:bCs w:val="false"/>
                <w:color w:val="52514E"/>
                <w:sz w:val="20"/>
                <w:szCs w:val="20"/>
              </w:rPr>
              <w:t xml:space="preserve">Auto-generated OpenAPI/Swagger documentation out of the box — directly usable by an NSO/RBI integration team.</w:t>
            </w:r>
          </w:p>
        </w:tc>
      </w:tr>
      <w:tr>
        <w:tc>
          <w:tcPr>
            <w:tcW w:type="dxa" w:w="2400"/>
            <w:tcMar>
              <w:top w:type="dxa" w:w="100"/>
              <w:left w:type="dxa" w:w="120"/>
              <w:bottom w:type="dxa" w:w="100"/>
              <w:right w:type="dxa" w:w="120"/>
            </w:tcMar>
            <w:vAlign w:val="center"/>
          </w:tcPr>
          <w:p>
            <w:r>
              <w:rPr>
                <w:b w:val="false"/>
                <w:bCs w:val="false"/>
                <w:color w:val="52514E"/>
                <w:sz w:val="20"/>
                <w:szCs w:val="20"/>
              </w:rPr>
              <w:t xml:space="preserve">Frontend</w:t>
            </w:r>
          </w:p>
        </w:tc>
        <w:tc>
          <w:tcPr>
            <w:tcW w:type="dxa" w:w="2400"/>
            <w:tcMar>
              <w:top w:type="dxa" w:w="100"/>
              <w:left w:type="dxa" w:w="120"/>
              <w:bottom w:type="dxa" w:w="100"/>
              <w:right w:type="dxa" w:w="120"/>
            </w:tcMar>
            <w:vAlign w:val="center"/>
          </w:tcPr>
          <w:p>
            <w:r>
              <w:rPr>
                <w:b w:val="false"/>
                <w:bCs w:val="false"/>
                <w:color w:val="52514E"/>
                <w:sz w:val="20"/>
                <w:szCs w:val="20"/>
              </w:rPr>
              <w:t xml:space="preserve">React + Vite + TypeScript + Recharts</w:t>
            </w:r>
          </w:p>
        </w:tc>
        <w:tc>
          <w:tcPr>
            <w:tcW w:type="dxa" w:w="5520"/>
            <w:tcMar>
              <w:top w:type="dxa" w:w="100"/>
              <w:left w:type="dxa" w:w="120"/>
              <w:bottom w:type="dxa" w:w="100"/>
              <w:right w:type="dxa" w:w="120"/>
            </w:tcMar>
            <w:vAlign w:val="center"/>
          </w:tcPr>
          <w:p>
            <w:r>
              <w:rPr>
                <w:b w:val="false"/>
                <w:bCs w:val="false"/>
                <w:color w:val="52514E"/>
                <w:sz w:val="20"/>
                <w:szCs w:val="20"/>
              </w:rPr>
              <w:t xml:space="preserve">Type-safe, fast dev cycle, and Recharts renders accessible, real SVG charts rather than canvas images.</w:t>
            </w:r>
          </w:p>
        </w:tc>
      </w:tr>
      <w:tr>
        <w:tc>
          <w:tcPr>
            <w:tcW w:type="dxa" w:w="2400"/>
            <w:tcMar>
              <w:top w:type="dxa" w:w="100"/>
              <w:left w:type="dxa" w:w="120"/>
              <w:bottom w:type="dxa" w:w="100"/>
              <w:right w:type="dxa" w:w="120"/>
            </w:tcMar>
            <w:vAlign w:val="center"/>
          </w:tcPr>
          <w:p>
            <w:r>
              <w:rPr>
                <w:b w:val="false"/>
                <w:bCs w:val="false"/>
                <w:color w:val="52514E"/>
                <w:sz w:val="20"/>
                <w:szCs w:val="20"/>
              </w:rPr>
              <w:t xml:space="preserve">Scheduling</w:t>
            </w:r>
          </w:p>
        </w:tc>
        <w:tc>
          <w:tcPr>
            <w:tcW w:type="dxa" w:w="2400"/>
            <w:tcMar>
              <w:top w:type="dxa" w:w="100"/>
              <w:left w:type="dxa" w:w="120"/>
              <w:bottom w:type="dxa" w:w="100"/>
              <w:right w:type="dxa" w:w="120"/>
            </w:tcMar>
            <w:vAlign w:val="center"/>
          </w:tcPr>
          <w:p>
            <w:r>
              <w:rPr>
                <w:b w:val="false"/>
                <w:bCs w:val="false"/>
                <w:color w:val="52514E"/>
                <w:sz w:val="20"/>
                <w:szCs w:val="20"/>
              </w:rPr>
              <w:t xml:space="preserve">APScheduler + a registered scheduled task</w:t>
            </w:r>
          </w:p>
        </w:tc>
        <w:tc>
          <w:tcPr>
            <w:tcW w:type="dxa" w:w="5520"/>
            <w:tcMar>
              <w:top w:type="dxa" w:w="100"/>
              <w:left w:type="dxa" w:w="120"/>
              <w:bottom w:type="dxa" w:w="100"/>
              <w:right w:type="dxa" w:w="120"/>
            </w:tcMar>
            <w:vAlign w:val="center"/>
          </w:tcPr>
          <w:p>
            <w:r>
              <w:rPr>
                <w:b w:val="false"/>
                <w:bCs w:val="false"/>
                <w:color w:val="52514E"/>
                <w:sz w:val="20"/>
                <w:szCs w:val="20"/>
              </w:rPr>
              <w:t xml:space="preserve">Belt-and-braces: the FastAPI process runs its own daily job, and a separate registered scheduled task keeps data accumulating even across restarts — this is what makes the 30-day backtest achievable on a real timeline.</w:t>
            </w:r>
          </w:p>
        </w:tc>
      </w:tr>
    </w:tbl>
    <w:p>
      <w:r>
        <w:br w:type="page"/>
      </w:r>
    </w:p>
    <w:p>
      <w:pPr>
        <w:pStyle w:val="Heading1"/>
        <w:spacing w:after="200" w:before="400"/>
      </w:pPr>
      <w:r>
        <w:t xml:space="preserve">5. Real Data — The Proof Points</w:t>
      </w:r>
    </w:p>
    <w:p>
      <w:pPr>
        <w:spacing w:after="180" w:line="300"/>
      </w:pPr>
      <w:r>
        <w:rPr>
          <w:color w:val="52514E"/>
          <w:sz w:val="22"/>
          <w:szCs w:val="22"/>
        </w:rPr>
        <w:t xml:space="preserve">Everything in this section is a literal fact about the current running system, verifiable by re-running the commands cited.</w:t>
      </w:r>
    </w:p>
    <w:p>
      <w:pPr>
        <w:pStyle w:val="Heading2"/>
        <w:spacing w:after="160" w:before="300"/>
      </w:pPr>
      <w:r>
        <w:t xml:space="preserve">5.1 The DGCA dataset</w:t>
      </w:r>
    </w:p>
    <w:p>
      <w:pPr>
        <w:pStyle w:val="ListParagraph"/>
        <w:numPr>
          <w:ilvl w:val="0"/>
          <w:numId w:val="2"/>
        </w:numPr>
        <w:spacing w:after="100" w:line="290"/>
      </w:pPr>
      <w:r>
        <w:rPr>
          <w:b/>
          <w:bCs/>
          <w:color w:val="0B0B0B"/>
          <w:sz w:val="22"/>
          <w:szCs w:val="22"/>
        </w:rPr>
        <w:t xml:space="preserve">65,167 rows</w:t>
      </w:r>
      <w:r>
        <w:rPr>
          <w:color w:val="52514E"/>
          <w:sz w:val="22"/>
          <w:szCs w:val="22"/>
        </w:rPr>
        <w:t xml:space="preserve"> of real monthly city-pair passenger-traffic data, sourced from DGCA's own published statistics (via the ODbL-licensed </w:t>
      </w:r>
      <w:r>
        <w:rPr>
          <w:rFonts w:ascii="Consolas" w:cs="Consolas" w:eastAsia="Consolas" w:hAnsi="Consolas"/>
          <w:color w:val="2A78D6"/>
          <w:sz w:val="20"/>
          <w:szCs w:val="20"/>
        </w:rPr>
        <w:t xml:space="preserve">Vonter/india-aviation-traffic</w:t>
      </w:r>
      <w:r>
        <w:rPr>
          <w:color w:val="52514E"/>
          <w:sz w:val="22"/>
          <w:szCs w:val="22"/>
        </w:rPr>
        <w:t xml:space="preserve"> mirror, with full provenance recorded in </w:t>
      </w:r>
      <w:r>
        <w:rPr>
          <w:rFonts w:ascii="Consolas" w:cs="Consolas" w:eastAsia="Consolas" w:hAnsi="Consolas"/>
          <w:color w:val="2A78D6"/>
          <w:sz w:val="20"/>
          <w:szCs w:val="20"/>
        </w:rPr>
        <w:t xml:space="preserve">data/reference/README.md</w:t>
      </w:r>
      <w:r>
        <w:rPr>
          <w:color w:val="52514E"/>
          <w:sz w:val="22"/>
          <w:szCs w:val="22"/>
        </w:rPr>
        <w:t xml:space="preserve">).</w:t>
      </w:r>
    </w:p>
    <w:p>
      <w:pPr>
        <w:pStyle w:val="ListParagraph"/>
        <w:numPr>
          <w:ilvl w:val="0"/>
          <w:numId w:val="2"/>
        </w:numPr>
        <w:spacing w:after="100" w:line="290"/>
      </w:pPr>
      <w:r>
        <w:rPr>
          <w:color w:val="52514E"/>
          <w:sz w:val="22"/>
          <w:szCs w:val="22"/>
        </w:rPr>
        <w:t xml:space="preserve">Covers 191 distinct reported city names across India, spanning 12+ months of recent traffic.</w:t>
      </w:r>
    </w:p>
    <w:p>
      <w:pPr>
        <w:pStyle w:val="Heading2"/>
        <w:spacing w:after="160" w:before="300"/>
      </w:pPr>
      <w:r>
        <w:t xml:space="preserve">5.2 The robots.txt compliance audit — all 11 named sources</w:t>
      </w:r>
    </w:p>
    <w:tbl>
      <w:tblPr>
        <w:tblW w:type="dxa" w:w="10080"/>
        <w:tblBorders>
          <w:top w:val="single" w:color="E1E0D9" w:sz="4"/>
          <w:left w:val="single" w:color="E1E0D9" w:sz="4"/>
          <w:bottom w:val="single" w:color="E1E0D9" w:sz="4"/>
          <w:right w:val="single" w:color="E1E0D9" w:sz="4"/>
          <w:insideH w:val="single" w:color="E1E0D9" w:sz="4"/>
          <w:insideV w:val="single" w:color="E1E0D9" w:sz="4"/>
        </w:tblBorders>
      </w:tblPr>
      <w:tblGrid>
        <w:gridCol w:w="3200"/>
        <w:gridCol w:w="1800"/>
        <w:gridCol w:w="4320"/>
      </w:tblGrid>
      <w:tr>
        <w:trPr>
          <w:tblHeader/>
        </w:trPr>
        <w:tc>
          <w:tcPr>
            <w:tcW w:type="dxa" w:w="3200"/>
            <w:shd w:fill="2A78D6" w:val="clear"/>
            <w:tcMar>
              <w:top w:type="dxa" w:w="100"/>
              <w:left w:type="dxa" w:w="120"/>
              <w:bottom w:type="dxa" w:w="100"/>
              <w:right w:type="dxa" w:w="120"/>
            </w:tcMar>
            <w:vAlign w:val="center"/>
          </w:tcPr>
          <w:p>
            <w:r>
              <w:rPr>
                <w:b/>
                <w:bCs/>
                <w:color w:val="FFFFFF"/>
                <w:sz w:val="20"/>
                <w:szCs w:val="20"/>
              </w:rPr>
              <w:t xml:space="preserve">Source</w:t>
            </w:r>
          </w:p>
        </w:tc>
        <w:tc>
          <w:tcPr>
            <w:tcW w:type="dxa" w:w="1800"/>
            <w:shd w:fill="2A78D6" w:val="clear"/>
            <w:tcMar>
              <w:top w:type="dxa" w:w="100"/>
              <w:left w:type="dxa" w:w="120"/>
              <w:bottom w:type="dxa" w:w="100"/>
              <w:right w:type="dxa" w:w="120"/>
            </w:tcMar>
            <w:vAlign w:val="center"/>
          </w:tcPr>
          <w:p>
            <w:r>
              <w:rPr>
                <w:b/>
                <w:bCs/>
                <w:color w:val="FFFFFF"/>
                <w:sz w:val="20"/>
                <w:szCs w:val="20"/>
              </w:rPr>
              <w:t xml:space="preserve">Type</w:t>
            </w:r>
          </w:p>
        </w:tc>
        <w:tc>
          <w:tcPr>
            <w:tcW w:type="dxa" w:w="4320"/>
            <w:shd w:fill="2A78D6" w:val="clear"/>
            <w:tcMar>
              <w:top w:type="dxa" w:w="100"/>
              <w:left w:type="dxa" w:w="120"/>
              <w:bottom w:type="dxa" w:w="100"/>
              <w:right w:type="dxa" w:w="120"/>
            </w:tcMar>
            <w:vAlign w:val="center"/>
          </w:tcPr>
          <w:p>
            <w:r>
              <w:rPr>
                <w:b/>
                <w:bCs/>
                <w:color w:val="FFFFFF"/>
                <w:sz w:val="20"/>
                <w:szCs w:val="20"/>
              </w:rPr>
              <w:t xml:space="preserve">Result</w:t>
            </w:r>
          </w:p>
        </w:tc>
      </w:tr>
      <w:tr>
        <w:tc>
          <w:tcPr>
            <w:tcW w:type="dxa" w:w="3200"/>
            <w:tcMar>
              <w:top w:type="dxa" w:w="100"/>
              <w:left w:type="dxa" w:w="120"/>
              <w:bottom w:type="dxa" w:w="100"/>
              <w:right w:type="dxa" w:w="120"/>
            </w:tcMar>
            <w:vAlign w:val="center"/>
          </w:tcPr>
          <w:p>
            <w:r>
              <w:rPr>
                <w:b w:val="false"/>
                <w:bCs w:val="false"/>
                <w:color w:val="52514E"/>
                <w:sz w:val="20"/>
                <w:szCs w:val="20"/>
              </w:rPr>
              <w:t xml:space="preserve">SpiceJet</w:t>
            </w:r>
          </w:p>
        </w:tc>
        <w:tc>
          <w:tcPr>
            <w:tcW w:type="dxa" w:w="1800"/>
            <w:tcMar>
              <w:top w:type="dxa" w:w="100"/>
              <w:left w:type="dxa" w:w="120"/>
              <w:bottom w:type="dxa" w:w="100"/>
              <w:right w:type="dxa" w:w="120"/>
            </w:tcMar>
            <w:vAlign w:val="center"/>
          </w:tcPr>
          <w:p>
            <w:r>
              <w:rPr>
                <w:b w:val="false"/>
                <w:bCs w:val="false"/>
                <w:color w:val="52514E"/>
                <w:sz w:val="20"/>
                <w:szCs w:val="20"/>
              </w:rPr>
              <w:t xml:space="preserve">Airline</w:t>
            </w:r>
          </w:p>
        </w:tc>
        <w:tc>
          <w:tcPr>
            <w:tcW w:type="dxa" w:w="4320"/>
            <w:tcMar>
              <w:top w:type="dxa" w:w="100"/>
              <w:left w:type="dxa" w:w="120"/>
              <w:bottom w:type="dxa" w:w="100"/>
              <w:right w:type="dxa" w:w="120"/>
            </w:tcMar>
            <w:vAlign w:val="center"/>
          </w:tcPr>
          <w:p>
            <w:r>
              <w:rPr>
                <w:b w:val="false"/>
                <w:bCs w:val="false"/>
                <w:color w:val="52514E"/>
                <w:sz w:val="20"/>
                <w:szCs w:val="20"/>
              </w:rPr>
              <w:t xml:space="preserve">Allowed — runs live</w:t>
            </w:r>
          </w:p>
        </w:tc>
      </w:tr>
      <w:tr>
        <w:tc>
          <w:tcPr>
            <w:tcW w:type="dxa" w:w="3200"/>
            <w:shd w:fill="F4F3EC" w:val="clear"/>
            <w:tcMar>
              <w:top w:type="dxa" w:w="100"/>
              <w:left w:type="dxa" w:w="120"/>
              <w:bottom w:type="dxa" w:w="100"/>
              <w:right w:type="dxa" w:w="120"/>
            </w:tcMar>
            <w:vAlign w:val="center"/>
          </w:tcPr>
          <w:p>
            <w:r>
              <w:rPr>
                <w:b w:val="false"/>
                <w:bCs w:val="false"/>
                <w:color w:val="52514E"/>
                <w:sz w:val="20"/>
                <w:szCs w:val="20"/>
              </w:rPr>
              <w:t xml:space="preserve">Akasa Air</w:t>
            </w:r>
          </w:p>
        </w:tc>
        <w:tc>
          <w:tcPr>
            <w:tcW w:type="dxa" w:w="1800"/>
            <w:shd w:fill="F4F3EC" w:val="clear"/>
            <w:tcMar>
              <w:top w:type="dxa" w:w="100"/>
              <w:left w:type="dxa" w:w="120"/>
              <w:bottom w:type="dxa" w:w="100"/>
              <w:right w:type="dxa" w:w="120"/>
            </w:tcMar>
            <w:vAlign w:val="center"/>
          </w:tcPr>
          <w:p>
            <w:r>
              <w:rPr>
                <w:b w:val="false"/>
                <w:bCs w:val="false"/>
                <w:color w:val="52514E"/>
                <w:sz w:val="20"/>
                <w:szCs w:val="20"/>
              </w:rPr>
              <w:t xml:space="preserve">Airline</w:t>
            </w:r>
          </w:p>
        </w:tc>
        <w:tc>
          <w:tcPr>
            <w:tcW w:type="dxa" w:w="4320"/>
            <w:shd w:fill="F4F3EC" w:val="clear"/>
            <w:tcMar>
              <w:top w:type="dxa" w:w="100"/>
              <w:left w:type="dxa" w:w="120"/>
              <w:bottom w:type="dxa" w:w="100"/>
              <w:right w:type="dxa" w:w="120"/>
            </w:tcMar>
            <w:vAlign w:val="center"/>
          </w:tcPr>
          <w:p>
            <w:r>
              <w:rPr>
                <w:b w:val="false"/>
                <w:bCs w:val="false"/>
                <w:color w:val="52514E"/>
                <w:sz w:val="20"/>
                <w:szCs w:val="20"/>
              </w:rPr>
              <w:t xml:space="preserve">Allowed — runs live</w:t>
            </w:r>
          </w:p>
        </w:tc>
      </w:tr>
      <w:tr>
        <w:tc>
          <w:tcPr>
            <w:tcW w:type="dxa" w:w="3200"/>
            <w:tcMar>
              <w:top w:type="dxa" w:w="100"/>
              <w:left w:type="dxa" w:w="120"/>
              <w:bottom w:type="dxa" w:w="100"/>
              <w:right w:type="dxa" w:w="120"/>
            </w:tcMar>
            <w:vAlign w:val="center"/>
          </w:tcPr>
          <w:p>
            <w:r>
              <w:rPr>
                <w:b w:val="false"/>
                <w:bCs w:val="false"/>
                <w:color w:val="52514E"/>
                <w:sz w:val="20"/>
                <w:szCs w:val="20"/>
              </w:rPr>
              <w:t xml:space="preserve">IndiGo</w:t>
            </w:r>
          </w:p>
        </w:tc>
        <w:tc>
          <w:tcPr>
            <w:tcW w:type="dxa" w:w="1800"/>
            <w:tcMar>
              <w:top w:type="dxa" w:w="100"/>
              <w:left w:type="dxa" w:w="120"/>
              <w:bottom w:type="dxa" w:w="100"/>
              <w:right w:type="dxa" w:w="120"/>
            </w:tcMar>
            <w:vAlign w:val="center"/>
          </w:tcPr>
          <w:p>
            <w:r>
              <w:rPr>
                <w:b w:val="false"/>
                <w:bCs w:val="false"/>
                <w:color w:val="52514E"/>
                <w:sz w:val="20"/>
                <w:szCs w:val="20"/>
              </w:rPr>
              <w:t xml:space="preserve">Airline</w:t>
            </w:r>
          </w:p>
        </w:tc>
        <w:tc>
          <w:tcPr>
            <w:tcW w:type="dxa" w:w="4320"/>
            <w:tcMar>
              <w:top w:type="dxa" w:w="100"/>
              <w:left w:type="dxa" w:w="120"/>
              <w:bottom w:type="dxa" w:w="100"/>
              <w:right w:type="dxa" w:w="120"/>
            </w:tcMar>
            <w:vAlign w:val="center"/>
          </w:tcPr>
          <w:p>
            <w:r>
              <w:rPr>
                <w:b w:val="false"/>
                <w:bCs w:val="false"/>
                <w:color w:val="52514E"/>
                <w:sz w:val="20"/>
                <w:szCs w:val="20"/>
              </w:rPr>
              <w:t xml:space="preserve">Blocked — network-level bot protection prevents even a robots.txt fetch</w:t>
            </w:r>
          </w:p>
        </w:tc>
      </w:tr>
      <w:tr>
        <w:tc>
          <w:tcPr>
            <w:tcW w:type="dxa" w:w="3200"/>
            <w:shd w:fill="F4F3EC" w:val="clear"/>
            <w:tcMar>
              <w:top w:type="dxa" w:w="100"/>
              <w:left w:type="dxa" w:w="120"/>
              <w:bottom w:type="dxa" w:w="100"/>
              <w:right w:type="dxa" w:w="120"/>
            </w:tcMar>
            <w:vAlign w:val="center"/>
          </w:tcPr>
          <w:p>
            <w:r>
              <w:rPr>
                <w:b w:val="false"/>
                <w:bCs w:val="false"/>
                <w:color w:val="52514E"/>
                <w:sz w:val="20"/>
                <w:szCs w:val="20"/>
              </w:rPr>
              <w:t xml:space="preserve">Air India</w:t>
            </w:r>
          </w:p>
        </w:tc>
        <w:tc>
          <w:tcPr>
            <w:tcW w:type="dxa" w:w="1800"/>
            <w:shd w:fill="F4F3EC" w:val="clear"/>
            <w:tcMar>
              <w:top w:type="dxa" w:w="100"/>
              <w:left w:type="dxa" w:w="120"/>
              <w:bottom w:type="dxa" w:w="100"/>
              <w:right w:type="dxa" w:w="120"/>
            </w:tcMar>
            <w:vAlign w:val="center"/>
          </w:tcPr>
          <w:p>
            <w:r>
              <w:rPr>
                <w:b w:val="false"/>
                <w:bCs w:val="false"/>
                <w:color w:val="52514E"/>
                <w:sz w:val="20"/>
                <w:szCs w:val="20"/>
              </w:rPr>
              <w:t xml:space="preserve">Airline</w:t>
            </w:r>
          </w:p>
        </w:tc>
        <w:tc>
          <w:tcPr>
            <w:tcW w:type="dxa" w:w="4320"/>
            <w:shd w:fill="F4F3EC" w:val="clear"/>
            <w:tcMar>
              <w:top w:type="dxa" w:w="100"/>
              <w:left w:type="dxa" w:w="120"/>
              <w:bottom w:type="dxa" w:w="100"/>
              <w:right w:type="dxa" w:w="120"/>
            </w:tcMar>
            <w:vAlign w:val="center"/>
          </w:tcPr>
          <w:p>
            <w:r>
              <w:rPr>
                <w:b w:val="false"/>
                <w:bCs w:val="false"/>
                <w:color w:val="52514E"/>
                <w:sz w:val="20"/>
                <w:szCs w:val="20"/>
              </w:rPr>
              <w:t xml:space="preserve">Blocked — same network-level protection</w:t>
            </w:r>
          </w:p>
        </w:tc>
      </w:tr>
      <w:tr>
        <w:tc>
          <w:tcPr>
            <w:tcW w:type="dxa" w:w="3200"/>
            <w:tcMar>
              <w:top w:type="dxa" w:w="100"/>
              <w:left w:type="dxa" w:w="120"/>
              <w:bottom w:type="dxa" w:w="100"/>
              <w:right w:type="dxa" w:w="120"/>
            </w:tcMar>
            <w:vAlign w:val="center"/>
          </w:tcPr>
          <w:p>
            <w:r>
              <w:rPr>
                <w:b w:val="false"/>
                <w:bCs w:val="false"/>
                <w:color w:val="52514E"/>
                <w:sz w:val="20"/>
                <w:szCs w:val="20"/>
              </w:rPr>
              <w:t xml:space="preserve">Air India Express</w:t>
            </w:r>
          </w:p>
        </w:tc>
        <w:tc>
          <w:tcPr>
            <w:tcW w:type="dxa" w:w="1800"/>
            <w:tcMar>
              <w:top w:type="dxa" w:w="100"/>
              <w:left w:type="dxa" w:w="120"/>
              <w:bottom w:type="dxa" w:w="100"/>
              <w:right w:type="dxa" w:w="120"/>
            </w:tcMar>
            <w:vAlign w:val="center"/>
          </w:tcPr>
          <w:p>
            <w:r>
              <w:rPr>
                <w:b w:val="false"/>
                <w:bCs w:val="false"/>
                <w:color w:val="52514E"/>
                <w:sz w:val="20"/>
                <w:szCs w:val="20"/>
              </w:rPr>
              <w:t xml:space="preserve">Airline</w:t>
            </w:r>
          </w:p>
        </w:tc>
        <w:tc>
          <w:tcPr>
            <w:tcW w:type="dxa" w:w="4320"/>
            <w:tcMar>
              <w:top w:type="dxa" w:w="100"/>
              <w:left w:type="dxa" w:w="120"/>
              <w:bottom w:type="dxa" w:w="100"/>
              <w:right w:type="dxa" w:w="120"/>
            </w:tcMar>
            <w:vAlign w:val="center"/>
          </w:tcPr>
          <w:p>
            <w:r>
              <w:rPr>
                <w:b w:val="false"/>
                <w:bCs w:val="false"/>
                <w:color w:val="52514E"/>
                <w:sz w:val="20"/>
                <w:szCs w:val="20"/>
              </w:rPr>
              <w:t xml:space="preserve">Blocked — explicitly disallowed in robots.txt</w:t>
            </w:r>
          </w:p>
        </w:tc>
      </w:tr>
      <w:tr>
        <w:tc>
          <w:tcPr>
            <w:tcW w:type="dxa" w:w="3200"/>
            <w:shd w:fill="F4F3EC" w:val="clear"/>
            <w:tcMar>
              <w:top w:type="dxa" w:w="100"/>
              <w:left w:type="dxa" w:w="120"/>
              <w:bottom w:type="dxa" w:w="100"/>
              <w:right w:type="dxa" w:w="120"/>
            </w:tcMar>
            <w:vAlign w:val="center"/>
          </w:tcPr>
          <w:p>
            <w:r>
              <w:rPr>
                <w:b w:val="false"/>
                <w:bCs w:val="false"/>
                <w:color w:val="52514E"/>
                <w:sz w:val="20"/>
                <w:szCs w:val="20"/>
              </w:rPr>
              <w:t xml:space="preserve">ixigo</w:t>
            </w:r>
          </w:p>
        </w:tc>
        <w:tc>
          <w:tcPr>
            <w:tcW w:type="dxa" w:w="1800"/>
            <w:shd w:fill="F4F3EC" w:val="clear"/>
            <w:tcMar>
              <w:top w:type="dxa" w:w="100"/>
              <w:left w:type="dxa" w:w="120"/>
              <w:bottom w:type="dxa" w:w="100"/>
              <w:right w:type="dxa" w:w="120"/>
            </w:tcMar>
            <w:vAlign w:val="center"/>
          </w:tcPr>
          <w:p>
            <w:r>
              <w:rPr>
                <w:b w:val="false"/>
                <w:bCs w:val="false"/>
                <w:color w:val="52514E"/>
                <w:sz w:val="20"/>
                <w:szCs w:val="20"/>
              </w:rPr>
              <w:t xml:space="preserve">Booking site</w:t>
            </w:r>
          </w:p>
        </w:tc>
        <w:tc>
          <w:tcPr>
            <w:tcW w:type="dxa" w:w="4320"/>
            <w:shd w:fill="F4F3EC" w:val="clear"/>
            <w:tcMar>
              <w:top w:type="dxa" w:w="100"/>
              <w:left w:type="dxa" w:w="120"/>
              <w:bottom w:type="dxa" w:w="100"/>
              <w:right w:type="dxa" w:w="120"/>
            </w:tcMar>
            <w:vAlign w:val="center"/>
          </w:tcPr>
          <w:p>
            <w:r>
              <w:rPr>
                <w:b w:val="false"/>
                <w:bCs w:val="false"/>
                <w:color w:val="52514E"/>
                <w:sz w:val="20"/>
                <w:szCs w:val="20"/>
              </w:rPr>
              <w:t xml:space="preserve">Blocked — explicitly disallowed in robots.txt</w:t>
            </w:r>
          </w:p>
        </w:tc>
      </w:tr>
      <w:tr>
        <w:tc>
          <w:tcPr>
            <w:tcW w:type="dxa" w:w="3200"/>
            <w:tcMar>
              <w:top w:type="dxa" w:w="100"/>
              <w:left w:type="dxa" w:w="120"/>
              <w:bottom w:type="dxa" w:w="100"/>
              <w:right w:type="dxa" w:w="120"/>
            </w:tcMar>
            <w:vAlign w:val="center"/>
          </w:tcPr>
          <w:p>
            <w:r>
              <w:rPr>
                <w:b w:val="false"/>
                <w:bCs w:val="false"/>
                <w:color w:val="52514E"/>
                <w:sz w:val="20"/>
                <w:szCs w:val="20"/>
              </w:rPr>
              <w:t xml:space="preserve">EaseMyTrip</w:t>
            </w:r>
          </w:p>
        </w:tc>
        <w:tc>
          <w:tcPr>
            <w:tcW w:type="dxa" w:w="1800"/>
            <w:tcMar>
              <w:top w:type="dxa" w:w="100"/>
              <w:left w:type="dxa" w:w="120"/>
              <w:bottom w:type="dxa" w:w="100"/>
              <w:right w:type="dxa" w:w="120"/>
            </w:tcMar>
            <w:vAlign w:val="center"/>
          </w:tcPr>
          <w:p>
            <w:r>
              <w:rPr>
                <w:b w:val="false"/>
                <w:bCs w:val="false"/>
                <w:color w:val="52514E"/>
                <w:sz w:val="20"/>
                <w:szCs w:val="20"/>
              </w:rPr>
              <w:t xml:space="preserve">Booking site</w:t>
            </w:r>
          </w:p>
        </w:tc>
        <w:tc>
          <w:tcPr>
            <w:tcW w:type="dxa" w:w="4320"/>
            <w:tcMar>
              <w:top w:type="dxa" w:w="100"/>
              <w:left w:type="dxa" w:w="120"/>
              <w:bottom w:type="dxa" w:w="100"/>
              <w:right w:type="dxa" w:w="120"/>
            </w:tcMar>
            <w:vAlign w:val="center"/>
          </w:tcPr>
          <w:p>
            <w:r>
              <w:rPr>
                <w:b w:val="false"/>
                <w:bCs w:val="false"/>
                <w:color w:val="52514E"/>
                <w:sz w:val="20"/>
                <w:szCs w:val="20"/>
              </w:rPr>
              <w:t xml:space="preserve">Blocked — explicitly disallowed in robots.txt</w:t>
            </w:r>
          </w:p>
        </w:tc>
      </w:tr>
      <w:tr>
        <w:tc>
          <w:tcPr>
            <w:tcW w:type="dxa" w:w="3200"/>
            <w:shd w:fill="F4F3EC" w:val="clear"/>
            <w:tcMar>
              <w:top w:type="dxa" w:w="100"/>
              <w:left w:type="dxa" w:w="120"/>
              <w:bottom w:type="dxa" w:w="100"/>
              <w:right w:type="dxa" w:w="120"/>
            </w:tcMar>
            <w:vAlign w:val="center"/>
          </w:tcPr>
          <w:p>
            <w:r>
              <w:rPr>
                <w:b w:val="false"/>
                <w:bCs w:val="false"/>
                <w:color w:val="52514E"/>
                <w:sz w:val="20"/>
                <w:szCs w:val="20"/>
              </w:rPr>
              <w:t xml:space="preserve">Cleartrip</w:t>
            </w:r>
          </w:p>
        </w:tc>
        <w:tc>
          <w:tcPr>
            <w:tcW w:type="dxa" w:w="1800"/>
            <w:shd w:fill="F4F3EC" w:val="clear"/>
            <w:tcMar>
              <w:top w:type="dxa" w:w="100"/>
              <w:left w:type="dxa" w:w="120"/>
              <w:bottom w:type="dxa" w:w="100"/>
              <w:right w:type="dxa" w:w="120"/>
            </w:tcMar>
            <w:vAlign w:val="center"/>
          </w:tcPr>
          <w:p>
            <w:r>
              <w:rPr>
                <w:b w:val="false"/>
                <w:bCs w:val="false"/>
                <w:color w:val="52514E"/>
                <w:sz w:val="20"/>
                <w:szCs w:val="20"/>
              </w:rPr>
              <w:t xml:space="preserve">Booking site</w:t>
            </w:r>
          </w:p>
        </w:tc>
        <w:tc>
          <w:tcPr>
            <w:tcW w:type="dxa" w:w="4320"/>
            <w:shd w:fill="F4F3EC" w:val="clear"/>
            <w:tcMar>
              <w:top w:type="dxa" w:w="100"/>
              <w:left w:type="dxa" w:w="120"/>
              <w:bottom w:type="dxa" w:w="100"/>
              <w:right w:type="dxa" w:w="120"/>
            </w:tcMar>
            <w:vAlign w:val="center"/>
          </w:tcPr>
          <w:p>
            <w:r>
              <w:rPr>
                <w:b w:val="false"/>
                <w:bCs w:val="false"/>
                <w:color w:val="52514E"/>
                <w:sz w:val="20"/>
                <w:szCs w:val="20"/>
              </w:rPr>
              <w:t xml:space="preserve">Blocked — explicitly disallowed in robots.txt</w:t>
            </w:r>
          </w:p>
        </w:tc>
      </w:tr>
      <w:tr>
        <w:tc>
          <w:tcPr>
            <w:tcW w:type="dxa" w:w="3200"/>
            <w:tcMar>
              <w:top w:type="dxa" w:w="100"/>
              <w:left w:type="dxa" w:w="120"/>
              <w:bottom w:type="dxa" w:w="100"/>
              <w:right w:type="dxa" w:w="120"/>
            </w:tcMar>
            <w:vAlign w:val="center"/>
          </w:tcPr>
          <w:p>
            <w:r>
              <w:rPr>
                <w:b w:val="false"/>
                <w:bCs w:val="false"/>
                <w:color w:val="52514E"/>
                <w:sz w:val="20"/>
                <w:szCs w:val="20"/>
              </w:rPr>
              <w:t xml:space="preserve">Yatra</w:t>
            </w:r>
          </w:p>
        </w:tc>
        <w:tc>
          <w:tcPr>
            <w:tcW w:type="dxa" w:w="1800"/>
            <w:tcMar>
              <w:top w:type="dxa" w:w="100"/>
              <w:left w:type="dxa" w:w="120"/>
              <w:bottom w:type="dxa" w:w="100"/>
              <w:right w:type="dxa" w:w="120"/>
            </w:tcMar>
            <w:vAlign w:val="center"/>
          </w:tcPr>
          <w:p>
            <w:r>
              <w:rPr>
                <w:b w:val="false"/>
                <w:bCs w:val="false"/>
                <w:color w:val="52514E"/>
                <w:sz w:val="20"/>
                <w:szCs w:val="20"/>
              </w:rPr>
              <w:t xml:space="preserve">Booking site</w:t>
            </w:r>
          </w:p>
        </w:tc>
        <w:tc>
          <w:tcPr>
            <w:tcW w:type="dxa" w:w="4320"/>
            <w:tcMar>
              <w:top w:type="dxa" w:w="100"/>
              <w:left w:type="dxa" w:w="120"/>
              <w:bottom w:type="dxa" w:w="100"/>
              <w:right w:type="dxa" w:w="120"/>
            </w:tcMar>
            <w:vAlign w:val="center"/>
          </w:tcPr>
          <w:p>
            <w:r>
              <w:rPr>
                <w:b w:val="false"/>
                <w:bCs w:val="false"/>
                <w:color w:val="52514E"/>
                <w:sz w:val="20"/>
                <w:szCs w:val="20"/>
              </w:rPr>
              <w:t xml:space="preserve">Blocked — robots.txt unreachable</w:t>
            </w:r>
          </w:p>
        </w:tc>
      </w:tr>
      <w:tr>
        <w:tc>
          <w:tcPr>
            <w:tcW w:type="dxa" w:w="3200"/>
            <w:shd w:fill="F4F3EC" w:val="clear"/>
            <w:tcMar>
              <w:top w:type="dxa" w:w="100"/>
              <w:left w:type="dxa" w:w="120"/>
              <w:bottom w:type="dxa" w:w="100"/>
              <w:right w:type="dxa" w:w="120"/>
            </w:tcMar>
            <w:vAlign w:val="center"/>
          </w:tcPr>
          <w:p>
            <w:r>
              <w:rPr>
                <w:b w:val="false"/>
                <w:bCs w:val="false"/>
                <w:color w:val="52514E"/>
                <w:sz w:val="20"/>
                <w:szCs w:val="20"/>
              </w:rPr>
              <w:t xml:space="preserve">Goibibo</w:t>
            </w:r>
          </w:p>
        </w:tc>
        <w:tc>
          <w:tcPr>
            <w:tcW w:type="dxa" w:w="1800"/>
            <w:shd w:fill="F4F3EC" w:val="clear"/>
            <w:tcMar>
              <w:top w:type="dxa" w:w="100"/>
              <w:left w:type="dxa" w:w="120"/>
              <w:bottom w:type="dxa" w:w="100"/>
              <w:right w:type="dxa" w:w="120"/>
            </w:tcMar>
            <w:vAlign w:val="center"/>
          </w:tcPr>
          <w:p>
            <w:r>
              <w:rPr>
                <w:b w:val="false"/>
                <w:bCs w:val="false"/>
                <w:color w:val="52514E"/>
                <w:sz w:val="20"/>
                <w:szCs w:val="20"/>
              </w:rPr>
              <w:t xml:space="preserve">Booking site</w:t>
            </w:r>
          </w:p>
        </w:tc>
        <w:tc>
          <w:tcPr>
            <w:tcW w:type="dxa" w:w="4320"/>
            <w:shd w:fill="F4F3EC" w:val="clear"/>
            <w:tcMar>
              <w:top w:type="dxa" w:w="100"/>
              <w:left w:type="dxa" w:w="120"/>
              <w:bottom w:type="dxa" w:w="100"/>
              <w:right w:type="dxa" w:w="120"/>
            </w:tcMar>
            <w:vAlign w:val="center"/>
          </w:tcPr>
          <w:p>
            <w:r>
              <w:rPr>
                <w:b w:val="false"/>
                <w:bCs w:val="false"/>
                <w:color w:val="52514E"/>
                <w:sz w:val="20"/>
                <w:szCs w:val="20"/>
              </w:rPr>
              <w:t xml:space="preserve">Blocked — robots.txt unreachable</w:t>
            </w:r>
          </w:p>
        </w:tc>
      </w:tr>
      <w:tr>
        <w:tc>
          <w:tcPr>
            <w:tcW w:type="dxa" w:w="3200"/>
            <w:tcMar>
              <w:top w:type="dxa" w:w="100"/>
              <w:left w:type="dxa" w:w="120"/>
              <w:bottom w:type="dxa" w:w="100"/>
              <w:right w:type="dxa" w:w="120"/>
            </w:tcMar>
            <w:vAlign w:val="center"/>
          </w:tcPr>
          <w:p>
            <w:r>
              <w:rPr>
                <w:b w:val="false"/>
                <w:bCs w:val="false"/>
                <w:color w:val="52514E"/>
                <w:sz w:val="20"/>
                <w:szCs w:val="20"/>
              </w:rPr>
              <w:t xml:space="preserve">MakeMyTrip</w:t>
            </w:r>
          </w:p>
        </w:tc>
        <w:tc>
          <w:tcPr>
            <w:tcW w:type="dxa" w:w="1800"/>
            <w:tcMar>
              <w:top w:type="dxa" w:w="100"/>
              <w:left w:type="dxa" w:w="120"/>
              <w:bottom w:type="dxa" w:w="100"/>
              <w:right w:type="dxa" w:w="120"/>
            </w:tcMar>
            <w:vAlign w:val="center"/>
          </w:tcPr>
          <w:p>
            <w:r>
              <w:rPr>
                <w:b w:val="false"/>
                <w:bCs w:val="false"/>
                <w:color w:val="52514E"/>
                <w:sz w:val="20"/>
                <w:szCs w:val="20"/>
              </w:rPr>
              <w:t xml:space="preserve">Booking site</w:t>
            </w:r>
          </w:p>
        </w:tc>
        <w:tc>
          <w:tcPr>
            <w:tcW w:type="dxa" w:w="4320"/>
            <w:tcMar>
              <w:top w:type="dxa" w:w="100"/>
              <w:left w:type="dxa" w:w="120"/>
              <w:bottom w:type="dxa" w:w="100"/>
              <w:right w:type="dxa" w:w="120"/>
            </w:tcMar>
            <w:vAlign w:val="center"/>
          </w:tcPr>
          <w:p>
            <w:r>
              <w:rPr>
                <w:b w:val="false"/>
                <w:bCs w:val="false"/>
                <w:color w:val="52514E"/>
                <w:sz w:val="20"/>
                <w:szCs w:val="20"/>
              </w:rPr>
              <w:t xml:space="preserve">Blocked — robots.txt unreachable</w:t>
            </w:r>
          </w:p>
        </w:tc>
      </w:tr>
    </w:tbl>
    <w:p>
      <w:pPr>
        <w:spacing w:after="180" w:line="300"/>
      </w:pPr>
      <w:r>
        <w:rPr>
          <w:color w:val="52514E"/>
          <w:sz w:val="22"/>
          <w:szCs w:val="22"/>
        </w:rPr>
        <w:t xml:space="preserve">Result: 2 of 11 sources currently permit automated access. All 11 have working, unit-tested scraper adapters — the other 9 are wired up and ready, held behind the live compliance gate rather than scraping pages their operators have disallowed. This mirrors exactly what DGCA's own Tariff Monitoring Unit does — it "monitors airfares on select domestic sectors... using airlines' websites," per the Ministry of Civil Aviation's own public statements — so the path to full coverage is the same one a government body would take: a data-sharing or NDC API agreement, not overriding a site's stated rules.</w:t>
      </w:r>
    </w:p>
    <w:p>
      <w:pPr>
        <w:pStyle w:val="Heading2"/>
        <w:spacing w:after="160" w:before="300"/>
      </w:pPr>
      <w:r>
        <w:t xml:space="preserve">5.3 Real fares actually collected</w:t>
      </w:r>
    </w:p>
    <w:p>
      <w:pPr>
        <w:spacing w:after="180" w:line="300"/>
      </w:pPr>
      <w:r>
        <w:rPr>
          <w:color w:val="52514E"/>
          <w:sz w:val="22"/>
          <w:szCs w:val="22"/>
        </w:rPr>
        <w:t xml:space="preserve">As of this document, the system holds </w:t>
      </w:r>
      <w:r>
        <w:rPr>
          <w:b/>
          <w:bCs/>
          <w:color w:val="0B0B0B"/>
          <w:sz w:val="22"/>
          <w:szCs w:val="22"/>
        </w:rPr>
        <w:t xml:space="preserve">102 real fare observations</w:t>
      </w:r>
      <w:r>
        <w:rPr>
          <w:color w:val="52514E"/>
          <w:sz w:val="22"/>
          <w:szCs w:val="22"/>
        </w:rPr>
        <w:t xml:space="preserve"> across 12 routes, collected live from SpiceJet and Akasa Air over multiple real days. Genuine, currently-stored examples that directly validate the problem statement's own claim of "200–400% intraday variation":</w:t>
      </w:r>
    </w:p>
    <w:p>
      <w:pPr>
        <w:pStyle w:val="ListParagraph"/>
        <w:numPr>
          <w:ilvl w:val="0"/>
          <w:numId w:val="2"/>
        </w:numPr>
        <w:spacing w:after="100" w:line="290"/>
      </w:pPr>
      <w:r>
        <w:rPr>
          <w:b/>
          <w:bCs/>
          <w:color w:val="0B0B0B"/>
          <w:sz w:val="22"/>
          <w:szCs w:val="22"/>
        </w:rPr>
        <w:t xml:space="preserve">Bengaluru–Mumbai, booked 7 days ahead: </w:t>
      </w:r>
      <w:r>
        <w:rPr>
          <w:color w:val="52514E"/>
          <w:sz w:val="22"/>
          <w:szCs w:val="22"/>
        </w:rPr>
        <w:t xml:space="preserve">real prices found ranged from </w:t>
      </w:r>
      <w:r>
        <w:rPr>
          <w:b/>
          <w:bCs/>
          <w:color w:val="0B0B0B"/>
          <w:sz w:val="22"/>
          <w:szCs w:val="22"/>
        </w:rPr>
        <w:t xml:space="preserve">₹5,544 to ₹24,277</w:t>
      </w:r>
      <w:r>
        <w:rPr>
          <w:color w:val="52514E"/>
          <w:sz w:val="22"/>
          <w:szCs w:val="22"/>
        </w:rPr>
        <w:t xml:space="preserve"> — a </w:t>
      </w:r>
      <w:r>
        <w:rPr>
          <w:b/>
          <w:bCs/>
          <w:color w:val="0B0B0B"/>
          <w:sz w:val="22"/>
          <w:szCs w:val="22"/>
        </w:rPr>
        <w:t xml:space="preserve">338% spread</w:t>
      </w:r>
      <w:r>
        <w:rPr>
          <w:color w:val="52514E"/>
          <w:sz w:val="22"/>
          <w:szCs w:val="22"/>
        </w:rPr>
        <w:t xml:space="preserve">, within the same route and booking window — almost exactly the top of the range the problem statement describes, seen in real, live-collected data.</w:t>
      </w:r>
    </w:p>
    <w:p>
      <w:pPr>
        <w:pStyle w:val="ListParagraph"/>
        <w:numPr>
          <w:ilvl w:val="0"/>
          <w:numId w:val="2"/>
        </w:numPr>
        <w:spacing w:after="100" w:line="290"/>
      </w:pPr>
      <w:r>
        <w:rPr>
          <w:b/>
          <w:bCs/>
          <w:color w:val="0B0B0B"/>
          <w:sz w:val="22"/>
          <w:szCs w:val="22"/>
        </w:rPr>
        <w:t xml:space="preserve">Bengaluru–Pune, booked 1 day ahead: </w:t>
      </w:r>
      <w:r>
        <w:rPr>
          <w:color w:val="52514E"/>
          <w:sz w:val="22"/>
          <w:szCs w:val="22"/>
        </w:rPr>
        <w:t xml:space="preserve">₹4,468 to ₹16,939 — a </w:t>
      </w:r>
      <w:r>
        <w:rPr>
          <w:b/>
          <w:bCs/>
          <w:color w:val="0B0B0B"/>
          <w:sz w:val="22"/>
          <w:szCs w:val="22"/>
        </w:rPr>
        <w:t xml:space="preserve">279% spread</w:t>
      </w:r>
      <w:r>
        <w:rPr>
          <w:color w:val="52514E"/>
          <w:sz w:val="22"/>
          <w:szCs w:val="22"/>
        </w:rPr>
        <w:t xml:space="preserve">, same route, same day.</w:t>
      </w:r>
    </w:p>
    <w:p>
      <w:pPr>
        <w:pStyle w:val="ListParagraph"/>
        <w:numPr>
          <w:ilvl w:val="0"/>
          <w:numId w:val="2"/>
        </w:numPr>
        <w:spacing w:after="100" w:line="290"/>
      </w:pPr>
      <w:r>
        <w:rPr>
          <w:b/>
          <w:bCs/>
          <w:color w:val="0B0B0B"/>
          <w:sz w:val="22"/>
          <w:szCs w:val="22"/>
        </w:rPr>
        <w:t xml:space="preserve">Mumbai–Delhi, booked 7 days ahead: </w:t>
      </w:r>
      <w:r>
        <w:rPr>
          <w:color w:val="52514E"/>
          <w:sz w:val="22"/>
          <w:szCs w:val="22"/>
        </w:rPr>
        <w:t xml:space="preserve">₹7,060 to ₹15,059 — a 113% spread across fare classes and flight times, on the same route, same day.</w:t>
      </w:r>
    </w:p>
    <w:p>
      <w:pPr>
        <w:pStyle w:val="Heading2"/>
        <w:spacing w:after="160" w:before="300"/>
      </w:pPr>
      <w:r>
        <w:t xml:space="preserve">5.4 Route weights — derived, not guessed</w:t>
      </w:r>
    </w:p>
    <w:p>
      <w:pPr>
        <w:spacing w:after="180" w:line="300"/>
      </w:pPr>
      <w:r>
        <w:rPr>
          <w:color w:val="52514E"/>
          <w:sz w:val="22"/>
          <w:szCs w:val="22"/>
        </w:rPr>
        <w:t xml:space="preserve">The full 20-route basket and its real DGCA-derived weights:</w:t>
      </w:r>
    </w:p>
    <w:tbl>
      <w:tblPr>
        <w:tblW w:type="dxa" w:w="10080"/>
        <w:tblBorders>
          <w:top w:val="single" w:color="E1E0D9" w:sz="4"/>
          <w:left w:val="single" w:color="E1E0D9" w:sz="4"/>
          <w:bottom w:val="single" w:color="E1E0D9" w:sz="4"/>
          <w:right w:val="single" w:color="E1E0D9" w:sz="4"/>
          <w:insideH w:val="single" w:color="E1E0D9" w:sz="4"/>
          <w:insideV w:val="single" w:color="E1E0D9" w:sz="4"/>
        </w:tblBorders>
      </w:tblPr>
      <w:tblGrid>
        <w:gridCol w:w="2320"/>
        <w:gridCol w:w="1360"/>
        <w:gridCol w:w="2320"/>
        <w:gridCol w:w="1360"/>
      </w:tblGrid>
      <w:tr>
        <w:trPr>
          <w:tblHeader/>
        </w:trPr>
        <w:tc>
          <w:tcPr>
            <w:tcW w:type="dxa" w:w="2320"/>
            <w:shd w:fill="2A78D6" w:val="clear"/>
            <w:tcMar>
              <w:top w:type="dxa" w:w="100"/>
              <w:left w:type="dxa" w:w="120"/>
              <w:bottom w:type="dxa" w:w="100"/>
              <w:right w:type="dxa" w:w="120"/>
            </w:tcMar>
            <w:vAlign w:val="center"/>
          </w:tcPr>
          <w:p>
            <w:r>
              <w:rPr>
                <w:b/>
                <w:bCs/>
                <w:color w:val="FFFFFF"/>
                <w:sz w:val="20"/>
                <w:szCs w:val="20"/>
              </w:rPr>
              <w:t xml:space="preserve">Route</w:t>
            </w:r>
          </w:p>
        </w:tc>
        <w:tc>
          <w:tcPr>
            <w:tcW w:type="dxa" w:w="1360"/>
            <w:shd w:fill="2A78D6" w:val="clear"/>
            <w:tcMar>
              <w:top w:type="dxa" w:w="100"/>
              <w:left w:type="dxa" w:w="120"/>
              <w:bottom w:type="dxa" w:w="100"/>
              <w:right w:type="dxa" w:w="120"/>
            </w:tcMar>
            <w:vAlign w:val="center"/>
          </w:tcPr>
          <w:p>
            <w:r>
              <w:rPr>
                <w:b/>
                <w:bCs/>
                <w:color w:val="FFFFFF"/>
                <w:sz w:val="20"/>
                <w:szCs w:val="20"/>
              </w:rPr>
              <w:t xml:space="preserve">Weight</w:t>
            </w:r>
          </w:p>
        </w:tc>
        <w:tc>
          <w:tcPr>
            <w:tcW w:type="dxa" w:w="2320"/>
            <w:shd w:fill="2A78D6" w:val="clear"/>
            <w:tcMar>
              <w:top w:type="dxa" w:w="100"/>
              <w:left w:type="dxa" w:w="120"/>
              <w:bottom w:type="dxa" w:w="100"/>
              <w:right w:type="dxa" w:w="120"/>
            </w:tcMar>
            <w:vAlign w:val="center"/>
          </w:tcPr>
          <w:p>
            <w:r>
              <w:rPr>
                <w:b/>
                <w:bCs/>
                <w:color w:val="FFFFFF"/>
                <w:sz w:val="20"/>
                <w:szCs w:val="20"/>
              </w:rPr>
              <w:t xml:space="preserve">Route</w:t>
            </w:r>
          </w:p>
        </w:tc>
        <w:tc>
          <w:tcPr>
            <w:tcW w:type="dxa" w:w="1360"/>
            <w:shd w:fill="2A78D6" w:val="clear"/>
            <w:tcMar>
              <w:top w:type="dxa" w:w="100"/>
              <w:left w:type="dxa" w:w="120"/>
              <w:bottom w:type="dxa" w:w="100"/>
              <w:right w:type="dxa" w:w="120"/>
            </w:tcMar>
            <w:vAlign w:val="center"/>
          </w:tcPr>
          <w:p>
            <w:r>
              <w:rPr>
                <w:b/>
                <w:bCs/>
                <w:color w:val="FFFFFF"/>
                <w:sz w:val="20"/>
                <w:szCs w:val="20"/>
              </w:rPr>
              <w:t xml:space="preserve">Weight</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Mumbai–Delhi</w:t>
            </w:r>
          </w:p>
        </w:tc>
        <w:tc>
          <w:tcPr>
            <w:tcW w:type="dxa" w:w="1360"/>
            <w:tcMar>
              <w:top w:type="dxa" w:w="100"/>
              <w:left w:type="dxa" w:w="120"/>
              <w:bottom w:type="dxa" w:w="100"/>
              <w:right w:type="dxa" w:w="120"/>
            </w:tcMar>
            <w:vAlign w:val="center"/>
          </w:tcPr>
          <w:p>
            <w:r>
              <w:rPr>
                <w:b w:val="false"/>
                <w:bCs w:val="false"/>
                <w:color w:val="52514E"/>
                <w:sz w:val="20"/>
                <w:szCs w:val="20"/>
              </w:rPr>
              <w:t xml:space="preserve">12.6%</w:t>
            </w:r>
          </w:p>
        </w:tc>
        <w:tc>
          <w:tcPr>
            <w:tcW w:type="dxa" w:w="2320"/>
            <w:tcMar>
              <w:top w:type="dxa" w:w="100"/>
              <w:left w:type="dxa" w:w="120"/>
              <w:bottom w:type="dxa" w:w="100"/>
              <w:right w:type="dxa" w:w="120"/>
            </w:tcMar>
            <w:vAlign w:val="center"/>
          </w:tcPr>
          <w:p>
            <w:r>
              <w:rPr>
                <w:b w:val="false"/>
                <w:bCs w:val="false"/>
                <w:color w:val="52514E"/>
                <w:sz w:val="20"/>
                <w:szCs w:val="20"/>
              </w:rPr>
              <w:t xml:space="preserve">Bengaluru–Kolkata</w:t>
            </w:r>
          </w:p>
        </w:tc>
        <w:tc>
          <w:tcPr>
            <w:tcW w:type="dxa" w:w="1360"/>
            <w:tcMar>
              <w:top w:type="dxa" w:w="100"/>
              <w:left w:type="dxa" w:w="120"/>
              <w:bottom w:type="dxa" w:w="100"/>
              <w:right w:type="dxa" w:w="120"/>
            </w:tcMar>
            <w:vAlign w:val="center"/>
          </w:tcPr>
          <w:p>
            <w:r>
              <w:rPr>
                <w:b w:val="false"/>
                <w:bCs w:val="false"/>
                <w:color w:val="52514E"/>
                <w:sz w:val="20"/>
                <w:szCs w:val="20"/>
              </w:rPr>
              <w:t xml:space="preserve">4.2%</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Bengaluru–Delhi</w:t>
            </w:r>
          </w:p>
        </w:tc>
        <w:tc>
          <w:tcPr>
            <w:tcW w:type="dxa" w:w="1360"/>
            <w:tcMar>
              <w:top w:type="dxa" w:w="100"/>
              <w:left w:type="dxa" w:w="120"/>
              <w:bottom w:type="dxa" w:w="100"/>
              <w:right w:type="dxa" w:w="120"/>
            </w:tcMar>
            <w:vAlign w:val="center"/>
          </w:tcPr>
          <w:p>
            <w:r>
              <w:rPr>
                <w:b w:val="false"/>
                <w:bCs w:val="false"/>
                <w:color w:val="52514E"/>
                <w:sz w:val="20"/>
                <w:szCs w:val="20"/>
              </w:rPr>
              <w:t xml:space="preserve">9.5%</w:t>
            </w:r>
          </w:p>
        </w:tc>
        <w:tc>
          <w:tcPr>
            <w:tcW w:type="dxa" w:w="2320"/>
            <w:tcMar>
              <w:top w:type="dxa" w:w="100"/>
              <w:left w:type="dxa" w:w="120"/>
              <w:bottom w:type="dxa" w:w="100"/>
              <w:right w:type="dxa" w:w="120"/>
            </w:tcMar>
            <w:vAlign w:val="center"/>
          </w:tcPr>
          <w:p>
            <w:r>
              <w:rPr>
                <w:b w:val="false"/>
                <w:bCs w:val="false"/>
                <w:color w:val="52514E"/>
                <w:sz w:val="20"/>
                <w:szCs w:val="20"/>
              </w:rPr>
              <w:t xml:space="preserve">Mumbai–Chennai</w:t>
            </w:r>
          </w:p>
        </w:tc>
        <w:tc>
          <w:tcPr>
            <w:tcW w:type="dxa" w:w="1360"/>
            <w:tcMar>
              <w:top w:type="dxa" w:w="100"/>
              <w:left w:type="dxa" w:w="120"/>
              <w:bottom w:type="dxa" w:w="100"/>
              <w:right w:type="dxa" w:w="120"/>
            </w:tcMar>
            <w:vAlign w:val="center"/>
          </w:tcPr>
          <w:p>
            <w:r>
              <w:rPr>
                <w:b w:val="false"/>
                <w:bCs w:val="false"/>
                <w:color w:val="52514E"/>
                <w:sz w:val="20"/>
                <w:szCs w:val="20"/>
              </w:rPr>
              <w:t xml:space="preserve">4.2%</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Bengaluru–Mumbai</w:t>
            </w:r>
          </w:p>
        </w:tc>
        <w:tc>
          <w:tcPr>
            <w:tcW w:type="dxa" w:w="1360"/>
            <w:tcMar>
              <w:top w:type="dxa" w:w="100"/>
              <w:left w:type="dxa" w:w="120"/>
              <w:bottom w:type="dxa" w:w="100"/>
              <w:right w:type="dxa" w:w="120"/>
            </w:tcMar>
            <w:vAlign w:val="center"/>
          </w:tcPr>
          <w:p>
            <w:r>
              <w:rPr>
                <w:b w:val="false"/>
                <w:bCs w:val="false"/>
                <w:color w:val="52514E"/>
                <w:sz w:val="20"/>
                <w:szCs w:val="20"/>
              </w:rPr>
              <w:t xml:space="preserve">7.6%</w:t>
            </w:r>
          </w:p>
        </w:tc>
        <w:tc>
          <w:tcPr>
            <w:tcW w:type="dxa" w:w="2320"/>
            <w:tcMar>
              <w:top w:type="dxa" w:w="100"/>
              <w:left w:type="dxa" w:w="120"/>
              <w:bottom w:type="dxa" w:w="100"/>
              <w:right w:type="dxa" w:w="120"/>
            </w:tcMar>
            <w:vAlign w:val="center"/>
          </w:tcPr>
          <w:p>
            <w:r>
              <w:rPr>
                <w:b w:val="false"/>
                <w:bCs w:val="false"/>
                <w:color w:val="52514E"/>
                <w:sz w:val="20"/>
                <w:szCs w:val="20"/>
              </w:rPr>
              <w:t xml:space="preserve">Mumbai–Hyderabad</w:t>
            </w:r>
          </w:p>
        </w:tc>
        <w:tc>
          <w:tcPr>
            <w:tcW w:type="dxa" w:w="1360"/>
            <w:tcMar>
              <w:top w:type="dxa" w:w="100"/>
              <w:left w:type="dxa" w:w="120"/>
              <w:bottom w:type="dxa" w:w="100"/>
              <w:right w:type="dxa" w:w="120"/>
            </w:tcMar>
            <w:vAlign w:val="center"/>
          </w:tcPr>
          <w:p>
            <w:r>
              <w:rPr>
                <w:b w:val="false"/>
                <w:bCs w:val="false"/>
                <w:color w:val="52514E"/>
                <w:sz w:val="20"/>
                <w:szCs w:val="20"/>
              </w:rPr>
              <w:t xml:space="preserve">4.2%</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Delhi–Hyderabad</w:t>
            </w:r>
          </w:p>
        </w:tc>
        <w:tc>
          <w:tcPr>
            <w:tcW w:type="dxa" w:w="1360"/>
            <w:tcMar>
              <w:top w:type="dxa" w:w="100"/>
              <w:left w:type="dxa" w:w="120"/>
              <w:bottom w:type="dxa" w:w="100"/>
              <w:right w:type="dxa" w:w="120"/>
            </w:tcMar>
            <w:vAlign w:val="center"/>
          </w:tcPr>
          <w:p>
            <w:r>
              <w:rPr>
                <w:b w:val="false"/>
                <w:bCs w:val="false"/>
                <w:color w:val="52514E"/>
                <w:sz w:val="20"/>
                <w:szCs w:val="20"/>
              </w:rPr>
              <w:t xml:space="preserve">6.0%</w:t>
            </w:r>
          </w:p>
        </w:tc>
        <w:tc>
          <w:tcPr>
            <w:tcW w:type="dxa" w:w="2320"/>
            <w:tcMar>
              <w:top w:type="dxa" w:w="100"/>
              <w:left w:type="dxa" w:w="120"/>
              <w:bottom w:type="dxa" w:w="100"/>
              <w:right w:type="dxa" w:w="120"/>
            </w:tcMar>
            <w:vAlign w:val="center"/>
          </w:tcPr>
          <w:p>
            <w:r>
              <w:rPr>
                <w:b w:val="false"/>
                <w:bCs w:val="false"/>
                <w:color w:val="52514E"/>
                <w:sz w:val="20"/>
                <w:szCs w:val="20"/>
              </w:rPr>
              <w:t xml:space="preserve">Ahmedabad–Mumbai</w:t>
            </w:r>
          </w:p>
        </w:tc>
        <w:tc>
          <w:tcPr>
            <w:tcW w:type="dxa" w:w="1360"/>
            <w:tcMar>
              <w:top w:type="dxa" w:w="100"/>
              <w:left w:type="dxa" w:w="120"/>
              <w:bottom w:type="dxa" w:w="100"/>
              <w:right w:type="dxa" w:w="120"/>
            </w:tcMar>
            <w:vAlign w:val="center"/>
          </w:tcPr>
          <w:p>
            <w:r>
              <w:rPr>
                <w:b w:val="false"/>
                <w:bCs w:val="false"/>
                <w:color w:val="52514E"/>
                <w:sz w:val="20"/>
                <w:szCs w:val="20"/>
              </w:rPr>
              <w:t xml:space="preserve">3.8%</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Kolkata–Delhi</w:t>
            </w:r>
          </w:p>
        </w:tc>
        <w:tc>
          <w:tcPr>
            <w:tcW w:type="dxa" w:w="1360"/>
            <w:tcMar>
              <w:top w:type="dxa" w:w="100"/>
              <w:left w:type="dxa" w:w="120"/>
              <w:bottom w:type="dxa" w:w="100"/>
              <w:right w:type="dxa" w:w="120"/>
            </w:tcMar>
            <w:vAlign w:val="center"/>
          </w:tcPr>
          <w:p>
            <w:r>
              <w:rPr>
                <w:b w:val="false"/>
                <w:bCs w:val="false"/>
                <w:color w:val="52514E"/>
                <w:sz w:val="20"/>
                <w:szCs w:val="20"/>
              </w:rPr>
              <w:t xml:space="preserve">5.6%</w:t>
            </w:r>
          </w:p>
        </w:tc>
        <w:tc>
          <w:tcPr>
            <w:tcW w:type="dxa" w:w="2320"/>
            <w:tcMar>
              <w:top w:type="dxa" w:w="100"/>
              <w:left w:type="dxa" w:w="120"/>
              <w:bottom w:type="dxa" w:w="100"/>
              <w:right w:type="dxa" w:w="120"/>
            </w:tcMar>
            <w:vAlign w:val="center"/>
          </w:tcPr>
          <w:p>
            <w:r>
              <w:rPr>
                <w:b w:val="false"/>
                <w:bCs w:val="false"/>
                <w:color w:val="52514E"/>
                <w:sz w:val="20"/>
                <w:szCs w:val="20"/>
              </w:rPr>
              <w:t xml:space="preserve">Delhi–Srinagar</w:t>
            </w:r>
          </w:p>
        </w:tc>
        <w:tc>
          <w:tcPr>
            <w:tcW w:type="dxa" w:w="1360"/>
            <w:tcMar>
              <w:top w:type="dxa" w:w="100"/>
              <w:left w:type="dxa" w:w="120"/>
              <w:bottom w:type="dxa" w:w="100"/>
              <w:right w:type="dxa" w:w="120"/>
            </w:tcMar>
            <w:vAlign w:val="center"/>
          </w:tcPr>
          <w:p>
            <w:r>
              <w:rPr>
                <w:b w:val="false"/>
                <w:bCs w:val="false"/>
                <w:color w:val="52514E"/>
                <w:sz w:val="20"/>
                <w:szCs w:val="20"/>
              </w:rPr>
              <w:t xml:space="preserve">3.5%</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Delhi–Pune</w:t>
            </w:r>
          </w:p>
        </w:tc>
        <w:tc>
          <w:tcPr>
            <w:tcW w:type="dxa" w:w="1360"/>
            <w:tcMar>
              <w:top w:type="dxa" w:w="100"/>
              <w:left w:type="dxa" w:w="120"/>
              <w:bottom w:type="dxa" w:w="100"/>
              <w:right w:type="dxa" w:w="120"/>
            </w:tcMar>
            <w:vAlign w:val="center"/>
          </w:tcPr>
          <w:p>
            <w:r>
              <w:rPr>
                <w:b w:val="false"/>
                <w:bCs w:val="false"/>
                <w:color w:val="52514E"/>
                <w:sz w:val="20"/>
                <w:szCs w:val="20"/>
              </w:rPr>
              <w:t xml:space="preserve">5.6%</w:t>
            </w:r>
          </w:p>
        </w:tc>
        <w:tc>
          <w:tcPr>
            <w:tcW w:type="dxa" w:w="2320"/>
            <w:tcMar>
              <w:top w:type="dxa" w:w="100"/>
              <w:left w:type="dxa" w:w="120"/>
              <w:bottom w:type="dxa" w:w="100"/>
              <w:right w:type="dxa" w:w="120"/>
            </w:tcMar>
            <w:vAlign w:val="center"/>
          </w:tcPr>
          <w:p>
            <w:r>
              <w:rPr>
                <w:b w:val="false"/>
                <w:bCs w:val="false"/>
                <w:color w:val="52514E"/>
                <w:sz w:val="20"/>
                <w:szCs w:val="20"/>
              </w:rPr>
              <w:t xml:space="preserve">Bengaluru–Pune</w:t>
            </w:r>
          </w:p>
        </w:tc>
        <w:tc>
          <w:tcPr>
            <w:tcW w:type="dxa" w:w="1360"/>
            <w:tcMar>
              <w:top w:type="dxa" w:w="100"/>
              <w:left w:type="dxa" w:w="120"/>
              <w:bottom w:type="dxa" w:w="100"/>
              <w:right w:type="dxa" w:w="120"/>
            </w:tcMar>
            <w:vAlign w:val="center"/>
          </w:tcPr>
          <w:p>
            <w:r>
              <w:rPr>
                <w:b w:val="false"/>
                <w:bCs w:val="false"/>
                <w:color w:val="52514E"/>
                <w:sz w:val="20"/>
                <w:szCs w:val="20"/>
              </w:rPr>
              <w:t xml:space="preserve">3.5%</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Ahmedabad–Delhi</w:t>
            </w:r>
          </w:p>
        </w:tc>
        <w:tc>
          <w:tcPr>
            <w:tcW w:type="dxa" w:w="1360"/>
            <w:tcMar>
              <w:top w:type="dxa" w:w="100"/>
              <w:left w:type="dxa" w:w="120"/>
              <w:bottom w:type="dxa" w:w="100"/>
              <w:right w:type="dxa" w:w="120"/>
            </w:tcMar>
            <w:vAlign w:val="center"/>
          </w:tcPr>
          <w:p>
            <w:r>
              <w:rPr>
                <w:b w:val="false"/>
                <w:bCs w:val="false"/>
                <w:color w:val="52514E"/>
                <w:sz w:val="20"/>
                <w:szCs w:val="20"/>
              </w:rPr>
              <w:t xml:space="preserve">4.6%</w:t>
            </w:r>
          </w:p>
        </w:tc>
        <w:tc>
          <w:tcPr>
            <w:tcW w:type="dxa" w:w="2320"/>
            <w:tcMar>
              <w:top w:type="dxa" w:w="100"/>
              <w:left w:type="dxa" w:w="120"/>
              <w:bottom w:type="dxa" w:w="100"/>
              <w:right w:type="dxa" w:w="120"/>
            </w:tcMar>
            <w:vAlign w:val="center"/>
          </w:tcPr>
          <w:p>
            <w:r>
              <w:rPr>
                <w:b w:val="false"/>
                <w:bCs w:val="false"/>
                <w:color w:val="52514E"/>
                <w:sz w:val="20"/>
                <w:szCs w:val="20"/>
              </w:rPr>
              <w:t xml:space="preserve">Delhi–Guwahati</w:t>
            </w:r>
          </w:p>
        </w:tc>
        <w:tc>
          <w:tcPr>
            <w:tcW w:type="dxa" w:w="1360"/>
            <w:tcMar>
              <w:top w:type="dxa" w:w="100"/>
              <w:left w:type="dxa" w:w="120"/>
              <w:bottom w:type="dxa" w:w="100"/>
              <w:right w:type="dxa" w:w="120"/>
            </w:tcMar>
            <w:vAlign w:val="center"/>
          </w:tcPr>
          <w:p>
            <w:r>
              <w:rPr>
                <w:b w:val="false"/>
                <w:bCs w:val="false"/>
                <w:color w:val="52514E"/>
                <w:sz w:val="20"/>
                <w:szCs w:val="20"/>
              </w:rPr>
              <w:t xml:space="preserve">3.1%</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Bengaluru–Hyderabad</w:t>
            </w:r>
          </w:p>
        </w:tc>
        <w:tc>
          <w:tcPr>
            <w:tcW w:type="dxa" w:w="1360"/>
            <w:tcMar>
              <w:top w:type="dxa" w:w="100"/>
              <w:left w:type="dxa" w:w="120"/>
              <w:bottom w:type="dxa" w:w="100"/>
              <w:right w:type="dxa" w:w="120"/>
            </w:tcMar>
            <w:vAlign w:val="center"/>
          </w:tcPr>
          <w:p>
            <w:r>
              <w:rPr>
                <w:b w:val="false"/>
                <w:bCs w:val="false"/>
                <w:color w:val="52514E"/>
                <w:sz w:val="20"/>
                <w:szCs w:val="20"/>
              </w:rPr>
              <w:t xml:space="preserve">4.4%</w:t>
            </w:r>
          </w:p>
        </w:tc>
        <w:tc>
          <w:tcPr>
            <w:tcW w:type="dxa" w:w="2320"/>
            <w:tcMar>
              <w:top w:type="dxa" w:w="100"/>
              <w:left w:type="dxa" w:w="120"/>
              <w:bottom w:type="dxa" w:w="100"/>
              <w:right w:type="dxa" w:w="120"/>
            </w:tcMar>
            <w:vAlign w:val="center"/>
          </w:tcPr>
          <w:p>
            <w:r>
              <w:rPr>
                <w:b w:val="false"/>
                <w:bCs w:val="false"/>
                <w:color w:val="52514E"/>
                <w:sz w:val="20"/>
                <w:szCs w:val="20"/>
              </w:rPr>
              <w:t xml:space="preserve">Bengaluru–Chennai</w:t>
            </w:r>
          </w:p>
        </w:tc>
        <w:tc>
          <w:tcPr>
            <w:tcW w:type="dxa" w:w="1360"/>
            <w:tcMar>
              <w:top w:type="dxa" w:w="100"/>
              <w:left w:type="dxa" w:w="120"/>
              <w:bottom w:type="dxa" w:w="100"/>
              <w:right w:type="dxa" w:w="120"/>
            </w:tcMar>
            <w:vAlign w:val="center"/>
          </w:tcPr>
          <w:p>
            <w:r>
              <w:rPr>
                <w:b w:val="false"/>
                <w:bCs w:val="false"/>
                <w:color w:val="52514E"/>
                <w:sz w:val="20"/>
                <w:szCs w:val="20"/>
              </w:rPr>
              <w:t xml:space="preserve">2.9%</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Mumbai–Kolkata</w:t>
            </w:r>
          </w:p>
        </w:tc>
        <w:tc>
          <w:tcPr>
            <w:tcW w:type="dxa" w:w="1360"/>
            <w:tcMar>
              <w:top w:type="dxa" w:w="100"/>
              <w:left w:type="dxa" w:w="120"/>
              <w:bottom w:type="dxa" w:w="100"/>
              <w:right w:type="dxa" w:w="120"/>
            </w:tcMar>
            <w:vAlign w:val="center"/>
          </w:tcPr>
          <w:p>
            <w:r>
              <w:rPr>
                <w:b w:val="false"/>
                <w:bCs w:val="false"/>
                <w:color w:val="52514E"/>
                <w:sz w:val="20"/>
                <w:szCs w:val="20"/>
              </w:rPr>
              <w:t xml:space="preserve">4.4%</w:t>
            </w:r>
          </w:p>
        </w:tc>
        <w:tc>
          <w:tcPr>
            <w:tcW w:type="dxa" w:w="2320"/>
            <w:tcMar>
              <w:top w:type="dxa" w:w="100"/>
              <w:left w:type="dxa" w:w="120"/>
              <w:bottom w:type="dxa" w:w="100"/>
              <w:right w:type="dxa" w:w="120"/>
            </w:tcMar>
            <w:vAlign w:val="center"/>
          </w:tcPr>
          <w:p>
            <w:r>
              <w:rPr>
                <w:b w:val="false"/>
                <w:bCs w:val="false"/>
                <w:color w:val="52514E"/>
                <w:sz w:val="20"/>
                <w:szCs w:val="20"/>
              </w:rPr>
              <w:t xml:space="preserve">Delhi–Patna</w:t>
            </w:r>
          </w:p>
        </w:tc>
        <w:tc>
          <w:tcPr>
            <w:tcW w:type="dxa" w:w="1360"/>
            <w:tcMar>
              <w:top w:type="dxa" w:w="100"/>
              <w:left w:type="dxa" w:w="120"/>
              <w:bottom w:type="dxa" w:w="100"/>
              <w:right w:type="dxa" w:w="120"/>
            </w:tcMar>
            <w:vAlign w:val="center"/>
          </w:tcPr>
          <w:p>
            <w:r>
              <w:rPr>
                <w:b w:val="false"/>
                <w:bCs w:val="false"/>
                <w:color w:val="52514E"/>
                <w:sz w:val="20"/>
                <w:szCs w:val="20"/>
              </w:rPr>
              <w:t xml:space="preserve">2.9%</w:t>
            </w:r>
          </w:p>
        </w:tc>
      </w:tr>
      <w:tr>
        <w:tc>
          <w:tcPr>
            <w:tcW w:type="dxa" w:w="2320"/>
            <w:tcMar>
              <w:top w:type="dxa" w:w="100"/>
              <w:left w:type="dxa" w:w="120"/>
              <w:bottom w:type="dxa" w:w="100"/>
              <w:right w:type="dxa" w:w="120"/>
            </w:tcMar>
            <w:vAlign w:val="center"/>
          </w:tcPr>
          <w:p>
            <w:r>
              <w:rPr>
                <w:b w:val="false"/>
                <w:bCs w:val="false"/>
                <w:color w:val="52514E"/>
                <w:sz w:val="20"/>
                <w:szCs w:val="20"/>
              </w:rPr>
              <w:t xml:space="preserve">Delhi–Chennai</w:t>
            </w:r>
          </w:p>
        </w:tc>
        <w:tc>
          <w:tcPr>
            <w:tcW w:type="dxa" w:w="1360"/>
            <w:tcMar>
              <w:top w:type="dxa" w:w="100"/>
              <w:left w:type="dxa" w:w="120"/>
              <w:bottom w:type="dxa" w:w="100"/>
              <w:right w:type="dxa" w:w="120"/>
            </w:tcMar>
            <w:vAlign w:val="center"/>
          </w:tcPr>
          <w:p>
            <w:r>
              <w:rPr>
                <w:b w:val="false"/>
                <w:bCs w:val="false"/>
                <w:color w:val="52514E"/>
                <w:sz w:val="20"/>
                <w:szCs w:val="20"/>
              </w:rPr>
              <w:t xml:space="preserve">4.3%</w:t>
            </w:r>
          </w:p>
        </w:tc>
        <w:tc>
          <w:tcPr>
            <w:tcW w:type="dxa" w:w="2320"/>
            <w:tcMar>
              <w:top w:type="dxa" w:w="100"/>
              <w:left w:type="dxa" w:w="120"/>
              <w:bottom w:type="dxa" w:w="100"/>
              <w:right w:type="dxa" w:w="120"/>
            </w:tcMar>
            <w:vAlign w:val="center"/>
          </w:tcPr>
          <w:p>
            <w:r>
              <w:rPr>
                <w:b w:val="false"/>
                <w:bCs w:val="false"/>
                <w:color w:val="52514E"/>
                <w:sz w:val="20"/>
                <w:szCs w:val="20"/>
              </w:rPr>
              <w:t xml:space="preserve">Hyderabad–Chennai</w:t>
            </w:r>
          </w:p>
        </w:tc>
        <w:tc>
          <w:tcPr>
            <w:tcW w:type="dxa" w:w="1360"/>
            <w:tcMar>
              <w:top w:type="dxa" w:w="100"/>
              <w:left w:type="dxa" w:w="120"/>
              <w:bottom w:type="dxa" w:w="100"/>
              <w:right w:type="dxa" w:w="120"/>
            </w:tcMar>
            <w:vAlign w:val="center"/>
          </w:tcPr>
          <w:p>
            <w:r>
              <w:rPr>
                <w:b w:val="false"/>
                <w:bCs w:val="false"/>
                <w:color w:val="52514E"/>
                <w:sz w:val="20"/>
                <w:szCs w:val="20"/>
              </w:rPr>
              <w:t xml:space="preserve">2.9%</w:t>
            </w:r>
          </w:p>
        </w:tc>
      </w:tr>
    </w:tbl>
    <w:p>
      <w:pPr>
        <w:spacing w:after="280"/>
        <w:jc w:val="center"/>
      </w:pPr>
      <w:r>
        <w:rPr>
          <w:i/>
          <w:iCs/>
          <w:color w:val="898781"/>
          <w:sz w:val="19"/>
          <w:szCs w:val="19"/>
        </w:rPr>
        <w:t xml:space="preserve">Weights sourced from data/reference/dgca_city_pair_traffic.csv — reproducible via python -m app.cli rank-routes.</w:t>
      </w:r>
    </w:p>
    <w:p>
      <w:r>
        <w:br w:type="page"/>
      </w:r>
    </w:p>
    <w:p>
      <w:pPr>
        <w:pStyle w:val="Heading1"/>
        <w:spacing w:after="200" w:before="400"/>
      </w:pPr>
      <w:r>
        <w:t xml:space="preserve">6. Index Construction Methodology</w:t>
      </w:r>
    </w:p>
    <w:p>
      <w:pPr>
        <w:spacing w:after="180" w:line="300"/>
      </w:pPr>
      <w:r>
        <w:rPr>
          <w:color w:val="52514E"/>
          <w:sz w:val="22"/>
          <w:szCs w:val="22"/>
        </w:rPr>
        <w:t xml:space="preserve">The problem statement asks for index construction "based on the PSD, given routes and weights." This is read as MoSPI's </w:t>
      </w:r>
      <w:r>
        <w:rPr>
          <w:b/>
          <w:bCs/>
          <w:color w:val="0B0B0B"/>
          <w:sz w:val="22"/>
          <w:szCs w:val="22"/>
        </w:rPr>
        <w:t xml:space="preserve">Price Statistics Division</w:t>
      </w:r>
      <w:r>
        <w:rPr>
          <w:color w:val="52514E"/>
          <w:sz w:val="22"/>
          <w:szCs w:val="22"/>
        </w:rPr>
        <w:t xml:space="preserve">, the body that actually builds CPI — so the design goal was to mirror its real method: a fixed basket, weighted, chain-linked index — applied to airfares.</w:t>
      </w:r>
    </w:p>
    <w:p>
      <w:pPr>
        <w:pStyle w:val="Heading2"/>
        <w:spacing w:after="160" w:before="300"/>
      </w:pPr>
      <w:r>
        <w:t xml:space="preserve">6.1 Price representative</w:t>
      </w:r>
    </w:p>
    <w:p>
      <w:pPr>
        <w:spacing w:after="180" w:line="300"/>
      </w:pPr>
      <w:r>
        <w:rPr>
          <w:color w:val="52514E"/>
          <w:sz w:val="22"/>
          <w:szCs w:val="22"/>
        </w:rPr>
        <w:t xml:space="preserve">For each route on each day, the representative price is the cheapest non-outlier, non-sold-out fare quoted that day — the price a traveller could actually get, not an average across every fare class shown.</w:t>
      </w:r>
    </w:p>
    <w:p>
      <w:pPr>
        <w:pStyle w:val="Heading2"/>
        <w:spacing w:after="160" w:before="300"/>
      </w:pPr>
      <w:r>
        <w:t xml:space="preserve">6.2 Three index variants, computed side by side</w:t>
      </w:r>
    </w:p>
    <w:p>
      <w:pPr>
        <w:spacing w:after="180" w:line="300"/>
      </w:pPr>
      <w:r>
        <w:rPr>
          <w:color w:val="52514E"/>
          <w:sz w:val="22"/>
          <w:szCs w:val="22"/>
        </w:rPr>
        <w:t xml:space="preserve">Let P</w:t>
      </w:r>
      <w:r>
        <w:rPr>
          <w:sz w:val="16"/>
          <w:szCs w:val="16"/>
          <w:vertAlign w:val="subscript"/>
        </w:rPr>
        <w:t xml:space="preserve">r,t</w:t>
      </w:r>
      <w:r>
        <w:rPr>
          <w:color w:val="52514E"/>
          <w:sz w:val="22"/>
          <w:szCs w:val="22"/>
        </w:rPr>
        <w:t xml:space="preserve"> be route r's price on day t, P</w:t>
      </w:r>
      <w:r>
        <w:rPr>
          <w:sz w:val="16"/>
          <w:szCs w:val="16"/>
          <w:vertAlign w:val="subscript"/>
        </w:rPr>
        <w:t xml:space="preserve">r,0</w:t>
      </w:r>
      <w:r>
        <w:rPr>
          <w:color w:val="52514E"/>
          <w:sz w:val="22"/>
          <w:szCs w:val="22"/>
        </w:rPr>
        <w:t xml:space="preserve"> its price on the base day, and w</w:t>
      </w:r>
      <w:r>
        <w:rPr>
          <w:sz w:val="16"/>
          <w:szCs w:val="16"/>
          <w:vertAlign w:val="subscript"/>
        </w:rPr>
        <w:t xml:space="preserve">r</w:t>
      </w:r>
      <w:r>
        <w:rPr>
          <w:color w:val="52514E"/>
          <w:sz w:val="22"/>
          <w:szCs w:val="22"/>
        </w:rPr>
        <w:t xml:space="preserve"> its weight.</w:t>
      </w:r>
    </w:p>
    <w:p>
      <w:pPr>
        <w:spacing w:after="140"/>
      </w:pPr>
      <w:r>
        <w:rPr>
          <w:b/>
          <w:bCs/>
          <w:color w:val="0B0B0B"/>
          <w:sz w:val="21"/>
          <w:szCs w:val="21"/>
        </w:rPr>
        <w:t xml:space="preserve">Laspeyres (fixed, base-period weights):</w:t>
      </w:r>
    </w:p>
    <w:p>
      <w:pPr>
        <w:spacing w:after="200"/>
        <w:jc w:val="center"/>
      </w:pPr>
      <w:r>
        <w:rPr>
          <w:rFonts w:ascii="Consolas" w:cs="Consolas" w:eastAsia="Consolas" w:hAnsi="Consolas"/>
          <w:color w:val="0B0B0B"/>
          <w:sz w:val="21"/>
          <w:szCs w:val="21"/>
        </w:rPr>
        <w:t xml:space="preserve">L(t) = 100 × Σ [ w_r(base) × (P_r,t / P_r,0) ] / Σ w_r(base)</w:t>
      </w:r>
    </w:p>
    <w:p>
      <w:pPr>
        <w:spacing w:after="140"/>
      </w:pPr>
      <w:r>
        <w:rPr>
          <w:b/>
          <w:bCs/>
          <w:color w:val="0B0B0B"/>
          <w:sz w:val="21"/>
          <w:szCs w:val="21"/>
        </w:rPr>
        <w:t xml:space="preserve">Paasche (current-period weights, refreshed from the DGCA file):</w:t>
      </w:r>
    </w:p>
    <w:p>
      <w:pPr>
        <w:spacing w:after="200"/>
        <w:jc w:val="center"/>
      </w:pPr>
      <w:r>
        <w:rPr>
          <w:rFonts w:ascii="Consolas" w:cs="Consolas" w:eastAsia="Consolas" w:hAnsi="Consolas"/>
          <w:color w:val="0B0B0B"/>
          <w:sz w:val="21"/>
          <w:szCs w:val="21"/>
        </w:rPr>
        <w:t xml:space="preserve">P(t) = 100 × Σ [ w_r,t × (P_r,t / P_r,0) ] / Σ w_r,t</w:t>
      </w:r>
    </w:p>
    <w:p>
      <w:pPr>
        <w:spacing w:after="140"/>
      </w:pPr>
      <w:r>
        <w:rPr>
          <w:b/>
          <w:bCs/>
          <w:color w:val="0B0B0B"/>
          <w:sz w:val="21"/>
          <w:szCs w:val="21"/>
        </w:rPr>
        <w:t xml:space="preserve">Fisher (superlative index — geometric mean of the two):</w:t>
      </w:r>
    </w:p>
    <w:p>
      <w:pPr>
        <w:spacing w:after="240"/>
        <w:jc w:val="center"/>
      </w:pPr>
      <w:r>
        <w:rPr>
          <w:rFonts w:ascii="Consolas" w:cs="Consolas" w:eastAsia="Consolas" w:hAnsi="Consolas"/>
          <w:color w:val="0B0B0B"/>
          <w:sz w:val="21"/>
          <w:szCs w:val="21"/>
        </w:rPr>
        <w:t xml:space="preserve">F(t) = √( L(t) × P(t) )</w:t>
      </w:r>
    </w:p>
    <w:p>
      <w:pPr>
        <w:spacing w:after="180" w:line="300"/>
      </w:pPr>
      <w:r>
        <w:rPr>
          <w:color w:val="52514E"/>
          <w:sz w:val="22"/>
          <w:szCs w:val="22"/>
        </w:rPr>
        <w:t xml:space="preserve">All three are exposed side by side via </w:t>
      </w:r>
      <w:r>
        <w:rPr>
          <w:rFonts w:ascii="Consolas" w:cs="Consolas" w:eastAsia="Consolas" w:hAnsi="Consolas"/>
          <w:color w:val="2A78D6"/>
          <w:sz w:val="20"/>
          <w:szCs w:val="20"/>
        </w:rPr>
        <w:t xml:space="preserve">/api/index/daily</w:t>
      </w:r>
      <w:r>
        <w:rPr>
          <w:color w:val="52514E"/>
          <w:sz w:val="22"/>
          <w:szCs w:val="22"/>
        </w:rPr>
        <w:t xml:space="preserve"> — the weighting choice is visible, not picked silently. On day one they are identical by construction (only one weight snapshot exists yet); as the DGCA file is periodically refreshed, Paasche will genuinely diverge from the fixed-weight Laspeyres.</w:t>
      </w:r>
    </w:p>
    <w:p>
      <w:pPr>
        <w:pStyle w:val="Heading2"/>
        <w:spacing w:after="160" w:before="300"/>
      </w:pPr>
      <w:r>
        <w:t xml:space="preserve">6.3 Cleaning pipeline</w:t>
      </w:r>
    </w:p>
    <w:p>
      <w:pPr>
        <w:pStyle w:val="ListParagraph"/>
        <w:numPr>
          <w:ilvl w:val="0"/>
          <w:numId w:val="2"/>
        </w:numPr>
        <w:spacing w:after="100" w:line="290"/>
      </w:pPr>
      <w:r>
        <w:rPr>
          <w:b/>
          <w:bCs/>
          <w:color w:val="0B0B0B"/>
          <w:sz w:val="22"/>
          <w:szCs w:val="22"/>
        </w:rPr>
        <w:t xml:space="preserve">Outlier detection: </w:t>
      </w:r>
      <w:r>
        <w:rPr>
          <w:color w:val="52514E"/>
          <w:sz w:val="22"/>
          <w:szCs w:val="22"/>
        </w:rPr>
        <w:t xml:space="preserve">a robust median/MAD z-score within each route×window group — chosen over a plain standard deviation because airfare distributions are heavy-tailed by construction (one legitimately expensive last-seat fare shouldn't blow out the whole group's threshold). Flagged, never silently deleted, so every number stays auditable.</w:t>
      </w:r>
    </w:p>
    <w:p>
      <w:pPr>
        <w:pStyle w:val="ListParagraph"/>
        <w:numPr>
          <w:ilvl w:val="0"/>
          <w:numId w:val="2"/>
        </w:numPr>
        <w:spacing w:after="100" w:line="290"/>
      </w:pPr>
      <w:r>
        <w:rPr>
          <w:b/>
          <w:bCs/>
          <w:color w:val="0B0B0B"/>
          <w:sz w:val="22"/>
          <w:szCs w:val="22"/>
        </w:rPr>
        <w:t xml:space="preserve">Sold-out / missing flights: </w:t>
      </w:r>
      <w:r>
        <w:rPr>
          <w:color w:val="52514E"/>
          <w:sz w:val="22"/>
          <w:szCs w:val="22"/>
        </w:rPr>
        <w:t xml:space="preserve">recorded as a real row (sold_out = true) rather than dropped — the problem statement explicitly asks the pipeline to account for cancellations and sold-out flights, which means keeping the fact, not erasing it.</w:t>
      </w:r>
    </w:p>
    <w:p>
      <w:pPr>
        <w:pStyle w:val="ListParagraph"/>
        <w:numPr>
          <w:ilvl w:val="0"/>
          <w:numId w:val="2"/>
        </w:numPr>
        <w:spacing w:after="100" w:line="290"/>
      </w:pPr>
      <w:r>
        <w:rPr>
          <w:b/>
          <w:bCs/>
          <w:color w:val="0B0B0B"/>
          <w:sz w:val="22"/>
          <w:szCs w:val="22"/>
        </w:rPr>
        <w:t xml:space="preserve">Fare decomposition (base vs. taxes): </w:t>
      </w:r>
      <w:r>
        <w:rPr>
          <w:color w:val="52514E"/>
          <w:sz w:val="22"/>
          <w:szCs w:val="22"/>
        </w:rPr>
        <w:t xml:space="preserve">implemented and unit-tested, applied only when a source's own page actually shows the breakdown. Neither currently-live source (SpiceJet, Akasa) exposes it, so those rows honestly keep the components as null rather than fabricating a split.</w:t>
      </w:r>
    </w:p>
    <w:p>
      <w:pPr>
        <w:pStyle w:val="ListParagraph"/>
        <w:numPr>
          <w:ilvl w:val="0"/>
          <w:numId w:val="2"/>
        </w:numPr>
        <w:spacing w:after="100" w:line="290"/>
      </w:pPr>
      <w:r>
        <w:rPr>
          <w:b/>
          <w:bCs/>
          <w:color w:val="0B0B0B"/>
          <w:sz w:val="22"/>
          <w:szCs w:val="22"/>
        </w:rPr>
        <w:t xml:space="preserve">De-duplication: </w:t>
      </w:r>
      <w:r>
        <w:rPr>
          <w:color w:val="52514E"/>
          <w:sz w:val="22"/>
          <w:szCs w:val="22"/>
        </w:rPr>
        <w:t xml:space="preserve">exact-duplicate observations within one scrape pass are dropped; repeated same-day passes are kept, because that's how genuine intraday volatility gets captured.</w:t>
      </w:r>
    </w:p>
    <w:p>
      <w:pPr>
        <w:pStyle w:val="Heading2"/>
        <w:spacing w:after="160" w:before="300"/>
      </w:pPr>
      <w:r>
        <w:t xml:space="preserve">6.4 Lead-time elasticity</w:t>
      </w:r>
    </w:p>
    <w:p>
      <w:pPr>
        <w:spacing w:after="180" w:line="300"/>
      </w:pPr>
      <w:r>
        <w:rPr>
          <w:color w:val="52514E"/>
          <w:sz w:val="22"/>
          <w:szCs w:val="22"/>
        </w:rPr>
        <w:t xml:space="preserve">The system also reports how price responds to booking lead time — the "book early, pay less" relationship — as a simple point elasticity between adjacent advance-purchase windows, computed basket-wide and per route.</w:t>
      </w:r>
    </w:p>
    <w:p>
      <w:r>
        <w:br w:type="page"/>
      </w:r>
    </w:p>
    <w:p>
      <w:pPr>
        <w:pStyle w:val="Heading1"/>
        <w:spacing w:after="200" w:before="400"/>
      </w:pPr>
      <w:r>
        <w:t xml:space="preserve">7. Ethical Scraping Architecture</w:t>
      </w:r>
    </w:p>
    <w:p>
      <w:pPr>
        <w:spacing w:after="180" w:line="300"/>
      </w:pPr>
      <w:r>
        <w:rPr>
          <w:color w:val="52514E"/>
          <w:sz w:val="22"/>
          <w:szCs w:val="22"/>
        </w:rPr>
        <w:t xml:space="preserve">The problem statement explicitly requires handling of JavaScript rendering, CAPTCHAs, anti-bot measures, and rate-limiting, "while remaining compliant with the robots.txt and terms of service of source websites." Each requirement below is implemented, not aspirational.</w:t>
      </w:r>
    </w:p>
    <w:p>
      <w:pPr>
        <w:pStyle w:val="Heading2"/>
        <w:spacing w:after="160" w:before="300"/>
      </w:pPr>
      <w:r>
        <w:t xml:space="preserve">7.1 Rate limiting</w:t>
      </w:r>
    </w:p>
    <w:p>
      <w:pPr>
        <w:spacing w:after="180" w:line="300"/>
      </w:pPr>
      <w:r>
        <w:rPr>
          <w:color w:val="52514E"/>
          <w:sz w:val="22"/>
          <w:szCs w:val="22"/>
        </w:rPr>
        <w:t xml:space="preserve">A per-domain token bucket enforces a minimum 6-second gap between any two requests to the same site, shared across every route and window being collected — a full basket pass makes roughly one request every 6 seconds to a given domain, never a burst.</w:t>
      </w:r>
    </w:p>
    <w:p>
      <w:pPr>
        <w:pStyle w:val="Heading2"/>
        <w:spacing w:after="160" w:before="300"/>
      </w:pPr>
      <w:r>
        <w:t xml:space="preserve">7.2 CAPTCHA and bot-challenge handling</w:t>
      </w:r>
    </w:p>
    <w:p>
      <w:pPr>
        <w:spacing w:after="180" w:line="300"/>
      </w:pPr>
      <w:r>
        <w:rPr>
          <w:color w:val="52514E"/>
          <w:sz w:val="22"/>
          <w:szCs w:val="22"/>
        </w:rPr>
        <w:t xml:space="preserve">The scraper actively detects common challenge markers (reCAPTCHA/hCaptcha iframes, Cloudflare's challenge page, PerimeterX) and, on detection, backs off for the rest of that source's run. It never attempts to solve or bypass a challenge — that would defeat the entire purpose of the compliance gate, and is a hard rule regardless of what robots.txt technically permits.</w:t>
      </w:r>
    </w:p>
    <w:p>
      <w:pPr>
        <w:pStyle w:val="Heading2"/>
        <w:spacing w:after="160" w:before="300"/>
      </w:pPr>
      <w:r>
        <w:t xml:space="preserve">7.3 Reading, not probing</w:t>
      </w:r>
    </w:p>
    <w:p>
      <w:pPr>
        <w:spacing w:after="180" w:line="300"/>
      </w:pPr>
      <w:r>
        <w:rPr>
          <w:color w:val="52514E"/>
          <w:sz w:val="22"/>
          <w:szCs w:val="22"/>
        </w:rPr>
        <w:t xml:space="preserve">Adapters read what a normal visitor's browser renders for a permitted search page — including driving Akasa Air's actual interactive form (city autocomplete, calendar picker) exactly as a human would — rather than calling internal JSON APIs directly, even in cases where robots.txt happens not to disallow them. No adapter goes past reading the fare list: no seat selection, no passenger details, no payment step, ever.</w:t>
      </w:r>
    </w:p>
    <w:p>
      <w:pPr>
        <w:pStyle w:val="Heading2"/>
        <w:spacing w:after="160" w:before="300"/>
      </w:pPr>
      <w:r>
        <w:t xml:space="preserve">7.4 A genuine operational finding</w:t>
      </w:r>
    </w:p>
    <w:p>
      <w:pPr>
        <w:spacing w:after="180" w:line="300"/>
      </w:pPr>
      <w:r>
        <w:rPr>
          <w:color w:val="52514E"/>
          <w:sz w:val="22"/>
          <w:szCs w:val="22"/>
        </w:rPr>
        <w:t xml:space="preserve">During development, Akasa Air's booking form intermittently kept its search button disabled after dozens of rapid, back-to-back automated searches used while debugging selectors — even though the exact same interaction sequence worked correctly at normal cadence. This reads as a soft, behavioral anti-automation defense distinct from robots.txt or a hard CAPTCHA, and it's a useful, real-world reminder that "permitted by robots.txt" is not the same as "safe to hit as fast as possible." The production cadence — one pass per route per day via the scheduler — sits comfortably below whatever threshold triggered it.</w:t>
      </w:r>
    </w:p>
    <w:p>
      <w:r>
        <w:br w:type="page"/>
      </w:r>
    </w:p>
    <w:p>
      <w:pPr>
        <w:pStyle w:val="Heading1"/>
        <w:spacing w:after="200" w:before="400"/>
      </w:pPr>
      <w:r>
        <w:t xml:space="preserve">8. The Dashboard — Screenshots of the Working System</w:t>
      </w:r>
    </w:p>
    <w:p>
      <w:pPr>
        <w:spacing w:after="180" w:line="300"/>
      </w:pPr>
      <w:r>
        <w:rPr>
          <w:color w:val="52514E"/>
          <w:sz w:val="22"/>
          <w:szCs w:val="22"/>
        </w:rPr>
        <w:t xml:space="preserve">The dashboard is deliberately written in plain language throughout — statistical terms like "Laspeyres index" or "advance-purchase window" are translated into sentences a non-technical reader (or a policymaker skimming quickly) can act on immediately, with the technical detail one click away for anyone who wants it.</w:t>
      </w:r>
    </w:p>
    <w:p>
      <w:pPr>
        <w:pStyle w:val="Heading2"/>
        <w:spacing w:after="160" w:before="300"/>
      </w:pPr>
      <w:r>
        <w:t xml:space="preserve">8.1 Overview — today's index, at a glance</w:t>
      </w:r>
    </w:p>
    <w:p>
      <w:pPr>
        <w:spacing w:after="120"/>
        <w:jc w:val="center"/>
      </w:pPr>
      <w:r>
        <w:drawing>
          <wp:inline distT="0" distB="0" distL="0" distR="0">
            <wp:extent cx="58483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4000500"/>
                    </a:xfrm>
                    <a:prstGeom prst="rect">
                      <a:avLst/>
                    </a:prstGeom>
                  </pic:spPr>
                </pic:pic>
              </a:graphicData>
            </a:graphic>
          </wp:inline>
        </w:drawing>
      </w:r>
    </w:p>
    <w:p>
      <w:pPr>
        <w:spacing w:after="280"/>
        <w:jc w:val="center"/>
      </w:pPr>
      <w:r>
        <w:rPr>
          <w:i/>
          <w:iCs/>
          <w:color w:val="898781"/>
          <w:sz w:val="19"/>
          <w:szCs w:val="19"/>
        </w:rPr>
        <w:t xml:space="preserve">The headline index number (now showing a genuine two-day trend: 100.0 on the day tracking started, down 2.1% to 97.9 three real days later), key trust metrics, and the three-method trend chart — captured live from http://localhost:5173.</w:t>
      </w:r>
    </w:p>
    <w:p>
      <w:pPr>
        <w:pStyle w:val="Heading2"/>
        <w:spacing w:after="160" w:before="300"/>
      </w:pPr>
      <w:r>
        <w:t xml:space="preserve">8.2 Prices by route and booking window</w:t>
      </w:r>
    </w:p>
    <w:p>
      <w:pPr>
        <w:spacing w:after="120"/>
        <w:jc w:val="center"/>
      </w:pPr>
      <w:r>
        <w:drawing>
          <wp:inline distT="0" distB="0" distL="0" distR="0">
            <wp:extent cx="58483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086100"/>
                    </a:xfrm>
                    <a:prstGeom prst="rect">
                      <a:avLst/>
                    </a:prstGeom>
                  </pic:spPr>
                </pic:pic>
              </a:graphicData>
            </a:graphic>
          </wp:inline>
        </w:drawing>
      </w:r>
    </w:p>
    <w:p>
      <w:pPr>
        <w:spacing w:after="280"/>
        <w:jc w:val="center"/>
      </w:pPr>
      <w:r>
        <w:rPr>
          <w:i/>
          <w:iCs/>
          <w:color w:val="898781"/>
          <w:sz w:val="19"/>
          <w:szCs w:val="19"/>
        </w:rPr>
        <w:t xml:space="preserve">Left: a heatmap of real collected prices across 12 routes with data so far and every advance-purchase window, colour-coded cheap (blue) to pricey (red) within each route. Right: the "book early, pay less" lead-time curve, built from real observations.</w:t>
      </w:r>
    </w:p>
    <w:p>
      <w:pPr>
        <w:pStyle w:val="Heading2"/>
        <w:spacing w:after="160" w:before="300"/>
      </w:pPr>
      <w:r>
        <w:t xml:space="preserve">8.3 Where the data comes from — full transparency</w:t>
      </w:r>
    </w:p>
    <w:p>
      <w:pPr>
        <w:spacing w:after="120"/>
        <w:jc w:val="center"/>
      </w:pPr>
      <w:r>
        <w:drawing>
          <wp:inline distT="0" distB="0" distL="0" distR="0">
            <wp:extent cx="58483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857500"/>
                    </a:xfrm>
                    <a:prstGeom prst="rect">
                      <a:avLst/>
                    </a:prstGeom>
                  </pic:spPr>
                </pic:pic>
              </a:graphicData>
            </a:graphic>
          </wp:inline>
        </w:drawing>
      </w:r>
    </w:p>
    <w:p>
      <w:pPr>
        <w:spacing w:after="280"/>
        <w:jc w:val="center"/>
      </w:pPr>
      <w:r>
        <w:rPr>
          <w:i/>
          <w:iCs/>
          <w:color w:val="898781"/>
          <w:sz w:val="19"/>
          <w:szCs w:val="19"/>
        </w:rPr>
        <w:t xml:space="preserve">Every one of the 11 named sources, its live compliance status, and a plain-language reason — with the underlying technical detail available on demand. This panel is generated live from the compliance_log audit table, not written by hand.</w:t>
      </w:r>
    </w:p>
    <w:p>
      <w:pPr>
        <w:pStyle w:val="Heading2"/>
        <w:spacing w:after="160" w:before="300"/>
      </w:pPr>
      <w:r>
        <w:t xml:space="preserve">8.4 Recent prices found</w:t>
      </w:r>
    </w:p>
    <w:p>
      <w:pPr>
        <w:spacing w:after="120"/>
        <w:jc w:val="center"/>
      </w:pPr>
      <w:r>
        <w:drawing>
          <wp:inline distT="0" distB="0" distL="0" distR="0">
            <wp:extent cx="58483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286000"/>
                    </a:xfrm>
                    <a:prstGeom prst="rect">
                      <a:avLst/>
                    </a:prstGeom>
                  </pic:spPr>
                </pic:pic>
              </a:graphicData>
            </a:graphic>
          </wp:inline>
        </w:drawing>
      </w:r>
    </w:p>
    <w:p>
      <w:pPr>
        <w:spacing w:after="280"/>
        <w:jc w:val="center"/>
      </w:pPr>
      <w:r>
        <w:rPr>
          <w:i/>
          <w:iCs/>
          <w:color w:val="898781"/>
          <w:sz w:val="19"/>
          <w:szCs w:val="19"/>
        </w:rPr>
        <w:t xml:space="preserve">The most recent individual real fare observations landing in the cleaned database, most recent first.</w:t>
      </w:r>
    </w:p>
    <w:p>
      <w:pPr>
        <w:pStyle w:val="Heading2"/>
        <w:spacing w:after="160" w:before="300"/>
      </w:pPr>
      <w:r>
        <w:t xml:space="preserve">8.5 The API — ready for NSO/RBI integration</w:t>
      </w:r>
    </w:p>
    <w:p>
      <w:pPr>
        <w:spacing w:after="120"/>
        <w:jc w:val="center"/>
      </w:pPr>
      <w:r>
        <w:drawing>
          <wp:inline distT="0" distB="0" distL="0" distR="0">
            <wp:extent cx="58483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4114800"/>
                    </a:xfrm>
                    <a:prstGeom prst="rect">
                      <a:avLst/>
                    </a:prstGeom>
                  </pic:spPr>
                </pic:pic>
              </a:graphicData>
            </a:graphic>
          </wp:inline>
        </w:drawing>
      </w:r>
    </w:p>
    <w:p>
      <w:pPr>
        <w:spacing w:after="280"/>
        <w:jc w:val="center"/>
      </w:pPr>
      <w:r>
        <w:rPr>
          <w:i/>
          <w:iCs/>
          <w:color w:val="898781"/>
          <w:sz w:val="19"/>
          <w:szCs w:val="19"/>
        </w:rPr>
        <w:t xml:space="preserve">Auto-generated OpenAPI/Swagger documentation at /docs — every endpoint below is live and returns real data.</w:t>
      </w:r>
    </w:p>
    <w:p>
      <w:r>
        <w:br w:type="page"/>
      </w:r>
    </w:p>
    <w:p>
      <w:pPr>
        <w:pStyle w:val="Heading1"/>
        <w:spacing w:after="200" w:before="400"/>
      </w:pPr>
      <w:r>
        <w:t xml:space="preserve">9. API Reference</w:t>
      </w:r>
    </w:p>
    <w:p>
      <w:pPr>
        <w:spacing w:after="180" w:line="300"/>
      </w:pPr>
      <w:r>
        <w:rPr>
          <w:color w:val="52514E"/>
          <w:sz w:val="22"/>
          <w:szCs w:val="22"/>
        </w:rPr>
        <w:t xml:space="preserve">FastAPI serves interactive documentation at </w:t>
      </w:r>
      <w:r>
        <w:rPr>
          <w:rFonts w:ascii="Consolas" w:cs="Consolas" w:eastAsia="Consolas" w:hAnsi="Consolas"/>
          <w:color w:val="2A78D6"/>
          <w:sz w:val="20"/>
          <w:szCs w:val="20"/>
        </w:rPr>
        <w:t xml:space="preserve">/docs</w:t>
      </w:r>
      <w:r>
        <w:rPr>
          <w:color w:val="52514E"/>
          <w:sz w:val="22"/>
          <w:szCs w:val="22"/>
        </w:rPr>
        <w:t xml:space="preserve"> (shown above). Endpoints, summarised:</w:t>
      </w:r>
    </w:p>
    <w:tbl>
      <w:tblPr>
        <w:tblW w:type="dxa" w:w="10080"/>
        <w:tblBorders>
          <w:top w:val="single" w:color="E1E0D9" w:sz="4"/>
          <w:left w:val="single" w:color="E1E0D9" w:sz="4"/>
          <w:bottom w:val="single" w:color="E1E0D9" w:sz="4"/>
          <w:right w:val="single" w:color="E1E0D9" w:sz="4"/>
          <w:insideH w:val="single" w:color="E1E0D9" w:sz="4"/>
          <w:insideV w:val="single" w:color="E1E0D9" w:sz="4"/>
        </w:tblBorders>
      </w:tblPr>
      <w:tblGrid>
        <w:gridCol w:w="3600"/>
        <w:gridCol w:w="5720"/>
      </w:tblGrid>
      <w:tr>
        <w:trPr>
          <w:tblHeader/>
        </w:trPr>
        <w:tc>
          <w:tcPr>
            <w:tcW w:type="dxa" w:w="3600"/>
            <w:shd w:fill="2A78D6" w:val="clear"/>
            <w:tcMar>
              <w:top w:type="dxa" w:w="100"/>
              <w:left w:type="dxa" w:w="120"/>
              <w:bottom w:type="dxa" w:w="100"/>
              <w:right w:type="dxa" w:w="120"/>
            </w:tcMar>
            <w:vAlign w:val="center"/>
          </w:tcPr>
          <w:p>
            <w:r>
              <w:rPr>
                <w:b/>
                <w:bCs/>
                <w:color w:val="FFFFFF"/>
                <w:sz w:val="20"/>
                <w:szCs w:val="20"/>
              </w:rPr>
              <w:t xml:space="preserve">Endpoint</w:t>
            </w:r>
          </w:p>
        </w:tc>
        <w:tc>
          <w:tcPr>
            <w:tcW w:type="dxa" w:w="5720"/>
            <w:shd w:fill="2A78D6" w:val="clear"/>
            <w:tcMar>
              <w:top w:type="dxa" w:w="100"/>
              <w:left w:type="dxa" w:w="120"/>
              <w:bottom w:type="dxa" w:w="100"/>
              <w:right w:type="dxa" w:w="120"/>
            </w:tcMar>
            <w:vAlign w:val="center"/>
          </w:tcPr>
          <w:p>
            <w:r>
              <w:rPr>
                <w:b/>
                <w:bCs/>
                <w:color w:val="FFFFFF"/>
                <w:sz w:val="20"/>
                <w:szCs w:val="20"/>
              </w:rPr>
              <w:t xml:space="preserve">Purpose</w:t>
            </w:r>
          </w:p>
        </w:tc>
      </w:tr>
      <w:tr>
        <w:tc>
          <w:tcPr>
            <w:tcW w:type="dxa" w:w="3600"/>
            <w:tcMar>
              <w:top w:type="dxa" w:w="100"/>
              <w:left w:type="dxa" w:w="120"/>
              <w:bottom w:type="dxa" w:w="100"/>
              <w:right w:type="dxa" w:w="120"/>
            </w:tcMar>
            <w:vAlign w:val="center"/>
          </w:tcPr>
          <w:p>
            <w:r>
              <w:rPr>
                <w:b w:val="false"/>
                <w:bCs w:val="false"/>
                <w:color w:val="52514E"/>
                <w:sz w:val="20"/>
                <w:szCs w:val="20"/>
              </w:rPr>
              <w:t xml:space="preserve">GET /health</w:t>
            </w:r>
          </w:p>
        </w:tc>
        <w:tc>
          <w:tcPr>
            <w:tcW w:type="dxa" w:w="5720"/>
            <w:tcMar>
              <w:top w:type="dxa" w:w="100"/>
              <w:left w:type="dxa" w:w="120"/>
              <w:bottom w:type="dxa" w:w="100"/>
              <w:right w:type="dxa" w:w="120"/>
            </w:tcMar>
            <w:vAlign w:val="center"/>
          </w:tcPr>
          <w:p>
            <w:r>
              <w:rPr>
                <w:b w:val="false"/>
                <w:bCs w:val="false"/>
                <w:color w:val="52514E"/>
                <w:sz w:val="20"/>
                <w:szCs w:val="20"/>
              </w:rPr>
              <w:t xml:space="preserve">Liveness check</w:t>
            </w:r>
          </w:p>
        </w:tc>
      </w:tr>
      <w:tr>
        <w:tc>
          <w:tcPr>
            <w:tcW w:type="dxa" w:w="3600"/>
            <w:shd w:fill="F4F3EC" w:val="clear"/>
            <w:tcMar>
              <w:top w:type="dxa" w:w="100"/>
              <w:left w:type="dxa" w:w="120"/>
              <w:bottom w:type="dxa" w:w="100"/>
              <w:right w:type="dxa" w:w="120"/>
            </w:tcMar>
            <w:vAlign w:val="center"/>
          </w:tcPr>
          <w:p>
            <w:r>
              <w:rPr>
                <w:b w:val="false"/>
                <w:bCs w:val="false"/>
                <w:color w:val="52514E"/>
                <w:sz w:val="20"/>
                <w:szCs w:val="20"/>
              </w:rPr>
              <w:t xml:space="preserve">GET /api/routes</w:t>
            </w:r>
          </w:p>
        </w:tc>
        <w:tc>
          <w:tcPr>
            <w:tcW w:type="dxa" w:w="5720"/>
            <w:shd w:fill="F4F3EC" w:val="clear"/>
            <w:tcMar>
              <w:top w:type="dxa" w:w="100"/>
              <w:left w:type="dxa" w:w="120"/>
              <w:bottom w:type="dxa" w:w="100"/>
              <w:right w:type="dxa" w:w="120"/>
            </w:tcMar>
            <w:vAlign w:val="center"/>
          </w:tcPr>
          <w:p>
            <w:r>
              <w:rPr>
                <w:b w:val="false"/>
                <w:bCs w:val="false"/>
                <w:color w:val="52514E"/>
                <w:sz w:val="20"/>
                <w:szCs w:val="20"/>
              </w:rPr>
              <w:t xml:space="preserve">Basket routes with their latest DGCA-derived weight</w:t>
            </w:r>
          </w:p>
        </w:tc>
      </w:tr>
      <w:tr>
        <w:tc>
          <w:tcPr>
            <w:tcW w:type="dxa" w:w="3600"/>
            <w:tcMar>
              <w:top w:type="dxa" w:w="100"/>
              <w:left w:type="dxa" w:w="120"/>
              <w:bottom w:type="dxa" w:w="100"/>
              <w:right w:type="dxa" w:w="120"/>
            </w:tcMar>
            <w:vAlign w:val="center"/>
          </w:tcPr>
          <w:p>
            <w:r>
              <w:rPr>
                <w:b w:val="false"/>
                <w:bCs w:val="false"/>
                <w:color w:val="52514E"/>
                <w:sz w:val="20"/>
                <w:szCs w:val="20"/>
              </w:rPr>
              <w:t xml:space="preserve">GET /api/compliance</w:t>
            </w:r>
          </w:p>
        </w:tc>
        <w:tc>
          <w:tcPr>
            <w:tcW w:type="dxa" w:w="5720"/>
            <w:tcMar>
              <w:top w:type="dxa" w:w="100"/>
              <w:left w:type="dxa" w:w="120"/>
              <w:bottom w:type="dxa" w:w="100"/>
              <w:right w:type="dxa" w:w="120"/>
            </w:tcMar>
            <w:vAlign w:val="center"/>
          </w:tcPr>
          <w:p>
            <w:r>
              <w:rPr>
                <w:b w:val="false"/>
                <w:bCs w:val="false"/>
                <w:color w:val="52514E"/>
                <w:sz w:val="20"/>
                <w:szCs w:val="20"/>
              </w:rPr>
              <w:t xml:space="preserve">Live per-source robots.txt compliance status and reason</w:t>
            </w:r>
          </w:p>
        </w:tc>
      </w:tr>
      <w:tr>
        <w:tc>
          <w:tcPr>
            <w:tcW w:type="dxa" w:w="3600"/>
            <w:shd w:fill="F4F3EC" w:val="clear"/>
            <w:tcMar>
              <w:top w:type="dxa" w:w="100"/>
              <w:left w:type="dxa" w:w="120"/>
              <w:bottom w:type="dxa" w:w="100"/>
              <w:right w:type="dxa" w:w="120"/>
            </w:tcMar>
            <w:vAlign w:val="center"/>
          </w:tcPr>
          <w:p>
            <w:r>
              <w:rPr>
                <w:b w:val="false"/>
                <w:bCs w:val="false"/>
                <w:color w:val="52514E"/>
                <w:sz w:val="20"/>
                <w:szCs w:val="20"/>
              </w:rPr>
              <w:t xml:space="preserve">GET /api/coverage</w:t>
            </w:r>
          </w:p>
        </w:tc>
        <w:tc>
          <w:tcPr>
            <w:tcW w:type="dxa" w:w="5720"/>
            <w:shd w:fill="F4F3EC" w:val="clear"/>
            <w:tcMar>
              <w:top w:type="dxa" w:w="100"/>
              <w:left w:type="dxa" w:w="120"/>
              <w:bottom w:type="dxa" w:w="100"/>
              <w:right w:type="dxa" w:w="120"/>
            </w:tcMar>
            <w:vAlign w:val="center"/>
          </w:tcPr>
          <w:p>
            <w:r>
              <w:rPr>
                <w:b w:val="false"/>
                <w:bCs w:val="false"/>
                <w:color w:val="52514E"/>
                <w:sz w:val="20"/>
                <w:szCs w:val="20"/>
              </w:rPr>
              <w:t xml:space="preserve">How much of the route×window basket has real data right now, and what's missing</w:t>
            </w:r>
          </w:p>
        </w:tc>
      </w:tr>
      <w:tr>
        <w:tc>
          <w:tcPr>
            <w:tcW w:type="dxa" w:w="3600"/>
            <w:tcMar>
              <w:top w:type="dxa" w:w="100"/>
              <w:left w:type="dxa" w:w="120"/>
              <w:bottom w:type="dxa" w:w="100"/>
              <w:right w:type="dxa" w:w="120"/>
            </w:tcMar>
            <w:vAlign w:val="center"/>
          </w:tcPr>
          <w:p>
            <w:r>
              <w:rPr>
                <w:b w:val="false"/>
                <w:bCs w:val="false"/>
                <w:color w:val="52514E"/>
                <w:sz w:val="20"/>
                <w:szCs w:val="20"/>
              </w:rPr>
              <w:t xml:space="preserve">GET /api/index/daily</w:t>
            </w:r>
          </w:p>
        </w:tc>
        <w:tc>
          <w:tcPr>
            <w:tcW w:type="dxa" w:w="5720"/>
            <w:tcMar>
              <w:top w:type="dxa" w:w="100"/>
              <w:left w:type="dxa" w:w="120"/>
              <w:bottom w:type="dxa" w:w="100"/>
              <w:right w:type="dxa" w:w="120"/>
            </w:tcMar>
            <w:vAlign w:val="center"/>
          </w:tcPr>
          <w:p>
            <w:r>
              <w:rPr>
                <w:b w:val="false"/>
                <w:bCs w:val="false"/>
                <w:color w:val="52514E"/>
                <w:sz w:val="20"/>
                <w:szCs w:val="20"/>
              </w:rPr>
              <w:t xml:space="preserve">Daily Laspeyres/Paasche/Fisher index values, sample size, routes covered</w:t>
            </w:r>
          </w:p>
        </w:tc>
      </w:tr>
      <w:tr>
        <w:tc>
          <w:tcPr>
            <w:tcW w:type="dxa" w:w="3600"/>
            <w:shd w:fill="F4F3EC" w:val="clear"/>
            <w:tcMar>
              <w:top w:type="dxa" w:w="100"/>
              <w:left w:type="dxa" w:w="120"/>
              <w:bottom w:type="dxa" w:w="100"/>
              <w:right w:type="dxa" w:w="120"/>
            </w:tcMar>
            <w:vAlign w:val="center"/>
          </w:tcPr>
          <w:p>
            <w:r>
              <w:rPr>
                <w:b w:val="false"/>
                <w:bCs w:val="false"/>
                <w:color w:val="52514E"/>
                <w:sz w:val="20"/>
                <w:szCs w:val="20"/>
              </w:rPr>
              <w:t xml:space="preserve">GET /api/index/backtest</w:t>
            </w:r>
          </w:p>
        </w:tc>
        <w:tc>
          <w:tcPr>
            <w:tcW w:type="dxa" w:w="5720"/>
            <w:shd w:fill="F4F3EC" w:val="clear"/>
            <w:tcMar>
              <w:top w:type="dxa" w:w="100"/>
              <w:left w:type="dxa" w:w="120"/>
              <w:bottom w:type="dxa" w:w="100"/>
              <w:right w:type="dxa" w:w="120"/>
            </w:tcMar>
            <w:vAlign w:val="center"/>
          </w:tcPr>
          <w:p>
            <w:r>
              <w:rPr>
                <w:b w:val="false"/>
                <w:bCs w:val="false"/>
                <w:color w:val="52514E"/>
                <w:sz w:val="20"/>
                <w:szCs w:val="20"/>
              </w:rPr>
              <w:t xml:space="preserve">Honest N-day backtest report</w:t>
            </w:r>
          </w:p>
        </w:tc>
      </w:tr>
      <w:tr>
        <w:tc>
          <w:tcPr>
            <w:tcW w:type="dxa" w:w="3600"/>
            <w:tcMar>
              <w:top w:type="dxa" w:w="100"/>
              <w:left w:type="dxa" w:w="120"/>
              <w:bottom w:type="dxa" w:w="100"/>
              <w:right w:type="dxa" w:w="120"/>
            </w:tcMar>
            <w:vAlign w:val="center"/>
          </w:tcPr>
          <w:p>
            <w:r>
              <w:rPr>
                <w:b w:val="false"/>
                <w:bCs w:val="false"/>
                <w:color w:val="52514E"/>
                <w:sz w:val="20"/>
                <w:szCs w:val="20"/>
              </w:rPr>
              <w:t xml:space="preserve">GET /api/fares</w:t>
            </w:r>
          </w:p>
        </w:tc>
        <w:tc>
          <w:tcPr>
            <w:tcW w:type="dxa" w:w="5720"/>
            <w:tcMar>
              <w:top w:type="dxa" w:w="100"/>
              <w:left w:type="dxa" w:w="120"/>
              <w:bottom w:type="dxa" w:w="100"/>
              <w:right w:type="dxa" w:w="120"/>
            </w:tcMar>
            <w:vAlign w:val="center"/>
          </w:tcPr>
          <w:p>
            <w:r>
              <w:rPr>
                <w:b w:val="false"/>
                <w:bCs w:val="false"/>
                <w:color w:val="52514E"/>
                <w:sz w:val="20"/>
                <w:szCs w:val="20"/>
              </w:rPr>
              <w:t xml:space="preserve">Filtered, cleaned fare observations</w:t>
            </w:r>
          </w:p>
        </w:tc>
      </w:tr>
      <w:tr>
        <w:tc>
          <w:tcPr>
            <w:tcW w:type="dxa" w:w="3600"/>
            <w:shd w:fill="F4F3EC" w:val="clear"/>
            <w:tcMar>
              <w:top w:type="dxa" w:w="100"/>
              <w:left w:type="dxa" w:w="120"/>
              <w:bottom w:type="dxa" w:w="100"/>
              <w:right w:type="dxa" w:w="120"/>
            </w:tcMar>
            <w:vAlign w:val="center"/>
          </w:tcPr>
          <w:p>
            <w:r>
              <w:rPr>
                <w:b w:val="false"/>
                <w:bCs w:val="false"/>
                <w:color w:val="52514E"/>
                <w:sz w:val="20"/>
                <w:szCs w:val="20"/>
              </w:rPr>
              <w:t xml:space="preserve">GET /api/elasticity</w:t>
            </w:r>
          </w:p>
        </w:tc>
        <w:tc>
          <w:tcPr>
            <w:tcW w:type="dxa" w:w="5720"/>
            <w:shd w:fill="F4F3EC" w:val="clear"/>
            <w:tcMar>
              <w:top w:type="dxa" w:w="100"/>
              <w:left w:type="dxa" w:w="120"/>
              <w:bottom w:type="dxa" w:w="100"/>
              <w:right w:type="dxa" w:w="120"/>
            </w:tcMar>
            <w:vAlign w:val="center"/>
          </w:tcPr>
          <w:p>
            <w:r>
              <w:rPr>
                <w:b w:val="false"/>
                <w:bCs w:val="false"/>
                <w:color w:val="52514E"/>
                <w:sz w:val="20"/>
                <w:szCs w:val="20"/>
              </w:rPr>
              <w:t xml:space="preserve">Lead-time elasticity curve, basket-wide or per route</w:t>
            </w:r>
          </w:p>
        </w:tc>
      </w:tr>
      <w:tr>
        <w:tc>
          <w:tcPr>
            <w:tcW w:type="dxa" w:w="3600"/>
            <w:tcMar>
              <w:top w:type="dxa" w:w="100"/>
              <w:left w:type="dxa" w:w="120"/>
              <w:bottom w:type="dxa" w:w="100"/>
              <w:right w:type="dxa" w:w="120"/>
            </w:tcMar>
            <w:vAlign w:val="center"/>
          </w:tcPr>
          <w:p>
            <w:r>
              <w:rPr>
                <w:b w:val="false"/>
                <w:bCs w:val="false"/>
                <w:color w:val="52514E"/>
                <w:sz w:val="20"/>
                <w:szCs w:val="20"/>
              </w:rPr>
              <w:t xml:space="preserve">GET /api/heatmap</w:t>
            </w:r>
          </w:p>
        </w:tc>
        <w:tc>
          <w:tcPr>
            <w:tcW w:type="dxa" w:w="5720"/>
            <w:tcMar>
              <w:top w:type="dxa" w:w="100"/>
              <w:left w:type="dxa" w:w="120"/>
              <w:bottom w:type="dxa" w:w="100"/>
              <w:right w:type="dxa" w:w="120"/>
            </w:tcMar>
            <w:vAlign w:val="center"/>
          </w:tcPr>
          <w:p>
            <w:r>
              <w:rPr>
                <w:b w:val="false"/>
                <w:bCs w:val="false"/>
                <w:color w:val="52514E"/>
                <w:sz w:val="20"/>
                <w:szCs w:val="20"/>
              </w:rPr>
              <w:t xml:space="preserve">Mean/min fare per route × booking-window cell</w:t>
            </w:r>
          </w:p>
        </w:tc>
      </w:tr>
    </w:tbl>
    <w:p>
      <w:pPr>
        <w:pStyle w:val="Heading1"/>
        <w:spacing w:after="200" w:before="400"/>
      </w:pPr>
      <w:r>
        <w:t xml:space="preserve">10. Impact and Benefits</w:t>
      </w:r>
    </w:p>
    <w:p>
      <w:pPr>
        <w:pStyle w:val="Heading2"/>
        <w:spacing w:after="160" w:before="300"/>
      </w:pPr>
      <w:r>
        <w:t xml:space="preserve">10.1 For the Reserve Bank of India and MoSPI</w:t>
      </w:r>
    </w:p>
    <w:p>
      <w:pPr>
        <w:pStyle w:val="ListParagraph"/>
        <w:numPr>
          <w:ilvl w:val="0"/>
          <w:numId w:val="2"/>
        </w:numPr>
        <w:spacing w:after="100" w:line="290"/>
      </w:pPr>
      <w:r>
        <w:rPr>
          <w:color w:val="52514E"/>
          <w:sz w:val="22"/>
          <w:szCs w:val="22"/>
        </w:rPr>
        <w:t xml:space="preserve">A timely, granular signal on a fast-moving CPI sub-component that current manual collection structurally cannot see — directly supports more responsive monetary-policy analysis.</w:t>
      </w:r>
    </w:p>
    <w:p>
      <w:pPr>
        <w:pStyle w:val="ListParagraph"/>
        <w:numPr>
          <w:ilvl w:val="0"/>
          <w:numId w:val="2"/>
        </w:numPr>
        <w:spacing w:after="100" w:line="290"/>
      </w:pPr>
      <w:r>
        <w:rPr>
          <w:color w:val="52514E"/>
          <w:sz w:val="22"/>
          <w:szCs w:val="22"/>
        </w:rPr>
        <w:t xml:space="preserve">A statistically rigorous index (not a convenience average) that can sit alongside official CPI construction methodology without translation.</w:t>
      </w:r>
    </w:p>
    <w:p>
      <w:pPr>
        <w:pStyle w:val="ListParagraph"/>
        <w:numPr>
          <w:ilvl w:val="0"/>
          <w:numId w:val="2"/>
        </w:numPr>
        <w:spacing w:after="100" w:line="290"/>
      </w:pPr>
      <w:r>
        <w:rPr>
          <w:color w:val="52514E"/>
          <w:sz w:val="22"/>
          <w:szCs w:val="22"/>
        </w:rPr>
        <w:t xml:space="preserve">A fully auditable pipeline — every published number traces back to a specific scrape, a specific compliance decision, and a specific raw HTTP response.</w:t>
      </w:r>
    </w:p>
    <w:p>
      <w:pPr>
        <w:pStyle w:val="Heading2"/>
        <w:spacing w:after="160" w:before="300"/>
      </w:pPr>
      <w:r>
        <w:t xml:space="preserve">10.2 For DGCA's own mandate</w:t>
      </w:r>
    </w:p>
    <w:p>
      <w:pPr>
        <w:pStyle w:val="ListParagraph"/>
        <w:numPr>
          <w:ilvl w:val="0"/>
          <w:numId w:val="2"/>
        </w:numPr>
        <w:spacing w:after="100" w:line="290"/>
      </w:pPr>
      <w:r>
        <w:rPr>
          <w:color w:val="52514E"/>
          <w:sz w:val="22"/>
          <w:szCs w:val="22"/>
        </w:rPr>
        <w:t xml:space="preserve">Directly complements the DGCA Tariff Monitoring Unit's existing manual spot-checking work with continuous, systematic, provable coverage.</w:t>
      </w:r>
    </w:p>
    <w:p>
      <w:pPr>
        <w:pStyle w:val="Heading2"/>
        <w:spacing w:after="160" w:before="300"/>
      </w:pPr>
      <w:r>
        <w:t xml:space="preserve">10.3 For consumers and researchers</w:t>
      </w:r>
    </w:p>
    <w:p>
      <w:pPr>
        <w:pStyle w:val="ListParagraph"/>
        <w:numPr>
          <w:ilvl w:val="0"/>
          <w:numId w:val="2"/>
        </w:numPr>
        <w:spacing w:after="100" w:line="290"/>
      </w:pPr>
      <w:r>
        <w:rPr>
          <w:color w:val="52514E"/>
          <w:sz w:val="22"/>
          <w:szCs w:val="22"/>
        </w:rPr>
        <w:t xml:space="preserve">A transparent, public reference point for "is this a normal price for this route," something no single OTA has an incentive to provide honestly.</w:t>
      </w:r>
    </w:p>
    <w:p>
      <w:pPr>
        <w:pStyle w:val="ListParagraph"/>
        <w:numPr>
          <w:ilvl w:val="0"/>
          <w:numId w:val="2"/>
        </w:numPr>
        <w:spacing w:after="100" w:line="290"/>
      </w:pPr>
      <w:r>
        <w:rPr>
          <w:color w:val="52514E"/>
          <w:sz w:val="22"/>
          <w:szCs w:val="22"/>
        </w:rPr>
        <w:t xml:space="preserve">An open, documented API that researchers and journalists can build on without needing to run their own scrapers.</w:t>
      </w:r>
    </w:p>
    <w:p>
      <w:pPr>
        <w:pStyle w:val="Heading2"/>
        <w:spacing w:after="160" w:before="300"/>
      </w:pPr>
      <w:r>
        <w:t xml:space="preserve">10.4 For a future production deployment</w:t>
      </w:r>
    </w:p>
    <w:p>
      <w:pPr>
        <w:pStyle w:val="ListParagraph"/>
        <w:numPr>
          <w:ilvl w:val="0"/>
          <w:numId w:val="2"/>
        </w:numPr>
        <w:spacing w:after="100" w:line="290"/>
      </w:pPr>
      <w:r>
        <w:rPr>
          <w:color w:val="52514E"/>
          <w:sz w:val="22"/>
          <w:szCs w:val="22"/>
        </w:rPr>
        <w:t xml:space="preserve">The clearest next step for full source coverage is exactly what DGCA's TMU implies for the 9 gated sources — a data-sharing or NDC API agreement — not overriding anyone's robots.txt.</w:t>
      </w:r>
    </w:p>
    <w:p>
      <w:pPr>
        <w:pStyle w:val="ListParagraph"/>
        <w:numPr>
          <w:ilvl w:val="0"/>
          <w:numId w:val="2"/>
        </w:numPr>
        <w:spacing w:after="100" w:line="290"/>
      </w:pPr>
      <w:r>
        <w:rPr>
          <w:color w:val="52514E"/>
          <w:sz w:val="22"/>
          <w:szCs w:val="22"/>
        </w:rPr>
        <w:t xml:space="preserve">Swapping SQLite for Postgres requires no ORM changes.</w:t>
      </w:r>
    </w:p>
    <w:p>
      <w:pPr>
        <w:pStyle w:val="ListParagraph"/>
        <w:numPr>
          <w:ilvl w:val="0"/>
          <w:numId w:val="2"/>
        </w:numPr>
        <w:spacing w:after="100" w:line="290"/>
      </w:pPr>
      <w:r>
        <w:rPr>
          <w:color w:val="52514E"/>
          <w:sz w:val="22"/>
          <w:szCs w:val="22"/>
        </w:rPr>
        <w:t xml:space="preserve">A pluggable proxy-pool interface exists in the rate limiter, intentionally unused in this prototype since no paid proxy service was needed while operating within each site's own stated limits.</w:t>
      </w:r>
    </w:p>
    <w:p>
      <w:r>
        <w:br w:type="page"/>
      </w:r>
    </w:p>
    <w:p>
      <w:pPr>
        <w:pStyle w:val="Heading1"/>
        <w:spacing w:after="200" w:before="400"/>
      </w:pPr>
      <w:r>
        <w:t xml:space="preserve">11. Requirement-by-Requirement Checklist</w:t>
      </w:r>
    </w:p>
    <w:p>
      <w:pPr>
        <w:spacing w:after="180" w:line="300"/>
      </w:pPr>
      <w:r>
        <w:rPr>
          <w:color w:val="52514E"/>
          <w:sz w:val="22"/>
          <w:szCs w:val="22"/>
        </w:rPr>
        <w:t xml:space="preserve">Mapped directly against the original problem statement's own language:</w:t>
      </w:r>
    </w:p>
    <w:tbl>
      <w:tblPr>
        <w:tblW w:type="dxa" w:w="10080"/>
        <w:tblBorders>
          <w:top w:val="single" w:color="E1E0D9" w:sz="4"/>
          <w:left w:val="single" w:color="E1E0D9" w:sz="4"/>
          <w:bottom w:val="single" w:color="E1E0D9" w:sz="4"/>
          <w:right w:val="single" w:color="E1E0D9" w:sz="4"/>
          <w:insideH w:val="single" w:color="E1E0D9" w:sz="4"/>
          <w:insideV w:val="single" w:color="E1E0D9" w:sz="4"/>
        </w:tblBorders>
      </w:tblPr>
      <w:tblGrid>
        <w:gridCol w:w="4200"/>
        <w:gridCol w:w="5120"/>
      </w:tblGrid>
      <w:tr>
        <w:trPr>
          <w:tblHeader/>
        </w:trPr>
        <w:tc>
          <w:tcPr>
            <w:tcW w:type="dxa" w:w="4200"/>
            <w:shd w:fill="2A78D6" w:val="clear"/>
            <w:tcMar>
              <w:top w:type="dxa" w:w="100"/>
              <w:left w:type="dxa" w:w="120"/>
              <w:bottom w:type="dxa" w:w="100"/>
              <w:right w:type="dxa" w:w="120"/>
            </w:tcMar>
            <w:vAlign w:val="center"/>
          </w:tcPr>
          <w:p>
            <w:r>
              <w:rPr>
                <w:b/>
                <w:bCs/>
                <w:color w:val="FFFFFF"/>
                <w:sz w:val="20"/>
                <w:szCs w:val="20"/>
              </w:rPr>
              <w:t xml:space="preserve">Problem statement ask</w:t>
            </w:r>
          </w:p>
        </w:tc>
        <w:tc>
          <w:tcPr>
            <w:tcW w:type="dxa" w:w="5120"/>
            <w:shd w:fill="2A78D6" w:val="clear"/>
            <w:tcMar>
              <w:top w:type="dxa" w:w="100"/>
              <w:left w:type="dxa" w:w="120"/>
              <w:bottom w:type="dxa" w:w="100"/>
              <w:right w:type="dxa" w:w="120"/>
            </w:tcMar>
            <w:vAlign w:val="center"/>
          </w:tcPr>
          <w:p>
            <w:r>
              <w:rPr>
                <w:b/>
                <w:bCs/>
                <w:color w:val="FFFFFF"/>
                <w:sz w:val="20"/>
                <w:szCs w:val="20"/>
              </w:rPr>
              <w:t xml:space="preserve">Delivered</w:t>
            </w:r>
          </w:p>
        </w:tc>
      </w:tr>
      <w:tr>
        <w:tc>
          <w:tcPr>
            <w:tcW w:type="dxa" w:w="4200"/>
            <w:tcMar>
              <w:top w:type="dxa" w:w="100"/>
              <w:left w:type="dxa" w:w="120"/>
              <w:bottom w:type="dxa" w:w="100"/>
              <w:right w:type="dxa" w:w="120"/>
            </w:tcMar>
            <w:vAlign w:val="center"/>
          </w:tcPr>
          <w:p>
            <w:r>
              <w:rPr>
                <w:b w:val="false"/>
                <w:bCs w:val="false"/>
                <w:color w:val="52514E"/>
                <w:sz w:val="20"/>
                <w:szCs w:val="20"/>
              </w:rPr>
              <w:t xml:space="preserve">(a) Ethical, rate-limited, multi-source scraping engine, JS-rendered pages, CAPTCHA/anti-bot handling, robots.txt/ToS compliance</w:t>
            </w:r>
          </w:p>
        </w:tc>
        <w:tc>
          <w:tcPr>
            <w:tcW w:type="dxa" w:w="5120"/>
            <w:tcMar>
              <w:top w:type="dxa" w:w="100"/>
              <w:left w:type="dxa" w:w="120"/>
              <w:bottom w:type="dxa" w:w="100"/>
              <w:right w:type="dxa" w:w="120"/>
            </w:tcMar>
            <w:vAlign w:val="center"/>
          </w:tcPr>
          <w:p>
            <w:r>
              <w:rPr>
                <w:b w:val="false"/>
                <w:bCs w:val="false"/>
                <w:color w:val="52514E"/>
                <w:sz w:val="20"/>
                <w:szCs w:val="20"/>
              </w:rPr>
              <w:t xml:space="preserve">Yes — backend/app/scraper/ (compliance.py, ratelimit.py, sources/); live audit of all 11 named sources; Playwright-driven, real browser rendering</w:t>
            </w:r>
          </w:p>
        </w:tc>
      </w:tr>
      <w:tr>
        <w:tc>
          <w:tcPr>
            <w:tcW w:type="dxa" w:w="4200"/>
            <w:shd w:fill="F4F3EC" w:val="clear"/>
            <w:tcMar>
              <w:top w:type="dxa" w:w="100"/>
              <w:left w:type="dxa" w:w="120"/>
              <w:bottom w:type="dxa" w:w="100"/>
              <w:right w:type="dxa" w:w="120"/>
            </w:tcMar>
            <w:vAlign w:val="center"/>
          </w:tcPr>
          <w:p>
            <w:r>
              <w:rPr>
                <w:b w:val="false"/>
                <w:bCs w:val="false"/>
                <w:color w:val="52514E"/>
                <w:sz w:val="20"/>
                <w:szCs w:val="20"/>
              </w:rPr>
              <w:t xml:space="preserve">(b) Cleaned, de-duplicated fare database with full metadata</w:t>
            </w:r>
          </w:p>
        </w:tc>
        <w:tc>
          <w:tcPr>
            <w:tcW w:type="dxa" w:w="5120"/>
            <w:shd w:fill="F4F3EC" w:val="clear"/>
            <w:tcMar>
              <w:top w:type="dxa" w:w="100"/>
              <w:left w:type="dxa" w:w="120"/>
              <w:bottom w:type="dxa" w:w="100"/>
              <w:right w:type="dxa" w:w="120"/>
            </w:tcMar>
            <w:vAlign w:val="center"/>
          </w:tcPr>
          <w:p>
            <w:r>
              <w:rPr>
                <w:b w:val="false"/>
                <w:bCs w:val="false"/>
                <w:color w:val="52514E"/>
                <w:sz w:val="20"/>
                <w:szCs w:val="20"/>
              </w:rPr>
              <w:t xml:space="preserve">Yes — backend/app/pipeline/, backend/app/db/models.py; outlier flagging, sold-out handling, fare decomposition</w:t>
            </w:r>
          </w:p>
        </w:tc>
      </w:tr>
      <w:tr>
        <w:tc>
          <w:tcPr>
            <w:tcW w:type="dxa" w:w="4200"/>
            <w:tcMar>
              <w:top w:type="dxa" w:w="100"/>
              <w:left w:type="dxa" w:w="120"/>
              <w:bottom w:type="dxa" w:w="100"/>
              <w:right w:type="dxa" w:w="120"/>
            </w:tcMar>
            <w:vAlign w:val="center"/>
          </w:tcPr>
          <w:p>
            <w:r>
              <w:rPr>
                <w:b w:val="false"/>
                <w:bCs w:val="false"/>
                <w:color w:val="52514E"/>
                <w:sz w:val="20"/>
                <w:szCs w:val="20"/>
              </w:rPr>
              <w:t xml:space="preserve">(c) Index-construction module, routes/weights from DGCA data</w:t>
            </w:r>
          </w:p>
        </w:tc>
        <w:tc>
          <w:tcPr>
            <w:tcW w:type="dxa" w:w="5120"/>
            <w:tcMar>
              <w:top w:type="dxa" w:w="100"/>
              <w:left w:type="dxa" w:w="120"/>
              <w:bottom w:type="dxa" w:w="100"/>
              <w:right w:type="dxa" w:w="120"/>
            </w:tcMar>
            <w:vAlign w:val="center"/>
          </w:tcPr>
          <w:p>
            <w:r>
              <w:rPr>
                <w:b w:val="false"/>
                <w:bCs w:val="false"/>
                <w:color w:val="52514E"/>
                <w:sz w:val="20"/>
                <w:szCs w:val="20"/>
              </w:rPr>
              <w:t xml:space="preserve">Yes — backend/app/index/; 20-route basket is the literal output of ranking real DGCA traffic</w:t>
            </w:r>
          </w:p>
        </w:tc>
      </w:tr>
      <w:tr>
        <w:tc>
          <w:tcPr>
            <w:tcW w:type="dxa" w:w="4200"/>
            <w:shd w:fill="F4F3EC" w:val="clear"/>
            <w:tcMar>
              <w:top w:type="dxa" w:w="100"/>
              <w:left w:type="dxa" w:w="120"/>
              <w:bottom w:type="dxa" w:w="100"/>
              <w:right w:type="dxa" w:w="120"/>
            </w:tcMar>
            <w:vAlign w:val="center"/>
          </w:tcPr>
          <w:p>
            <w:r>
              <w:rPr>
                <w:b w:val="false"/>
                <w:bCs w:val="false"/>
                <w:color w:val="52514E"/>
                <w:sz w:val="20"/>
                <w:szCs w:val="20"/>
              </w:rPr>
              <w:t xml:space="preserve">(d) Interactive dashboard and API for NSO/RBI</w:t>
            </w:r>
          </w:p>
        </w:tc>
        <w:tc>
          <w:tcPr>
            <w:tcW w:type="dxa" w:w="5120"/>
            <w:shd w:fill="F4F3EC" w:val="clear"/>
            <w:tcMar>
              <w:top w:type="dxa" w:w="100"/>
              <w:left w:type="dxa" w:w="120"/>
              <w:bottom w:type="dxa" w:w="100"/>
              <w:right w:type="dxa" w:w="120"/>
            </w:tcMar>
            <w:vAlign w:val="center"/>
          </w:tcPr>
          <w:p>
            <w:r>
              <w:rPr>
                <w:b w:val="false"/>
                <w:bCs w:val="false"/>
                <w:color w:val="52514E"/>
                <w:sz w:val="20"/>
                <w:szCs w:val="20"/>
              </w:rPr>
              <w:t xml:space="preserve">Yes — React dashboard (frontend/) + documented FastAPI (backend/app/routers/)</w:t>
            </w:r>
          </w:p>
        </w:tc>
      </w:tr>
      <w:tr>
        <w:tc>
          <w:tcPr>
            <w:tcW w:type="dxa" w:w="4200"/>
            <w:tcMar>
              <w:top w:type="dxa" w:w="100"/>
              <w:left w:type="dxa" w:w="120"/>
              <w:bottom w:type="dxa" w:w="100"/>
              <w:right w:type="dxa" w:w="120"/>
            </w:tcMar>
            <w:vAlign w:val="center"/>
          </w:tcPr>
          <w:p>
            <w:r>
              <w:rPr>
                <w:b w:val="false"/>
                <w:bCs w:val="false"/>
                <w:color w:val="52514E"/>
                <w:sz w:val="20"/>
                <w:szCs w:val="20"/>
              </w:rPr>
              <w:t xml:space="preserve">Documentation</w:t>
            </w:r>
          </w:p>
        </w:tc>
        <w:tc>
          <w:tcPr>
            <w:tcW w:type="dxa" w:w="5120"/>
            <w:tcMar>
              <w:top w:type="dxa" w:w="100"/>
              <w:left w:type="dxa" w:w="120"/>
              <w:bottom w:type="dxa" w:w="100"/>
              <w:right w:type="dxa" w:w="120"/>
            </w:tcMar>
            <w:vAlign w:val="center"/>
          </w:tcPr>
          <w:p>
            <w:r>
              <w:rPr>
                <w:b w:val="false"/>
                <w:bCs w:val="false"/>
                <w:color w:val="52514E"/>
                <w:sz w:val="20"/>
                <w:szCs w:val="20"/>
              </w:rPr>
              <w:t xml:space="preserve">Yes — docs/architecture.md, methodology.md, ethics_compliance.md, api.md, plus this document</w:t>
            </w:r>
          </w:p>
        </w:tc>
      </w:tr>
      <w:tr>
        <w:tc>
          <w:tcPr>
            <w:tcW w:type="dxa" w:w="4200"/>
            <w:shd w:fill="F4F3EC" w:val="clear"/>
            <w:tcMar>
              <w:top w:type="dxa" w:w="100"/>
              <w:left w:type="dxa" w:w="120"/>
              <w:bottom w:type="dxa" w:w="100"/>
              <w:right w:type="dxa" w:w="120"/>
            </w:tcMar>
            <w:vAlign w:val="center"/>
          </w:tcPr>
          <w:p>
            <w:r>
              <w:rPr>
                <w:b w:val="false"/>
                <w:bCs w:val="false"/>
                <w:color w:val="52514E"/>
                <w:sz w:val="20"/>
                <w:szCs w:val="20"/>
              </w:rPr>
              <w:t xml:space="preserve">Automated testing</w:t>
            </w:r>
          </w:p>
        </w:tc>
        <w:tc>
          <w:tcPr>
            <w:tcW w:type="dxa" w:w="5120"/>
            <w:shd w:fill="F4F3EC" w:val="clear"/>
            <w:tcMar>
              <w:top w:type="dxa" w:w="100"/>
              <w:left w:type="dxa" w:w="120"/>
              <w:bottom w:type="dxa" w:w="100"/>
              <w:right w:type="dxa" w:w="120"/>
            </w:tcMar>
            <w:vAlign w:val="center"/>
          </w:tcPr>
          <w:p>
            <w:r>
              <w:rPr>
                <w:b w:val="false"/>
                <w:bCs w:val="false"/>
                <w:color w:val="52514E"/>
                <w:sz w:val="20"/>
                <w:szCs w:val="20"/>
              </w:rPr>
              <w:t xml:space="preserve">Yes — 39 automated tests, backend/tests/, all passing</w:t>
            </w:r>
          </w:p>
        </w:tc>
      </w:tr>
      <w:tr>
        <w:tc>
          <w:tcPr>
            <w:tcW w:type="dxa" w:w="4200"/>
            <w:tcMar>
              <w:top w:type="dxa" w:w="100"/>
              <w:left w:type="dxa" w:w="120"/>
              <w:bottom w:type="dxa" w:w="100"/>
              <w:right w:type="dxa" w:w="120"/>
            </w:tcMar>
            <w:vAlign w:val="center"/>
          </w:tcPr>
          <w:p>
            <w:r>
              <w:rPr>
                <w:b w:val="false"/>
                <w:bCs w:val="false"/>
                <w:color w:val="52514E"/>
                <w:sz w:val="20"/>
                <w:szCs w:val="20"/>
              </w:rPr>
              <w:t xml:space="preserve">30-day backtest vs. DGCA data</w:t>
            </w:r>
          </w:p>
        </w:tc>
        <w:tc>
          <w:tcPr>
            <w:tcW w:type="dxa" w:w="5120"/>
            <w:tcMar>
              <w:top w:type="dxa" w:w="100"/>
              <w:left w:type="dxa" w:w="120"/>
              <w:bottom w:type="dxa" w:w="100"/>
              <w:right w:type="dxa" w:w="120"/>
            </w:tcMar>
            <w:vAlign w:val="center"/>
          </w:tcPr>
          <w:p>
            <w:r>
              <w:rPr>
                <w:b w:val="false"/>
                <w:bCs w:val="false"/>
                <w:color w:val="52514E"/>
                <w:sz w:val="20"/>
                <w:szCs w:val="20"/>
              </w:rPr>
              <w:t xml:space="preserve">Honest partial: DGCA publishes no fare time series to diff against (verified); the backtest module reports its real, growing sample size rather than fabricating 30 days — see Section 5.3 and the Roadmap in Section 12</w:t>
            </w:r>
          </w:p>
        </w:tc>
      </w:tr>
    </w:tbl>
    <w:p>
      <w:pPr>
        <w:pStyle w:val="Heading1"/>
        <w:spacing w:after="200" w:before="400"/>
      </w:pPr>
      <w:r>
        <w:t xml:space="preserve">12. Current Limitations and Roadmap</w:t>
      </w:r>
    </w:p>
    <w:p>
      <w:pPr>
        <w:spacing w:after="180" w:line="300"/>
      </w:pPr>
      <w:r>
        <w:rPr>
          <w:color w:val="52514E"/>
          <w:sz w:val="22"/>
          <w:szCs w:val="22"/>
        </w:rPr>
        <w:t xml:space="preserve">Presented plainly, because a system that's honest about its limits is more credible than one that hides them.</w:t>
      </w:r>
    </w:p>
    <w:p>
      <w:pPr>
        <w:pStyle w:val="Heading2"/>
        <w:spacing w:after="160" w:before="300"/>
      </w:pPr>
      <w:r>
        <w:t xml:space="preserve">Today</w:t>
      </w:r>
    </w:p>
    <w:p>
      <w:pPr>
        <w:pStyle w:val="ListParagraph"/>
        <w:numPr>
          <w:ilvl w:val="0"/>
          <w:numId w:val="2"/>
        </w:numPr>
        <w:spacing w:after="100" w:line="290"/>
      </w:pPr>
      <w:r>
        <w:rPr>
          <w:color w:val="52514E"/>
          <w:sz w:val="22"/>
          <w:szCs w:val="22"/>
        </w:rPr>
        <w:t xml:space="preserve">2 of 11 named sources are live (SpiceJet, Akasa Air); the rest are built and tested, held behind the compliance gate.</w:t>
      </w:r>
    </w:p>
    <w:p>
      <w:pPr>
        <w:pStyle w:val="ListParagraph"/>
        <w:numPr>
          <w:ilvl w:val="0"/>
          <w:numId w:val="2"/>
        </w:numPr>
        <w:spacing w:after="100" w:line="290"/>
      </w:pPr>
      <w:r>
        <w:rPr>
          <w:color w:val="52514E"/>
          <w:sz w:val="22"/>
          <w:szCs w:val="22"/>
        </w:rPr>
        <w:t xml:space="preserve">Real history currently spans a small number of days — the daily scheduled job is registered and running, growing this every day.</w:t>
      </w:r>
    </w:p>
    <w:p>
      <w:pPr>
        <w:pStyle w:val="ListParagraph"/>
        <w:numPr>
          <w:ilvl w:val="0"/>
          <w:numId w:val="2"/>
        </w:numPr>
        <w:spacing w:after="100" w:line="290"/>
      </w:pPr>
      <w:r>
        <w:rPr>
          <w:color w:val="52514E"/>
          <w:sz w:val="22"/>
          <w:szCs w:val="22"/>
        </w:rPr>
        <w:t xml:space="preserve">Fare decomposition (base vs. taxes) is implemented but inactive, because no currently-live source exposes that breakdown.</w:t>
      </w:r>
    </w:p>
    <w:p>
      <w:pPr>
        <w:pStyle w:val="Heading2"/>
        <w:spacing w:after="160" w:before="300"/>
      </w:pPr>
      <w:r>
        <w:t xml:space="preserve">Next steps</w:t>
      </w:r>
    </w:p>
    <w:p>
      <w:pPr>
        <w:pStyle w:val="ListParagraph"/>
        <w:numPr>
          <w:ilvl w:val="0"/>
          <w:numId w:val="2"/>
        </w:numPr>
        <w:spacing w:after="100" w:line="290"/>
      </w:pPr>
      <w:r>
        <w:rPr>
          <w:color w:val="52514E"/>
          <w:sz w:val="22"/>
          <w:szCs w:val="22"/>
        </w:rPr>
        <w:t xml:space="preserve">Pursue data-sharing / NDC API partnerships with the 9 currently-gated sources.</w:t>
      </w:r>
    </w:p>
    <w:p>
      <w:pPr>
        <w:pStyle w:val="ListParagraph"/>
        <w:numPr>
          <w:ilvl w:val="0"/>
          <w:numId w:val="2"/>
        </w:numPr>
        <w:spacing w:after="100" w:line="290"/>
      </w:pPr>
      <w:r>
        <w:rPr>
          <w:color w:val="52514E"/>
          <w:sz w:val="22"/>
          <w:szCs w:val="22"/>
        </w:rPr>
        <w:t xml:space="preserve">Let the scheduled daily job accumulate the full 30-day backtest window.</w:t>
      </w:r>
    </w:p>
    <w:p>
      <w:pPr>
        <w:pStyle w:val="ListParagraph"/>
        <w:numPr>
          <w:ilvl w:val="0"/>
          <w:numId w:val="2"/>
        </w:numPr>
        <w:spacing w:after="100" w:line="290"/>
      </w:pPr>
      <w:r>
        <w:rPr>
          <w:color w:val="52514E"/>
          <w:sz w:val="22"/>
          <w:szCs w:val="22"/>
        </w:rPr>
        <w:t xml:space="preserve">Migrate SQLite to Postgres if deployed beyond prototype scale.</w:t>
      </w:r>
    </w:p>
    <w:p>
      <w:pPr>
        <w:pStyle w:val="ListParagraph"/>
        <w:numPr>
          <w:ilvl w:val="0"/>
          <w:numId w:val="2"/>
        </w:numPr>
        <w:spacing w:after="100" w:line="290"/>
      </w:pPr>
      <w:r>
        <w:rPr>
          <w:color w:val="52514E"/>
          <w:sz w:val="22"/>
          <w:szCs w:val="22"/>
        </w:rPr>
        <w:t xml:space="preserve">Expand the route basket beyond 20 as more sources come online, still ranked by real DGCA traffic.</w:t>
      </w:r>
    </w:p>
    <w:p>
      <w:pPr>
        <w:pStyle w:val="Heading1"/>
        <w:spacing w:after="200" w:before="400"/>
      </w:pPr>
      <w:r>
        <w:t xml:space="preserve">13. Conclusion</w:t>
      </w:r>
    </w:p>
    <w:p>
      <w:pPr>
        <w:spacing w:after="180" w:line="300"/>
      </w:pPr>
      <w:r>
        <w:rPr>
          <w:color w:val="52514E"/>
          <w:sz w:val="22"/>
          <w:szCs w:val="22"/>
        </w:rPr>
        <w:t xml:space="preserve">APIx answers the SIH problem statement the way it was actually written: a real, ethical, rate-limited scraper; a real cleaned database; a real index built on real government weighting data; and a real, working, documented, tested dashboard and API — not a set of promises about what could be built.</w:t>
      </w:r>
    </w:p>
    <w:p>
      <w:pPr>
        <w:spacing w:after="180" w:line="300"/>
      </w:pPr>
      <w:r>
        <w:rPr>
          <w:color w:val="52514E"/>
          <w:sz w:val="22"/>
          <w:szCs w:val="22"/>
        </w:rPr>
        <w:t xml:space="preserve">Its differentiator is not a single flashy feature. It is the discipline running through every layer: a compliance gate that proves its own compliance instead of asserting it, a route basket derived from data instead of intuition, an index that mirrors real CPI construction instead of a convenience average, and a backtest that tells the truth about how much real history exists instead of padding it. That discipline is exactly what would let a system like this graduate from a hackathon prototype into something MoSPI, RBI, or DGCA could actually trust.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2514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A78D6"/>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0B0B0B"/>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5251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0f637b425f3a9b43516e532db805b545307f53.png"/><Relationship Id="rId8" Type="http://schemas.openxmlformats.org/officeDocument/2006/relationships/image" Target="media/b7f06890ba1e04a67cb21aa1321dc6a46571ff6f.png"/><Relationship Id="rId9" Type="http://schemas.openxmlformats.org/officeDocument/2006/relationships/image" Target="media/723a93f84331201e2dcbfa3be6355f883cd6f64b.png"/><Relationship Id="rId10" Type="http://schemas.openxmlformats.org/officeDocument/2006/relationships/image" Target="media/3304e39e8eca9f2147fdfe7112f0c938250988ff.png"/><Relationship Id="rId11" Type="http://schemas.openxmlformats.org/officeDocument/2006/relationships/image" Target="media/a1de5d97ba072bbb7198c6a27bbbaa6fbe5bdd3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2026-09-07T04:40:03.621Z</dcterms:created>
  <dcterms:modified xsi:type="dcterms:W3CDTF">2026-09-07T04:40:03.621Z</dcterms:modified>
</cp:coreProperties>
</file>

<file path=docProps/custom.xml><?xml version="1.0" encoding="utf-8"?>
<Properties xmlns="http://schemas.openxmlformats.org/officeDocument/2006/custom-properties" xmlns:vt="http://schemas.openxmlformats.org/officeDocument/2006/docPropsVTypes"/>
</file>