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X31d5ad7701718b5e6b3804c147395cafdc1d0a1"/>
    <w:p>
      <w:pPr>
        <w:pStyle w:val="Heading1"/>
      </w:pPr>
      <w:r>
        <w:t xml:space="preserve">Twenty Secondary Sources for the Practice-Based Task</w:t>
      </w:r>
    </w:p>
    <w:p>
      <w:pPr>
        <w:pStyle w:val="FirstParagraph"/>
      </w:pPr>
      <w:r>
        <w:rPr>
          <w:bCs/>
          <w:b/>
        </w:rPr>
        <w:t xml:space="preserve">LAWS2400 Torts —</w:t>
      </w:r>
      <w:r>
        <w:rPr>
          <w:bCs/>
          <w:b/>
        </w:rPr>
        <w:t xml:space="preserve"> </w:t>
      </w:r>
      <w:r>
        <w:rPr>
          <w:iCs/>
          <w:i/>
          <w:bCs/>
          <w:b/>
        </w:rPr>
        <w:t xml:space="preserve">Abdel-Hady v Commonwealth</w:t>
      </w:r>
      <w:r>
        <w:rPr>
          <w:bCs/>
          <w:b/>
        </w:rPr>
        <w:t xml:space="preserve"> </w:t>
      </w:r>
      <w:r>
        <w:rPr>
          <w:bCs/>
          <w:b/>
        </w:rPr>
        <w:t xml:space="preserve">(2026) 100 ALJR 742</w:t>
      </w:r>
    </w:p>
    <w:p>
      <w:pPr>
        <w:pStyle w:val="BodyText"/>
      </w:pPr>
      <w:r>
        <w:t xml:space="preserve">Prepared 10 September 2026. Every citation, pinpoint and access note in this document carries a confidence marker.</w:t>
      </w:r>
      <w:r>
        <w:t xml:space="preserve"> </w:t>
      </w:r>
      <w:r>
        <w:rPr>
          <w:bCs/>
          <w:b/>
        </w:rPr>
        <w:t xml:space="preserve">Nothing here should be footnoted until you have opened the source yourself and confirmed the page.</w:t>
      </w:r>
      <w:r>
        <w:t xml:space="preserve"> </w:t>
      </w:r>
      <w:r>
        <w:t xml:space="preserve">Where I could not read a full text, I say so and mark the pinpoint</w:t>
      </w:r>
      <w:r>
        <w:t xml:space="preserve"> </w:t>
      </w:r>
      <w:r>
        <w:rPr>
          <w:rStyle w:val="VerbatimChar"/>
        </w:rPr>
        <w:t xml:space="preserve">[p ? — confirm]</w:t>
      </w:r>
      <w:r>
        <w:t xml:space="preserve">.</w:t>
      </w:r>
    </w:p>
    <w:p>
      <w:r>
        <w:pict>
          <v:rect style="width:0;height:1.5pt" o:hralign="center" o:hrstd="t" o:hr="t"/>
        </w:pict>
      </w:r>
    </w:p>
    <w:bookmarkStart w:id="20" w:name="how-this-list-was-built"/>
    <w:p>
      <w:pPr>
        <w:pStyle w:val="Heading2"/>
      </w:pPr>
      <w:r>
        <w:t xml:space="preserve">1. How this list was built</w:t>
      </w:r>
    </w:p>
    <w:p>
      <w:pPr>
        <w:pStyle w:val="FirstParagraph"/>
      </w:pPr>
      <w:r>
        <w:t xml:space="preserve">The search ran across six sub-domains in parallel: (i) tort-as-rights-vindication theory; (ii) false imprisonment doctrine and damages; (iii) immigration detention and Chapter III; (iv) government and official liability, the rule of law and retroactivity; (v) Australia’s lack of a bill of rights and what the State charters withhold; (vi) UK, Irish, Canadian, New Zealand and US comparative material. Roughly</w:t>
      </w:r>
      <w:r>
        <w:t xml:space="preserve"> </w:t>
      </w:r>
      <w:r>
        <w:rPr>
          <w:bCs/>
          <w:b/>
        </w:rPr>
        <w:t xml:space="preserve">650 candidate entries</w:t>
      </w:r>
      <w:r>
        <w:t xml:space="preserve"> </w:t>
      </w:r>
      <w:r>
        <w:t xml:space="preserve">were harvested (about 500 unique works after de-duplication across domains) from journal tables of contents, AustLII journal indexes, SSRN author pages, publisher catalogues, and — most productively — from the footnotes of the</w:t>
      </w:r>
      <w:r>
        <w:t xml:space="preserve"> </w:t>
      </w:r>
      <w:r>
        <w:rPr>
          <w:iCs/>
          <w:i/>
        </w:rPr>
        <w:t xml:space="preserve">Abdel-Hady</w:t>
      </w:r>
      <w:r>
        <w:t xml:space="preserve"> </w:t>
      </w:r>
      <w:r>
        <w:t xml:space="preserve">judgment itself and of the four or five most on-point recent articles.</w:t>
      </w:r>
    </w:p>
    <w:p>
      <w:pPr>
        <w:pStyle w:val="BodyText"/>
      </w:pPr>
      <w:r>
        <w:t xml:space="preserve">Elimination then ran in six passes:</w:t>
      </w:r>
    </w:p>
    <w:p>
      <w:pPr>
        <w:numPr>
          <w:ilvl w:val="0"/>
          <w:numId w:val="1001"/>
        </w:numPr>
        <w:pStyle w:val="Compact"/>
      </w:pPr>
      <w:r>
        <w:rPr>
          <w:bCs/>
          <w:b/>
        </w:rPr>
        <w:t xml:space="preserve">Scholarly only.</w:t>
      </w:r>
      <w:r>
        <w:t xml:space="preserve"> </w:t>
      </w:r>
      <w:r>
        <w:t xml:space="preserve">Blogs, law-firm notes, media, NGO explainers, government reports and student journals were cut, however on-point. That removed the single most useful piece of</w:t>
      </w:r>
      <w:r>
        <w:t xml:space="preserve"> </w:t>
      </w:r>
      <w:r>
        <w:rPr>
          <w:iCs/>
          <w:i/>
        </w:rPr>
        <w:t xml:space="preserve">Abdel-Hady</w:t>
      </w:r>
      <w:r>
        <w:t xml:space="preserve"> </w:t>
      </w:r>
      <w:r>
        <w:t xml:space="preserve">commentary in existence (Ellen Rock’s AUSPUBLAW post of 19 June 2026) — read it for orientation, but it cannot be one of your four. There is, as at 10 September 2026,</w:t>
      </w:r>
      <w:r>
        <w:t xml:space="preserve"> </w:t>
      </w:r>
      <w:r>
        <w:rPr>
          <w:bCs/>
          <w:b/>
        </w:rPr>
        <w:t xml:space="preserve">no peer-reviewed case note on</w:t>
      </w:r>
      <w:r>
        <w:rPr>
          <w:bCs/>
          <w:b/>
        </w:rPr>
        <w:t xml:space="preserve"> </w:t>
      </w:r>
      <w:r>
        <w:rPr>
          <w:iCs/>
          <w:i/>
          <w:bCs/>
          <w:b/>
        </w:rPr>
        <w:t xml:space="preserve">Abdel-Hady</w:t>
      </w:r>
      <w:r>
        <w:t xml:space="preserve"> </w:t>
      </w:r>
      <w:r>
        <w:t xml:space="preserve">in any Australian journal index I could reach; expect the first in late 2026 or 2027.</w:t>
      </w:r>
    </w:p>
    <w:p>
      <w:pPr>
        <w:numPr>
          <w:ilvl w:val="0"/>
          <w:numId w:val="1001"/>
        </w:numPr>
        <w:pStyle w:val="Compact"/>
      </w:pPr>
      <w:r>
        <w:rPr>
          <w:bCs/>
          <w:b/>
        </w:rPr>
        <w:t xml:space="preserve">Directly usable for this prompt.</w:t>
      </w:r>
      <w:r>
        <w:t xml:space="preserve"> </w:t>
      </w:r>
      <w:r>
        <w:t xml:space="preserve">Cut anything that could not be turned into a sentence about the</w:t>
      </w:r>
      <w:r>
        <w:t xml:space="preserve"> </w:t>
      </w:r>
      <w:r>
        <w:rPr>
          <w:iCs/>
          <w:i/>
        </w:rPr>
        <w:t xml:space="preserve">effectiveness of tort law in protecting fundamental rights</w:t>
      </w:r>
      <w:r>
        <w:t xml:space="preserve">. Pure Chapter III doctrine, pure refugee policy, and pure private-law theory with no payoff for liberty were dropped.</w:t>
      </w:r>
    </w:p>
    <w:p>
      <w:pPr>
        <w:numPr>
          <w:ilvl w:val="0"/>
          <w:numId w:val="1001"/>
        </w:numPr>
        <w:pStyle w:val="Compact"/>
      </w:pPr>
      <w:r>
        <w:rPr>
          <w:bCs/>
          <w:b/>
        </w:rPr>
        <w:t xml:space="preserve">Obtainable.</w:t>
      </w:r>
      <w:r>
        <w:t xml:space="preserve"> </w:t>
      </w:r>
      <w:r>
        <w:t xml:space="preserve">Cut items I could only locate on Informit with unverified authorship, and works held in no accessible form.</w:t>
      </w:r>
    </w:p>
    <w:p>
      <w:pPr>
        <w:numPr>
          <w:ilvl w:val="0"/>
          <w:numId w:val="1001"/>
        </w:numPr>
        <w:pStyle w:val="Compact"/>
      </w:pPr>
      <w:r>
        <w:rPr>
          <w:bCs/>
          <w:b/>
        </w:rPr>
        <w:t xml:space="preserve">Verifiable citation.</w:t>
      </w:r>
      <w:r>
        <w:t xml:space="preserve"> </w:t>
      </w:r>
      <w:r>
        <w:t xml:space="preserve">Cut items where I could not confirm author, journal, year and pagination to a standard that would survive an AGLC4 check.</w:t>
      </w:r>
    </w:p>
    <w:p>
      <w:pPr>
        <w:numPr>
          <w:ilvl w:val="0"/>
          <w:numId w:val="1001"/>
        </w:numPr>
        <w:pStyle w:val="Compact"/>
      </w:pPr>
      <w:r>
        <w:rPr>
          <w:bCs/>
          <w:b/>
        </w:rPr>
        <w:t xml:space="preserve">Thematic balance.</w:t>
      </w:r>
      <w:r>
        <w:t xml:space="preserve"> </w:t>
      </w:r>
      <w:r>
        <w:t xml:space="preserve">The final 20 spread across five argument themes so you can build any of several papers from them and still have four sources that talk to each other.</w:t>
      </w:r>
    </w:p>
    <w:p>
      <w:pPr>
        <w:numPr>
          <w:ilvl w:val="0"/>
          <w:numId w:val="1001"/>
        </w:numPr>
        <w:pStyle w:val="Compact"/>
      </w:pPr>
      <w:r>
        <w:rPr>
          <w:bCs/>
          <w:b/>
        </w:rPr>
        <w:t xml:space="preserve">Australian first.</w:t>
      </w:r>
      <w:r>
        <w:t xml:space="preserve"> </w:t>
      </w:r>
      <w:r>
        <w:t xml:space="preserve">Thirteen of the twenty are Australian; the seven comparative or theoretical works are all either cited by the High Court in</w:t>
      </w:r>
      <w:r>
        <w:t xml:space="preserve"> </w:t>
      </w:r>
      <w:r>
        <w:rPr>
          <w:iCs/>
          <w:i/>
        </w:rPr>
        <w:t xml:space="preserve">Abdel-Hady</w:t>
      </w:r>
      <w:r>
        <w:t xml:space="preserve"> </w:t>
      </w:r>
      <w:r>
        <w:t xml:space="preserve">itself or supply a foil the Court expressly considered.</w:t>
      </w:r>
    </w:p>
    <w:p>
      <w:r>
        <w:pict>
          <v:rect style="width:0;height:1.5pt" o:hralign="center" o:hrstd="t" o:hr="t"/>
        </w:pict>
      </w:r>
    </w:p>
    <w:bookmarkEnd w:id="20"/>
    <w:bookmarkStart w:id="21" w:name="before-you-annotate-the-mechanics"/>
    <w:p>
      <w:pPr>
        <w:pStyle w:val="Heading2"/>
      </w:pPr>
      <w:r>
        <w:t xml:space="preserve">2. Before you annotate: the mechanics</w:t>
      </w:r>
    </w:p>
    <w:p>
      <w:pPr>
        <w:pStyle w:val="FirstParagraph"/>
      </w:pPr>
      <w:r>
        <w:rPr>
          <w:bCs/>
          <w:b/>
        </w:rPr>
        <w:t xml:space="preserve">The footnote formula</w:t>
      </w:r>
      <w:r>
        <w:t xml:space="preserve"> </w:t>
      </w:r>
      <w:r>
        <w:t xml:space="preserve">(from the brief):</w:t>
      </w:r>
    </w:p>
    <w:p>
      <w:pPr>
        <w:pStyle w:val="BlockText"/>
      </w:pPr>
      <w:r>
        <w:t xml:space="preserve">Jason N E Varuhas,</w:t>
      </w:r>
      <w:r>
        <w:t xml:space="preserve"> </w:t>
      </w:r>
      <w:r>
        <w:t xml:space="preserve">‘</w:t>
      </w:r>
      <w:r>
        <w:rPr>
          <w:iCs/>
          <w:i/>
        </w:rPr>
        <w:t xml:space="preserve">Lewis v Australian Capital Territory</w:t>
      </w:r>
      <w:r>
        <w:t xml:space="preserve">: Valuing Freedom</w:t>
      </w:r>
      <w:r>
        <w:t xml:space="preserve">’</w:t>
      </w:r>
      <w:r>
        <w:t xml:space="preserve"> </w:t>
      </w:r>
      <w:r>
        <w:t xml:space="preserve">(2020) 42(1)</w:t>
      </w:r>
      <w:r>
        <w:t xml:space="preserve"> </w:t>
      </w:r>
      <w:r>
        <w:rPr>
          <w:iCs/>
          <w:i/>
        </w:rPr>
        <w:t xml:space="preserve">Sydney Law Review</w:t>
      </w:r>
      <w:r>
        <w:t xml:space="preserve"> </w:t>
      </w:r>
      <w:r>
        <w:t xml:space="preserve">123, 135, annotations [11], [12].</w:t>
      </w:r>
    </w:p>
    <w:p>
      <w:pPr>
        <w:pStyle w:val="FirstParagraph"/>
      </w:pPr>
      <w:r>
        <w:rPr>
          <w:bCs/>
          <w:b/>
        </w:rPr>
        <w:t xml:space="preserve">Numbering.</w:t>
      </w:r>
      <w:r>
        <w:t xml:space="preserve"> </w:t>
      </w:r>
      <w:r>
        <w:t xml:space="preserve">Where the source has page numbers, the note does not need to be sequential, but it must carry the page plus the bracketed number so the marker can find it:</w:t>
      </w:r>
      <w:r>
        <w:t xml:space="preserve"> </w:t>
      </w:r>
      <w:r>
        <w:rPr>
          <w:rStyle w:val="VerbatimChar"/>
        </w:rPr>
        <w:t xml:space="preserve">p 135 [11]</w:t>
      </w:r>
      <w:r>
        <w:t xml:space="preserve">. Begin every note with the bracketed number. I have written the notes in that form.</w:t>
      </w:r>
    </w:p>
    <w:p>
      <w:pPr>
        <w:pStyle w:val="BodyText"/>
      </w:pPr>
      <w:r>
        <w:rPr>
          <w:bCs/>
          <w:b/>
        </w:rPr>
        <w:t xml:space="preserve">What an annotation is.</w:t>
      </w:r>
      <w:r>
        <w:t xml:space="preserve"> </w:t>
      </w:r>
      <w:r>
        <w:t xml:space="preserve">The convenor was emphatic in the Q&amp;A: an annotation is</w:t>
      </w:r>
      <w:r>
        <w:t xml:space="preserve"> </w:t>
      </w:r>
      <w:r>
        <w:rPr>
          <w:iCs/>
          <w:i/>
        </w:rPr>
        <w:t xml:space="preserve">your thinking, not a summary</w:t>
      </w:r>
      <w:r>
        <w:t xml:space="preserve">;</w:t>
      </w:r>
      <w:r>
        <w:t xml:space="preserve"> </w:t>
      </w:r>
      <w:r>
        <w:t xml:space="preserve">“</w:t>
      </w:r>
      <w:r>
        <w:t xml:space="preserve">one sharp sentence beats a paragraph of paraphrase</w:t>
      </w:r>
      <w:r>
        <w:t xml:space="preserve">”</w:t>
      </w:r>
      <w:r>
        <w:t xml:space="preserve">; it records why the passage matters — what it supports, what it complicates, what you will do with it. First person is fine. Spelling and grammar are not marked. Questions are fine in your working notes but do not cite a note that is only a question, because a question shows no completed thinking.</w:t>
      </w:r>
    </w:p>
    <w:p>
      <w:pPr>
        <w:pStyle w:val="BodyText"/>
      </w:pPr>
      <w:r>
        <w:rPr>
          <w:bCs/>
          <w:b/>
        </w:rPr>
        <w:t xml:space="preserve">Use these as drafts, not as text to paste.</w:t>
      </w:r>
      <w:r>
        <w:t xml:space="preserve"> </w:t>
      </w:r>
      <w:r>
        <w:t xml:space="preserve">The notes below are written in a student voice deliberately, but they are my reasoning about your sources, not yours. Read the passage, decide whether you agree, and rewrite the note in your own words. Two consequences if you don’t: the notes will not match the argument you actually end up making, and the marker is reading for evidence of</w:t>
      </w:r>
      <w:r>
        <w:t xml:space="preserve"> </w:t>
      </w:r>
      <w:r>
        <w:rPr>
          <w:iCs/>
          <w:i/>
        </w:rPr>
        <w:t xml:space="preserve">one coherent process</w:t>
      </w:r>
      <w:r>
        <w:t xml:space="preserve"> </w:t>
      </w:r>
      <w:r>
        <w:t xml:space="preserve">— a note that does not sound like your paper is worse than a shorter note that does.</w:t>
      </w:r>
    </w:p>
    <w:p>
      <w:pPr>
        <w:pStyle w:val="BodyText"/>
      </w:pPr>
      <w:r>
        <w:rPr>
          <w:bCs/>
          <w:b/>
        </w:rPr>
        <w:t xml:space="preserve">Only four secondary sources count.</w:t>
      </w:r>
      <w:r>
        <w:t xml:space="preserve"> </w:t>
      </w:r>
      <w:r>
        <w:t xml:space="preserve">Any beyond four earn nothing. Choose the four that serve the three or four points you actually make.</w:t>
      </w:r>
    </w:p>
    <w:p>
      <w:r>
        <w:pict>
          <v:rect style="width:0;height:1.5pt" o:hralign="center" o:hrstd="t" o:hr="t"/>
        </w:pict>
      </w:r>
    </w:p>
    <w:bookmarkEnd w:id="21"/>
    <w:bookmarkStart w:id="23" w:name="Xc157a45acba7911384ee91bbdd6ecc5e6325ab8"/>
    <w:p>
      <w:pPr>
        <w:pStyle w:val="Heading2"/>
      </w:pPr>
      <w:r>
        <w:t xml:space="preserve">3. My recommended four, and the paper they build</w:t>
      </w:r>
    </w:p>
    <w:p>
      <w:pPr>
        <w:pStyle w:val="FirstParagraph"/>
      </w:pPr>
      <w:r>
        <w:t xml:space="preserve">If you want a defensible, tightly-scoped paper, take these four: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Source</w:t>
            </w:r>
          </w:p>
        </w:tc>
        <w:tc>
          <w:tcPr/>
          <w:p>
            <w:pPr>
              <w:pStyle w:val="Compact"/>
              <w:jc w:val="left"/>
            </w:pPr>
            <w:r>
              <w:t xml:space="preserve">Job in the paper</w:t>
            </w:r>
          </w:p>
        </w:tc>
      </w:tr>
      <w:tr>
        <w:tc>
          <w:tcPr/>
          <w:p>
            <w:pPr>
              <w:pStyle w:val="Compact"/>
              <w:jc w:val="left"/>
            </w:pPr>
            <w:r>
              <w:t xml:space="preserve">1</w:t>
            </w:r>
          </w:p>
        </w:tc>
        <w:tc>
          <w:tcPr/>
          <w:p>
            <w:pPr>
              <w:pStyle w:val="Compact"/>
              <w:jc w:val="left"/>
            </w:pPr>
            <w:r>
              <w:rPr>
                <w:bCs/>
                <w:b/>
              </w:rPr>
              <w:t xml:space="preserve">Varuhas</w:t>
            </w:r>
            <w:r>
              <w:t xml:space="preserve">,</w:t>
            </w:r>
            <w:r>
              <w:t xml:space="preserve"> </w:t>
            </w:r>
            <w:r>
              <w:t xml:space="preserve">‘</w:t>
            </w:r>
            <w:r>
              <w:t xml:space="preserve">Valuing Freedom</w:t>
            </w:r>
            <w:r>
              <w:t xml:space="preserve">’</w:t>
            </w:r>
            <w:r>
              <w:t xml:space="preserve"> </w:t>
            </w:r>
            <w:r>
              <w:t xml:space="preserve">(2020) 42</w:t>
            </w:r>
            <w:r>
              <w:t xml:space="preserve"> </w:t>
            </w:r>
            <w:r>
              <w:rPr>
                <w:iCs/>
                <w:i/>
              </w:rPr>
              <w:t xml:space="preserve">Syd L Rev</w:t>
            </w:r>
            <w:r>
              <w:t xml:space="preserve"> </w:t>
            </w:r>
            <w:r>
              <w:t xml:space="preserve">123</w:t>
            </w:r>
          </w:p>
        </w:tc>
        <w:tc>
          <w:tcPr/>
          <w:p>
            <w:pPr>
              <w:pStyle w:val="Compact"/>
              <w:jc w:val="left"/>
            </w:pPr>
            <w:r>
              <w:t xml:space="preserve">Why strict, actionable-</w:t>
            </w:r>
            <w:r>
              <w:rPr>
                <w:iCs/>
                <w:i/>
              </w:rPr>
              <w:t xml:space="preserve">per-se</w:t>
            </w:r>
            <w:r>
              <w:t xml:space="preserve"> </w:t>
            </w:r>
            <w:r>
              <w:t xml:space="preserve">liability is a rights-protective design — and why the remedy must follow the right</w:t>
            </w:r>
          </w:p>
        </w:tc>
      </w:tr>
      <w:tr>
        <w:tc>
          <w:tcPr/>
          <w:p>
            <w:pPr>
              <w:pStyle w:val="Compact"/>
              <w:jc w:val="left"/>
            </w:pPr>
            <w:r>
              <w:t xml:space="preserve">5</w:t>
            </w:r>
          </w:p>
        </w:tc>
        <w:tc>
          <w:tcPr/>
          <w:p>
            <w:pPr>
              <w:pStyle w:val="Compact"/>
              <w:jc w:val="left"/>
            </w:pPr>
            <w:r>
              <w:rPr>
                <w:bCs/>
                <w:b/>
              </w:rPr>
              <w:t xml:space="preserve">Erbacher &amp; Taliadoros</w:t>
            </w:r>
            <w:r>
              <w:t xml:space="preserve"> </w:t>
            </w:r>
            <w:r>
              <w:t xml:space="preserve">(2025) 48</w:t>
            </w:r>
            <w:r>
              <w:t xml:space="preserve"> </w:t>
            </w:r>
            <w:r>
              <w:rPr>
                <w:iCs/>
                <w:i/>
              </w:rPr>
              <w:t xml:space="preserve">MULR</w:t>
            </w:r>
            <w:r>
              <w:t xml:space="preserve"> </w:t>
            </w:r>
            <w:r>
              <w:t xml:space="preserve">693</w:t>
            </w:r>
          </w:p>
        </w:tc>
        <w:tc>
          <w:tcPr/>
          <w:p>
            <w:pPr>
              <w:pStyle w:val="Compact"/>
              <w:jc w:val="left"/>
            </w:pPr>
            <w:r>
              <w:t xml:space="preserve">The</w:t>
            </w:r>
            <w:r>
              <w:t xml:space="preserve"> </w:t>
            </w:r>
            <w:r>
              <w:rPr>
                <w:iCs/>
                <w:i/>
              </w:rPr>
              <w:t xml:space="preserve">Lewis/Lumba</w:t>
            </w:r>
            <w:r>
              <w:t xml:space="preserve"> </w:t>
            </w:r>
            <w:r>
              <w:t xml:space="preserve">counterfactual as an</w:t>
            </w:r>
            <w:r>
              <w:t xml:space="preserve"> </w:t>
            </w:r>
            <w:r>
              <w:t xml:space="preserve">“</w:t>
            </w:r>
            <w:r>
              <w:t xml:space="preserve">irrebuttable presumption of legality</w:t>
            </w:r>
            <w:r>
              <w:t xml:space="preserve">”</w:t>
            </w:r>
            <w:r>
              <w:t xml:space="preserve">: the limit</w:t>
            </w:r>
            <w:r>
              <w:t xml:space="preserve"> </w:t>
            </w:r>
            <w:r>
              <w:rPr>
                <w:iCs/>
                <w:i/>
              </w:rPr>
              <w:t xml:space="preserve">Abdel-Hady</w:t>
            </w:r>
            <w:r>
              <w:t xml:space="preserve"> </w:t>
            </w:r>
            <w:r>
              <w:t xml:space="preserve">leaves untouched</w:t>
            </w:r>
          </w:p>
        </w:tc>
      </w:tr>
      <w:tr>
        <w:tc>
          <w:tcPr/>
          <w:p>
            <w:pPr>
              <w:pStyle w:val="Compact"/>
              <w:jc w:val="left"/>
            </w:pPr>
            <w:r>
              <w:t xml:space="preserve">8</w:t>
            </w:r>
          </w:p>
        </w:tc>
        <w:tc>
          <w:tcPr/>
          <w:p>
            <w:pPr>
              <w:pStyle w:val="Compact"/>
              <w:jc w:val="left"/>
            </w:pPr>
            <w:r>
              <w:rPr>
                <w:bCs/>
                <w:b/>
              </w:rPr>
              <w:t xml:space="preserve">Rock &amp; Weeks</w:t>
            </w:r>
            <w:r>
              <w:t xml:space="preserve"> </w:t>
            </w:r>
            <w:r>
              <w:t xml:space="preserve">(2018) 41</w:t>
            </w:r>
            <w:r>
              <w:t xml:space="preserve"> </w:t>
            </w:r>
            <w:r>
              <w:rPr>
                <w:iCs/>
                <w:i/>
              </w:rPr>
              <w:t xml:space="preserve">UNSWLJ</w:t>
            </w:r>
            <w:r>
              <w:t xml:space="preserve"> </w:t>
            </w:r>
            <w:r>
              <w:t xml:space="preserve">1159</w:t>
            </w:r>
          </w:p>
        </w:tc>
        <w:tc>
          <w:tcPr/>
          <w:p>
            <w:pPr>
              <w:pStyle w:val="Compact"/>
              <w:jc w:val="left"/>
            </w:pPr>
            <w:r>
              <w:t xml:space="preserve">Why tort carries the whole compensatory load in Australia, and why protection exists only where a nominate tort happens to fit</w:t>
            </w:r>
          </w:p>
        </w:tc>
      </w:tr>
      <w:tr>
        <w:tc>
          <w:tcPr/>
          <w:p>
            <w:pPr>
              <w:pStyle w:val="Compact"/>
              <w:jc w:val="left"/>
            </w:pPr>
            <w:r>
              <w:t xml:space="preserve">19</w:t>
            </w:r>
          </w:p>
        </w:tc>
        <w:tc>
          <w:tcPr/>
          <w:p>
            <w:pPr>
              <w:pStyle w:val="Compact"/>
              <w:jc w:val="left"/>
            </w:pPr>
            <w:r>
              <w:rPr>
                <w:bCs/>
                <w:b/>
              </w:rPr>
              <w:t xml:space="preserve">Tulich, Kenny &amp; Murray</w:t>
            </w:r>
            <w:r>
              <w:t xml:space="preserve"> </w:t>
            </w:r>
            <w:r>
              <w:t xml:space="preserve">(2026) 38</w:t>
            </w:r>
            <w:r>
              <w:t xml:space="preserve"> </w:t>
            </w:r>
            <w:r>
              <w:rPr>
                <w:iCs/>
                <w:i/>
              </w:rPr>
              <w:t xml:space="preserve">IJRL</w:t>
            </w:r>
            <w:r>
              <w:t xml:space="preserve"> </w:t>
            </w:r>
            <w:r>
              <w:t xml:space="preserve">25</w:t>
            </w:r>
          </w:p>
        </w:tc>
        <w:tc>
          <w:tcPr/>
          <w:p>
            <w:pPr>
              <w:pStyle w:val="Compact"/>
              <w:jc w:val="left"/>
            </w:pPr>
            <w:r>
              <w:t xml:space="preserve">Parliament’s answer to a liberty win: legislative rerouting, and statutory exclusion of civil liability</w:t>
            </w:r>
          </w:p>
        </w:tc>
      </w:tr>
    </w:tbl>
    <w:p>
      <w:pPr>
        <w:pStyle w:val="BodyText"/>
      </w:pPr>
      <w:r>
        <w:rPr>
          <w:bCs/>
          <w:b/>
        </w:rPr>
        <w:t xml:space="preserve">A four-point skeleton those four support</w:t>
      </w:r>
    </w:p>
    <w:p>
      <w:pPr>
        <w:numPr>
          <w:ilvl w:val="0"/>
          <w:numId w:val="1002"/>
        </w:numPr>
        <w:pStyle w:val="Compact"/>
      </w:pPr>
      <w:r>
        <w:rPr>
          <w:bCs/>
          <w:b/>
        </w:rPr>
        <w:t xml:space="preserve">Thesis.</w:t>
      </w:r>
      <w:r>
        <w:t xml:space="preserve"> </w:t>
      </w:r>
      <w:r>
        <w:rPr>
          <w:iCs/>
          <w:i/>
        </w:rPr>
        <w:t xml:space="preserve">Abdel-Hady</w:t>
      </w:r>
      <w:r>
        <w:t xml:space="preserve"> </w:t>
      </w:r>
      <w:r>
        <w:t xml:space="preserve">shows tort law protecting liberty at close to its theoretical maximum — and in doing so exposes three structural limits that no amount of judicial firmness can cure. Tort is an effective</w:t>
      </w:r>
      <w:r>
        <w:t xml:space="preserve"> </w:t>
      </w:r>
      <w:r>
        <w:rPr>
          <w:iCs/>
          <w:i/>
        </w:rPr>
        <w:t xml:space="preserve">enforcement</w:t>
      </w:r>
      <w:r>
        <w:t xml:space="preserve"> </w:t>
      </w:r>
      <w:r>
        <w:t xml:space="preserve">mechanism for a right the Constitution happens to secure; it is not a source of rights.</w:t>
      </w:r>
    </w:p>
    <w:p>
      <w:pPr>
        <w:numPr>
          <w:ilvl w:val="0"/>
          <w:numId w:val="1002"/>
        </w:numPr>
        <w:pStyle w:val="Compact"/>
      </w:pPr>
      <w:r>
        <w:rPr>
          <w:bCs/>
          <w:b/>
        </w:rPr>
        <w:t xml:space="preserve">Point 1 (strength).</w:t>
      </w:r>
      <w:r>
        <w:t xml:space="preserve"> </w:t>
      </w:r>
      <w:r>
        <w:t xml:space="preserve">The tort’s strictness is the protection. Because false imprisonment is actionable</w:t>
      </w:r>
      <w:r>
        <w:t xml:space="preserve"> </w:t>
      </w:r>
      <w:r>
        <w:rPr>
          <w:iCs/>
          <w:i/>
        </w:rPr>
        <w:t xml:space="preserve">per se</w:t>
      </w:r>
      <w:r>
        <w:t xml:space="preserve"> </w:t>
      </w:r>
      <w:r>
        <w:t xml:space="preserve">and puts the onus of justification on the detainer, honesty and reasonableness are irrelevant: [16]–[17], [120], [183]–[186]. Sources 1, 2.</w:t>
      </w:r>
    </w:p>
    <w:p>
      <w:pPr>
        <w:numPr>
          <w:ilvl w:val="0"/>
          <w:numId w:val="1002"/>
        </w:numPr>
        <w:pStyle w:val="Compact"/>
      </w:pPr>
      <w:r>
        <w:rPr>
          <w:bCs/>
          <w:b/>
        </w:rPr>
        <w:t xml:space="preserve">Point 2 (strength).</w:t>
      </w:r>
      <w:r>
        <w:t xml:space="preserve"> </w:t>
      </w:r>
      <w:r>
        <w:t xml:space="preserve">That strictness carries a constitutional function — Diceyan equality, and the executive’s duty to find actual authority: [1], [32]–[35], [88], [122], [218]–[222]. Sources 1, 4, 11.</w:t>
      </w:r>
    </w:p>
    <w:p>
      <w:pPr>
        <w:numPr>
          <w:ilvl w:val="0"/>
          <w:numId w:val="1002"/>
        </w:numPr>
        <w:pStyle w:val="Compact"/>
      </w:pPr>
      <w:r>
        <w:rPr>
          <w:bCs/>
          <w:b/>
        </w:rPr>
        <w:t xml:space="preserve">Point 3 (limit).</w:t>
      </w:r>
      <w:r>
        <w:t xml:space="preserve"> </w:t>
      </w:r>
      <w:r>
        <w:t xml:space="preserve">The protection is derivative and retrospective. It became available only when</w:t>
      </w:r>
      <w:r>
        <w:t xml:space="preserve"> </w:t>
      </w:r>
      <w:r>
        <w:rPr>
          <w:iCs/>
          <w:i/>
        </w:rPr>
        <w:t xml:space="preserve">NZYQ</w:t>
      </w:r>
      <w:r>
        <w:t xml:space="preserve"> </w:t>
      </w:r>
      <w:r>
        <w:t xml:space="preserve">declared the authorising provisions invalid; for nineteen years the same detention was lawful. Sources 9, 16, 18.</w:t>
      </w:r>
    </w:p>
    <w:p>
      <w:pPr>
        <w:numPr>
          <w:ilvl w:val="0"/>
          <w:numId w:val="1002"/>
        </w:numPr>
        <w:pStyle w:val="Compact"/>
      </w:pPr>
      <w:r>
        <w:rPr>
          <w:bCs/>
          <w:b/>
        </w:rPr>
        <w:t xml:space="preserve">Point 4 (limit).</w:t>
      </w:r>
      <w:r>
        <w:t xml:space="preserve"> </w:t>
      </w:r>
      <w:r>
        <w:t xml:space="preserve">The remedy may be hollow, and the legislature can withdraw the field.</w:t>
      </w:r>
      <w:r>
        <w:t xml:space="preserve"> </w:t>
      </w:r>
      <w:r>
        <w:rPr>
          <w:iCs/>
          <w:i/>
        </w:rPr>
        <w:t xml:space="preserve">Abdel-Hady</w:t>
      </w:r>
      <w:r>
        <w:t xml:space="preserve"> </w:t>
      </w:r>
      <w:r>
        <w:t xml:space="preserve">decides liability and says nothing about quantum;</w:t>
      </w:r>
      <w:r>
        <w:t xml:space="preserve"> </w:t>
      </w:r>
      <w:r>
        <w:rPr>
          <w:iCs/>
          <w:i/>
        </w:rPr>
        <w:t xml:space="preserve">Lewis</w:t>
      </w:r>
      <w:r>
        <w:t xml:space="preserve"> </w:t>
      </w:r>
      <w:r>
        <w:t xml:space="preserve">and</w:t>
      </w:r>
      <w:r>
        <w:t xml:space="preserve"> </w:t>
      </w:r>
      <w:r>
        <w:rPr>
          <w:iCs/>
          <w:i/>
        </w:rPr>
        <w:t xml:space="preserve">Fernando</w:t>
      </w:r>
      <w:r>
        <w:t xml:space="preserve"> </w:t>
      </w:r>
      <w:r>
        <w:t xml:space="preserve">suggest nominal damages; and Parliament has already excluded civil liability for third-country removals. Sources 5, 6, 8, 19.</w:t>
      </w:r>
    </w:p>
    <w:p>
      <w:pPr>
        <w:pStyle w:val="FirstParagraph"/>
      </w:pPr>
      <w:r>
        <w:t xml:space="preserve">Two alternative shapes, if you prefer:</w:t>
      </w:r>
    </w:p>
    <w:p>
      <w:pPr>
        <w:numPr>
          <w:ilvl w:val="0"/>
          <w:numId w:val="1003"/>
        </w:numPr>
        <w:pStyle w:val="Compact"/>
      </w:pPr>
      <w:r>
        <w:rPr>
          <w:bCs/>
          <w:b/>
        </w:rPr>
        <w:t xml:space="preserve">Rule-of-law paper:</w:t>
      </w:r>
      <w:r>
        <w:t xml:space="preserve"> </w:t>
      </w:r>
      <w:r>
        <w:t xml:space="preserve">sources 4, 11, 13, 15 — retroactivity, the officer’s dilemma, and why the common law refused to soften it.</w:t>
      </w:r>
    </w:p>
    <w:p>
      <w:pPr>
        <w:numPr>
          <w:ilvl w:val="0"/>
          <w:numId w:val="1003"/>
        </w:numPr>
        <w:pStyle w:val="Heading2"/>
      </w:pPr>
      <w:bookmarkStart w:id="22" w:name="Xdab6f6a8c47b83222ca6c47c2f8596e6081ce47"/>
      <w:r>
        <w:rPr>
          <w:bCs/>
          <w:b/>
        </w:rPr>
        <w:t xml:space="preserve">No-charter paper:</w:t>
      </w:r>
      <w:r>
        <w:t xml:space="preserve"> </w:t>
      </w:r>
      <w:r>
        <w:t xml:space="preserve">sources 3, 17, 19, 20 — tort filling a void; charters that withhold damages; charters that under-deliver anyway.</w:t>
      </w:r>
      <w:bookmarkEnd w:id="22"/>
    </w:p>
    <w:bookmarkEnd w:id="23"/>
    <w:bookmarkEnd w:id="24"/>
    <w:bookmarkStart w:id="53" w:name="part-a-the-twenty-sources-annotated"/>
    <w:p>
      <w:pPr>
        <w:pStyle w:val="Heading1"/>
      </w:pPr>
      <w:r>
        <w:t xml:space="preserve">Part A — The twenty sources, annotated</w:t>
      </w:r>
    </w:p>
    <w:p>
      <w:pPr>
        <w:pStyle w:val="FirstParagraph"/>
      </w:pPr>
      <w:r>
        <w:rPr>
          <w:bCs/>
          <w:b/>
        </w:rPr>
        <w:t xml:space="preserve">Access legend.</w:t>
      </w:r>
      <w:r>
        <w:t xml:space="preserve"> </w:t>
      </w:r>
      <w:r>
        <w:t xml:space="preserve">● full text read and pinpoints checked · ◐ partly read (structure and some pages confirmed) · ○ abstract or metadata only — every pinpoint flagged</w:t>
      </w:r>
    </w:p>
    <w:p>
      <w:pPr>
        <w:pStyle w:val="BodyText"/>
      </w:pPr>
      <w:r>
        <w:rPr>
          <w:bCs/>
          <w:b/>
        </w:rPr>
        <w:t xml:space="preserve">Theme legend.</w:t>
      </w:r>
      <w:r>
        <w:t xml:space="preserve"> </w:t>
      </w:r>
      <w:r>
        <w:rPr>
          <w:bCs/>
          <w:b/>
        </w:rPr>
        <w:t xml:space="preserve">S1</w:t>
      </w:r>
      <w:r>
        <w:t xml:space="preserve"> </w:t>
      </w:r>
      <w:r>
        <w:t xml:space="preserve">strict liability / no good-faith defence ·</w:t>
      </w:r>
      <w:r>
        <w:t xml:space="preserve"> </w:t>
      </w:r>
      <w:r>
        <w:rPr>
          <w:bCs/>
          <w:b/>
        </w:rPr>
        <w:t xml:space="preserve">S2</w:t>
      </w:r>
      <w:r>
        <w:t xml:space="preserve"> </w:t>
      </w:r>
      <w:r>
        <w:t xml:space="preserve">rule of law, Dicey, equality ·</w:t>
      </w:r>
      <w:r>
        <w:t xml:space="preserve"> </w:t>
      </w:r>
      <w:r>
        <w:rPr>
          <w:bCs/>
          <w:b/>
        </w:rPr>
        <w:t xml:space="preserve">L1</w:t>
      </w:r>
      <w:r>
        <w:t xml:space="preserve"> </w:t>
      </w:r>
      <w:r>
        <w:t xml:space="preserve">contingent on invalidity or statutory authority ·</w:t>
      </w:r>
      <w:r>
        <w:t xml:space="preserve"> </w:t>
      </w:r>
      <w:r>
        <w:rPr>
          <w:bCs/>
          <w:b/>
        </w:rPr>
        <w:t xml:space="preserve">L2</w:t>
      </w:r>
      <w:r>
        <w:t xml:space="preserve"> </w:t>
      </w:r>
      <w:r>
        <w:t xml:space="preserve">damages and remedial weakness ·</w:t>
      </w:r>
      <w:r>
        <w:t xml:space="preserve"> </w:t>
      </w:r>
      <w:r>
        <w:rPr>
          <w:bCs/>
          <w:b/>
        </w:rPr>
        <w:t xml:space="preserve">L3</w:t>
      </w:r>
      <w:r>
        <w:t xml:space="preserve"> </w:t>
      </w:r>
      <w:r>
        <w:t xml:space="preserve">no charter, legislative rerouting</w:t>
      </w:r>
    </w:p>
    <w:p>
      <w:r>
        <w:pict>
          <v:rect style="width:0;height:1.5pt" o:hralign="center" o:hrstd="t" o:hr="t"/>
        </w:pict>
      </w:r>
    </w:p>
    <w:bookmarkStart w:id="30" w:name="Xd5e8aeb71388b52de6f65ed8d791567b09352ff"/>
    <w:p>
      <w:pPr>
        <w:pStyle w:val="Heading2"/>
      </w:pPr>
      <w:r>
        <w:t xml:space="preserve">## Theme group I — Tort as vindication of liberty</w:t>
      </w:r>
    </w:p>
    <w:bookmarkStart w:id="25" w:name="X75e77fa4cb25b2ac8005453112fc9609467bee8"/>
    <w:p>
      <w:pPr>
        <w:pStyle w:val="Heading3"/>
      </w:pPr>
      <w:r>
        <w:t xml:space="preserve">1. Jason N E Varuhas,</w:t>
      </w:r>
      <w:r>
        <w:t xml:space="preserve"> </w:t>
      </w:r>
      <w:r>
        <w:t xml:space="preserve">‘</w:t>
      </w:r>
      <w:r>
        <w:t xml:space="preserve">Lewis v Australian Capital Territory: Valuing Freedom</w:t>
      </w:r>
      <w:r>
        <w:t xml:space="preserve">’</w:t>
      </w:r>
      <w:r>
        <w:t xml:space="preserve"> </w:t>
      </w:r>
      <w:r>
        <w:t xml:space="preserve">(2020) 42(1) Sydney Law Review 123</w:t>
      </w:r>
    </w:p>
    <w:p>
      <w:pPr>
        <w:numPr>
          <w:ilvl w:val="0"/>
          <w:numId w:val="1004"/>
        </w:numPr>
        <w:pStyle w:val="Compact"/>
      </w:pPr>
      <w:r>
        <w:t xml:space="preserve">Access: Open access PDF from the Sydney Law Review (OJS) — https://openjournals.library.sydney.edu.au/SLR/article/download/19646/16510 (also mirrored at https://www.sydney.edu.au/content/dam/corporate/documents/sydney-law-school/research/publications/slrv42n1mar2020bthcvaruhasfinal.pdf; HTML on AustLII at classic.austlii.edu.au/au/journals/SydLawRw/2020/6.html). Pages 123–140 (18 PDF pages).</w:t>
      </w:r>
      <w:r>
        <w:t xml:space="preserve"> </w:t>
      </w:r>
      <w:r>
        <w:rPr>
          <w:bCs/>
          <w:b/>
        </w:rPr>
        <w:t xml:space="preserve">Full text read</w:t>
      </w:r>
      <w:r>
        <w:t xml:space="preserve"> </w:t>
      </w:r>
      <w:r>
        <w:t xml:space="preserve">— the PDF was downloaded to the user’s Mac and every page was read; all pinpoints below are checked against the running page numbers.</w:t>
      </w:r>
    </w:p>
    <w:p>
      <w:pPr>
        <w:numPr>
          <w:ilvl w:val="0"/>
          <w:numId w:val="1004"/>
        </w:numPr>
        <w:pStyle w:val="Compact"/>
      </w:pPr>
      <w:r>
        <w:t xml:space="preserve">What it argues: Written before the High Court decided Lewis, the column argues that the Court should reject the Lumba principle (nominal damages where the plaintiff could and would have been detained lawfully anyway). Varuhas distinguishes</w:t>
      </w:r>
      <w:r>
        <w:t xml:space="preserve"> </w:t>
      </w:r>
      <w:r>
        <w:t xml:space="preserve">“</w:t>
      </w:r>
      <w:r>
        <w:t xml:space="preserve">factual loss</w:t>
      </w:r>
      <w:r>
        <w:t xml:space="preserve">”</w:t>
      </w:r>
      <w:r>
        <w:t xml:space="preserve"> </w:t>
      </w:r>
      <w:r>
        <w:t xml:space="preserve">(real-world harm, subject to but-for causation) from</w:t>
      </w:r>
      <w:r>
        <w:t xml:space="preserve"> </w:t>
      </w:r>
      <w:r>
        <w:t xml:space="preserve">“</w:t>
      </w:r>
      <w:r>
        <w:t xml:space="preserve">normative loss</w:t>
      </w:r>
      <w:r>
        <w:t xml:space="preserve">”</w:t>
      </w:r>
      <w:r>
        <w:t xml:space="preserve"> </w:t>
      </w:r>
      <w:r>
        <w:t xml:space="preserve">(the injury to the protected interest itself, which torts actionable per se presume and compensate irrespective of consequences). False imprisonment sits with trespass, battery and defamation in this vindicatory family, so substantial damages should follow the wrong</w:t>
      </w:r>
      <w:r>
        <w:t xml:space="preserve"> </w:t>
      </w:r>
      <w:r>
        <w:t xml:space="preserve">“</w:t>
      </w:r>
      <w:r>
        <w:t xml:space="preserve">as of course</w:t>
      </w:r>
      <w:r>
        <w:t xml:space="preserve">”</w:t>
      </w:r>
      <w:r>
        <w:t xml:space="preserve">. He shows the historic damages practice (Huckle v Money, Christie, TD, Kuchenmeister, Plenty v Dillon), argues Lumba’s authority is weaker than it looks, and adds rule-of-law and equality (Judiciary Act s 64) arguments. Even on a but-for approach, the</w:t>
      </w:r>
      <w:r>
        <w:t xml:space="preserve"> </w:t>
      </w:r>
      <w:r>
        <w:t xml:space="preserve">“</w:t>
      </w:r>
      <w:r>
        <w:t xml:space="preserve">wrong</w:t>
      </w:r>
      <w:r>
        <w:t xml:space="preserve">”</w:t>
      </w:r>
      <w:r>
        <w:t xml:space="preserve"> </w:t>
      </w:r>
      <w:r>
        <w:t xml:space="preserve">should be framed as confinement, not unlawful confinement, to avoid an irrebuttable presumption that officials would have acted lawfully. Any retreat is a matter for legislatures.</w:t>
      </w:r>
    </w:p>
    <w:p>
      <w:pPr>
        <w:numPr>
          <w:ilvl w:val="0"/>
          <w:numId w:val="1004"/>
        </w:numPr>
        <w:pStyle w:val="Compact"/>
      </w:pPr>
      <w:r>
        <w:t xml:space="preserve">Why it survived screening: It is the single best statement of what the strict-liability, vindicatory model of false imprisonment is</w:t>
      </w:r>
      <w:r>
        <w:t xml:space="preserve"> </w:t>
      </w:r>
      <w:r>
        <w:rPr>
          <w:iCs/>
          <w:i/>
        </w:rPr>
        <w:t xml:space="preserve">for</w:t>
      </w:r>
      <w:r>
        <w:t xml:space="preserve"> </w:t>
      </w:r>
      <w:r>
        <w:t xml:space="preserve">— the model the seven Justices in Abdel-Hady defended at the liability stage. But it is also, read with hindsight, a record of the remedial limit that Abdel-Hady leaves untouched: the High Court in Lewis (2020) 271 CLR 192 did not adopt Varuhas’s view, and Abdel-Hady expressly leaves quantum open. So it serves both the</w:t>
      </w:r>
      <w:r>
        <w:t xml:space="preserve"> </w:t>
      </w:r>
      <w:r>
        <w:t xml:space="preserve">“</w:t>
      </w:r>
      <w:r>
        <w:t xml:space="preserve">strength</w:t>
      </w:r>
      <w:r>
        <w:t xml:space="preserve">”</w:t>
      </w:r>
      <w:r>
        <w:t xml:space="preserve"> </w:t>
      </w:r>
      <w:r>
        <w:t xml:space="preserve">and</w:t>
      </w:r>
      <w:r>
        <w:t xml:space="preserve"> </w:t>
      </w:r>
      <w:r>
        <w:t xml:space="preserve">“</w:t>
      </w:r>
      <w:r>
        <w:t xml:space="preserve">damages limit</w:t>
      </w:r>
      <w:r>
        <w:t xml:space="preserve">”</w:t>
      </w:r>
      <w:r>
        <w:t xml:space="preserve"> </w:t>
      </w:r>
      <w:r>
        <w:t xml:space="preserve">points from one source.</w:t>
      </w:r>
    </w:p>
    <w:p>
      <w:pPr>
        <w:numPr>
          <w:ilvl w:val="0"/>
          <w:numId w:val="1004"/>
        </w:numPr>
        <w:pStyle w:val="Compact"/>
      </w:pPr>
      <w:r>
        <w:t xml:space="preserve">Annotations:</w:t>
      </w:r>
    </w:p>
    <w:p>
      <w:pPr>
        <w:numPr>
          <w:ilvl w:val="1"/>
          <w:numId w:val="1005"/>
        </w:numPr>
        <w:pStyle w:val="Compact"/>
      </w:pPr>
      <w:r>
        <w:t xml:space="preserve">p 123 [1] — Varuhas opens by tying torts actionable per se to the</w:t>
      </w:r>
      <w:r>
        <w:t xml:space="preserve"> </w:t>
      </w:r>
      <w:r>
        <w:t xml:space="preserve">“</w:t>
      </w:r>
      <w:r>
        <w:t xml:space="preserve">principle of equality</w:t>
      </w:r>
      <w:r>
        <w:t xml:space="preserve">”</w:t>
      </w:r>
      <w:r>
        <w:t xml:space="preserve"> </w:t>
      </w:r>
      <w:r>
        <w:t xml:space="preserve">(same law for citizen and official) and calls their role</w:t>
      </w:r>
      <w:r>
        <w:t xml:space="preserve"> </w:t>
      </w:r>
      <w:r>
        <w:t xml:space="preserve">“</w:t>
      </w:r>
      <w:r>
        <w:t xml:space="preserve">constitutional</w:t>
      </w:r>
      <w:r>
        <w:t xml:space="preserve">”</w:t>
      </w:r>
      <w:r>
        <w:t xml:space="preserve">. This is the same frame as Gordon J at [96]–[97] and Edelman J at [122] (Dicey); I will use it to introduce the</w:t>
      </w:r>
      <w:r>
        <w:t xml:space="preserve"> </w:t>
      </w:r>
      <w:r>
        <w:t xml:space="preserve">“</w:t>
      </w:r>
      <w:r>
        <w:t xml:space="preserve">strength</w:t>
      </w:r>
      <w:r>
        <w:t xml:space="preserve">”</w:t>
      </w:r>
      <w:r>
        <w:t xml:space="preserve"> </w:t>
      </w:r>
      <w:r>
        <w:t xml:space="preserve">argument, but note that he immediately says the tradition</w:t>
      </w:r>
      <w:r>
        <w:t xml:space="preserve"> </w:t>
      </w:r>
      <w:r>
        <w:t xml:space="preserve">“</w:t>
      </w:r>
      <w:r>
        <w:t xml:space="preserve">risks being lost</w:t>
      </w:r>
      <w:r>
        <w:t xml:space="preserve">”</w:t>
      </w:r>
      <w:r>
        <w:t xml:space="preserve"> </w:t>
      </w:r>
      <w:r>
        <w:t xml:space="preserve">at the damages stage — a foreshadowing of my remedial-limit point.</w:t>
      </w:r>
    </w:p>
    <w:p>
      <w:pPr>
        <w:numPr>
          <w:ilvl w:val="1"/>
          <w:numId w:val="1005"/>
        </w:numPr>
        <w:pStyle w:val="Compact"/>
      </w:pPr>
      <w:r>
        <w:t xml:space="preserve">p 124 [2] — Lewis was awarded $1 for 82 days when compensatory damages would have been $100,000; Fernando (No 5) applied Lumba to deny substantial damages for over 1,000 days of immigration detention. This is the exact cohort Abdel-Hady sits in: liability was conceded ([16]–[17]) but the case says nothing about quantum, so Fernando remains the realistic benchmark for the 28 July 2022–8 November 2023 period. Use in the</w:t>
      </w:r>
      <w:r>
        <w:t xml:space="preserve"> </w:t>
      </w:r>
      <w:r>
        <w:t xml:space="preserve">“</w:t>
      </w:r>
      <w:r>
        <w:t xml:space="preserve">damages weakness</w:t>
      </w:r>
      <w:r>
        <w:t xml:space="preserve">”</w:t>
      </w:r>
      <w:r>
        <w:t xml:space="preserve"> </w:t>
      </w:r>
      <w:r>
        <w:t xml:space="preserve">paragraph.</w:t>
      </w:r>
    </w:p>
    <w:p>
      <w:pPr>
        <w:numPr>
          <w:ilvl w:val="1"/>
          <w:numId w:val="1005"/>
        </w:numPr>
        <w:pStyle w:val="Compact"/>
      </w:pPr>
      <w:r>
        <w:t xml:space="preserve">p 125 [3] — The factual/normative loss distinction: normative damages compensate</w:t>
      </w:r>
      <w:r>
        <w:t xml:space="preserve"> </w:t>
      </w:r>
      <w:r>
        <w:t xml:space="preserve">“</w:t>
      </w:r>
      <w:r>
        <w:t xml:space="preserve">a damage that is constructed by and only exists on the plane of the law</w:t>
      </w:r>
      <w:r>
        <w:t xml:space="preserve">”</w:t>
      </w:r>
      <w:r>
        <w:t xml:space="preserve">, and</w:t>
      </w:r>
      <w:r>
        <w:t xml:space="preserve"> </w:t>
      </w:r>
      <w:r>
        <w:t xml:space="preserve">“</w:t>
      </w:r>
      <w:r>
        <w:t xml:space="preserve">loss of liberty</w:t>
      </w:r>
      <w:r>
        <w:t xml:space="preserve">”</w:t>
      </w:r>
      <w:r>
        <w:t xml:space="preserve"> </w:t>
      </w:r>
      <w:r>
        <w:t xml:space="preserve">is a standalone head. I will use this as the analytical hinge: Abdel-Hady’s strict liability makes sense only if the remedy also tracks the right in itself; if the remedy tracks factual loss (Lumba), strict liability at the liability stage is half a protection.</w:t>
      </w:r>
    </w:p>
    <w:p>
      <w:pPr>
        <w:numPr>
          <w:ilvl w:val="1"/>
          <w:numId w:val="1005"/>
        </w:numPr>
        <w:pStyle w:val="Compact"/>
      </w:pPr>
      <w:r>
        <w:t xml:space="preserve">p 126 [4] —</w:t>
      </w:r>
      <w:r>
        <w:t xml:space="preserve"> </w:t>
      </w:r>
      <w:r>
        <w:t xml:space="preserve">“</w:t>
      </w:r>
      <w:r>
        <w:t xml:space="preserve">for normative damages causation is irrelevant. Normative damage is inherent in the wrong</w:t>
      </w:r>
      <w:r>
        <w:t xml:space="preserve">”</w:t>
      </w:r>
      <w:r>
        <w:t xml:space="preserve"> </w:t>
      </w:r>
      <w:r>
        <w:t xml:space="preserve">(Ashby v White; Ratcliffe v Evans presumption of damage), plus the point that torts are not all negligence and Weir’s warning against negligence</w:t>
      </w:r>
      <w:r>
        <w:t xml:space="preserve"> </w:t>
      </w:r>
      <w:r>
        <w:t xml:space="preserve">“</w:t>
      </w:r>
      <w:r>
        <w:t xml:space="preserve">taking over</w:t>
      </w:r>
      <w:r>
        <w:t xml:space="preserve">”</w:t>
      </w:r>
      <w:r>
        <w:t xml:space="preserve">. This links to Gordon J at [98]–[99] (false imprisonment focuses on vindication and reparation, not moral wrongdoing) — I will cite it to explain why a good-faith defence would have imported a negligence-style fault inquiry into a trespassory tort.</w:t>
      </w:r>
    </w:p>
    <w:p>
      <w:pPr>
        <w:numPr>
          <w:ilvl w:val="1"/>
          <w:numId w:val="1005"/>
        </w:numPr>
        <w:pStyle w:val="Compact"/>
      </w:pPr>
      <w:r>
        <w:t xml:space="preserve">p 127 [5] — Plenty v Dillon: damages</w:t>
      </w:r>
      <w:r>
        <w:t xml:space="preserve"> </w:t>
      </w:r>
      <w:r>
        <w:t xml:space="preserve">“</w:t>
      </w:r>
      <w:r>
        <w:t xml:space="preserve">in vindication of his right</w:t>
      </w:r>
      <w:r>
        <w:t xml:space="preserve">”</w:t>
      </w:r>
      <w:r>
        <w:t xml:space="preserve">; the right</w:t>
      </w:r>
      <w:r>
        <w:t xml:space="preserve"> </w:t>
      </w:r>
      <w:r>
        <w:t xml:space="preserve">“</w:t>
      </w:r>
      <w:r>
        <w:t xml:space="preserve">must be supported by an effective sanction otherwise the term will be just meaningless rhetoric</w:t>
      </w:r>
      <w:r>
        <w:t xml:space="preserve">”</w:t>
      </w:r>
      <w:r>
        <w:t xml:space="preserve">. A quotable Australian authority for the proposition that a right without a remedy is empty — this is Gordon J’s [57] (rule of law requires effective remedies) restated in private-law terms. It will carry my rule-of-law strength point.</w:t>
      </w:r>
    </w:p>
    <w:p>
      <w:pPr>
        <w:numPr>
          <w:ilvl w:val="1"/>
          <w:numId w:val="1005"/>
        </w:numPr>
        <w:pStyle w:val="Compact"/>
      </w:pPr>
      <w:r>
        <w:t xml:space="preserve">p 129–30 [6] — Loss of liberty is</w:t>
      </w:r>
      <w:r>
        <w:t xml:space="preserve"> </w:t>
      </w:r>
      <w:r>
        <w:t xml:space="preserve">“</w:t>
      </w:r>
      <w:r>
        <w:t xml:space="preserve">conceptually distinct</w:t>
      </w:r>
      <w:r>
        <w:t xml:space="preserve">”</w:t>
      </w:r>
      <w:r>
        <w:t xml:space="preserve"> </w:t>
      </w:r>
      <w:r>
        <w:t xml:space="preserve">from factual loss (Williamson); Huckle v Money (beef-steaks and beer, still substantial damages); Kirby J in Ruddock v Taylor: damages</w:t>
      </w:r>
      <w:r>
        <w:t xml:space="preserve"> </w:t>
      </w:r>
      <w:r>
        <w:t xml:space="preserve">“</w:t>
      </w:r>
      <w:r>
        <w:t xml:space="preserve">to vindicate personal liberty, rather than as compensation for loss per se</w:t>
      </w:r>
      <w:r>
        <w:t xml:space="preserve">”</w:t>
      </w:r>
      <w:r>
        <w:t xml:space="preserve">. Useful because Ruddock is itself an immigration-detention case; I would pair it with Abdel-Hady [96]–[97] (Trobridge v Hardy) to show the High Court has long spoken in vindicatory terms — and then ask whether it follows through on quantum.</w:t>
      </w:r>
    </w:p>
    <w:p>
      <w:pPr>
        <w:numPr>
          <w:ilvl w:val="1"/>
          <w:numId w:val="1005"/>
        </w:numPr>
        <w:pStyle w:val="Compact"/>
      </w:pPr>
      <w:r>
        <w:t xml:space="preserve">p 131 [7] — There are</w:t>
      </w:r>
      <w:r>
        <w:t xml:space="preserve"> </w:t>
      </w:r>
      <w:r>
        <w:t xml:space="preserve">“</w:t>
      </w:r>
      <w:r>
        <w:t xml:space="preserve">no examples</w:t>
      </w:r>
      <w:r>
        <w:t xml:space="preserve">”</w:t>
      </w:r>
      <w:r>
        <w:t xml:space="preserve"> </w:t>
      </w:r>
      <w:r>
        <w:t xml:space="preserve">of the Lumba principle in the common law of false imprisonment before Lumba; the Dicey/Blackstone jury tradition awarded damages for every interference</w:t>
      </w:r>
      <w:r>
        <w:t xml:space="preserve"> </w:t>
      </w:r>
      <w:r>
        <w:t xml:space="preserve">“</w:t>
      </w:r>
      <w:r>
        <w:t xml:space="preserve">whether petty or grave</w:t>
      </w:r>
      <w:r>
        <w:t xml:space="preserve">”</w:t>
      </w:r>
      <w:r>
        <w:t xml:space="preserve">. This complicates any suggestion that nominal damages are orthodox — but the honest counterpoint is that the High Court in Lewis nonetheless endorsed a counterfactual approach, so orthodoxy lost. I will state that plainly rather than pretend Varuhas won.</w:t>
      </w:r>
    </w:p>
    <w:p>
      <w:pPr>
        <w:numPr>
          <w:ilvl w:val="1"/>
          <w:numId w:val="1005"/>
        </w:numPr>
        <w:pStyle w:val="Compact"/>
      </w:pPr>
      <w:r>
        <w:t xml:space="preserve">p 132 [8] — Hayne and Bell JJ in CPCF:</w:t>
      </w:r>
      <w:r>
        <w:t xml:space="preserve"> </w:t>
      </w:r>
      <w:r>
        <w:t xml:space="preserve">“</w:t>
      </w:r>
      <w:r>
        <w:t xml:space="preserve">[l]ike all trespassory torts, the action for false imprisonment is for vindication of basic legal values</w:t>
      </w:r>
      <w:r>
        <w:t xml:space="preserve">”</w:t>
      </w:r>
      <w:r>
        <w:t xml:space="preserve">; the common law has</w:t>
      </w:r>
      <w:r>
        <w:t xml:space="preserve"> </w:t>
      </w:r>
      <w:r>
        <w:t xml:space="preserve">“</w:t>
      </w:r>
      <w:r>
        <w:t xml:space="preserve">long assigned value to liberty in itself</w:t>
      </w:r>
      <w:r>
        <w:t xml:space="preserve">”</w:t>
      </w:r>
      <w:r>
        <w:t xml:space="preserve">. This is the strongest High Court dictum for my strength point and it comes from an immigration case; Abdel-Hady’s unanimous refusal of a good-faith defence ([7], [34] plurality; [120] Edelman J) is the liability-side expression of the same value.</w:t>
      </w:r>
    </w:p>
    <w:p>
      <w:pPr>
        <w:numPr>
          <w:ilvl w:val="1"/>
          <w:numId w:val="1005"/>
        </w:numPr>
        <w:pStyle w:val="Compact"/>
      </w:pPr>
      <w:r>
        <w:t xml:space="preserve">p 133 [9] — Reference point for normative loss:</w:t>
      </w:r>
      <w:r>
        <w:t xml:space="preserve"> </w:t>
      </w:r>
      <w:r>
        <w:t xml:space="preserve">“</w:t>
      </w:r>
      <w:r>
        <w:t xml:space="preserve">the starting point in false imprisonment is that each person is entitled to be free</w:t>
      </w:r>
      <w:r>
        <w:t xml:space="preserve">”</w:t>
      </w:r>
      <w:r>
        <w:t xml:space="preserve">; even brief detentions (hours or minutes) attract substantial awards because liberty sits at the top of the hierarchy of protected interests. I will use this to argue that the 470-odd days of Abdel-Hady’s unauthorised detention cannot coherently attract $1 if the tort is really a</w:t>
      </w:r>
      <w:r>
        <w:t xml:space="preserve"> </w:t>
      </w:r>
      <w:r>
        <w:t xml:space="preserve">“</w:t>
      </w:r>
      <w:r>
        <w:t xml:space="preserve">constitutional safeguard</w:t>
      </w:r>
      <w:r>
        <w:t xml:space="preserve">”</w:t>
      </w:r>
      <w:r>
        <w:t xml:space="preserve"> </w:t>
      </w:r>
      <w:r>
        <w:t xml:space="preserve">(Gordon J at [96]).</w:t>
      </w:r>
    </w:p>
    <w:p>
      <w:pPr>
        <w:numPr>
          <w:ilvl w:val="1"/>
          <w:numId w:val="1005"/>
        </w:numPr>
        <w:pStyle w:val="Compact"/>
      </w:pPr>
      <w:r>
        <w:t xml:space="preserve">p 134–35 [10] — Two incoherences created by Lumba: (i) if damages can be denied altogether for actually unlawful imprisonment,</w:t>
      </w:r>
      <w:r>
        <w:t xml:space="preserve"> </w:t>
      </w:r>
      <w:r>
        <w:t xml:space="preserve">“</w:t>
      </w:r>
      <w:r>
        <w:t xml:space="preserve">one may ask what is the point of being ever so strict as to liability criteria</w:t>
      </w:r>
      <w:r>
        <w:t xml:space="preserve">”</w:t>
      </w:r>
      <w:r>
        <w:t xml:space="preserve">; (ii) liberty gets weaker remedial protection than land, goods and reputation (Edelman J in Smethurst: it would be</w:t>
      </w:r>
      <w:r>
        <w:t xml:space="preserve"> </w:t>
      </w:r>
      <w:r>
        <w:t xml:space="preserve">“</w:t>
      </w:r>
      <w:r>
        <w:t xml:space="preserve">remarkable</w:t>
      </w:r>
      <w:r>
        <w:t xml:space="preserve">”</w:t>
      </w:r>
      <w:r>
        <w:t xml:space="preserve"> </w:t>
      </w:r>
      <w:r>
        <w:t xml:space="preserve">if property were privileged over liberty). Point (i) is my central critique: Abdel-Hady is emphatic on liability yet silent on remedy, and Lewis suggests the remedy may be nominal. Point (ii) sharpens it with Plenty.</w:t>
      </w:r>
    </w:p>
    <w:p>
      <w:pPr>
        <w:numPr>
          <w:ilvl w:val="1"/>
          <w:numId w:val="1005"/>
        </w:numPr>
        <w:pStyle w:val="Compact"/>
      </w:pPr>
      <w:r>
        <w:t xml:space="preserve">p 135 [11] — Rule-of-law reinforcement (Dicey: the strict remedial tradition</w:t>
      </w:r>
      <w:r>
        <w:t xml:space="preserve"> </w:t>
      </w:r>
      <w:r>
        <w:t xml:space="preserve">“</w:t>
      </w:r>
      <w:r>
        <w:t xml:space="preserve">curb[s] the arbitrariness of the Crown</w:t>
      </w:r>
      <w:r>
        <w:t xml:space="preserve">”</w:t>
      </w:r>
      <w:r>
        <w:t xml:space="preserve">; Lord Walker in Lumba) and the equality point: only public actors can benefit from Lumba because only officials have authority to detain, so the principle is</w:t>
      </w:r>
      <w:r>
        <w:t xml:space="preserve"> </w:t>
      </w:r>
      <w:r>
        <w:t xml:space="preserve">“</w:t>
      </w:r>
      <w:r>
        <w:t xml:space="preserve">effectively a special protection for government</w:t>
      </w:r>
      <w:r>
        <w:t xml:space="preserve">”</w:t>
      </w:r>
      <w:r>
        <w:t xml:space="preserve">, contrary to Judiciary Act s 64. This mirrors Jagot J at [221]–[222] (a good-faith defence would protect precisely those</w:t>
      </w:r>
      <w:r>
        <w:t xml:space="preserve"> </w:t>
      </w:r>
      <w:r>
        <w:t xml:space="preserve">“</w:t>
      </w:r>
      <w:r>
        <w:t xml:space="preserve">empowered by statute to interfere with the liberty of the individual</w:t>
      </w:r>
      <w:r>
        <w:t xml:space="preserve">”</w:t>
      </w:r>
      <w:r>
        <w:t xml:space="preserve">) and [223]–[227] (s 64 tension) — the same structural objection, moved from liability to damages. I will use the parallel explicitly.</w:t>
      </w:r>
    </w:p>
    <w:p>
      <w:pPr>
        <w:numPr>
          <w:ilvl w:val="1"/>
          <w:numId w:val="1005"/>
        </w:numPr>
        <w:pStyle w:val="Compact"/>
      </w:pPr>
      <w:r>
        <w:t xml:space="preserve">p 137 [12] — On a but-for approach the court would have to</w:t>
      </w:r>
      <w:r>
        <w:t xml:space="preserve"> </w:t>
      </w:r>
      <w:r>
        <w:t xml:space="preserve">“</w:t>
      </w:r>
      <w:r>
        <w:t xml:space="preserve">stand in the shoes of an executive officer</w:t>
      </w:r>
      <w:r>
        <w:t xml:space="preserve">”</w:t>
      </w:r>
      <w:r>
        <w:t xml:space="preserve"> </w:t>
      </w:r>
      <w:r>
        <w:t xml:space="preserve">and ask how the power would have been exercised; Varuhas doubts this</w:t>
      </w:r>
      <w:r>
        <w:t xml:space="preserve"> </w:t>
      </w:r>
      <w:r>
        <w:t xml:space="preserve">“</w:t>
      </w:r>
      <w:r>
        <w:t xml:space="preserve">can be squared with the constitutional separation of powers</w:t>
      </w:r>
      <w:r>
        <w:t xml:space="preserve">”</w:t>
      </w:r>
      <w:r>
        <w:t xml:space="preserve">, and objects to an</w:t>
      </w:r>
      <w:r>
        <w:t xml:space="preserve"> </w:t>
      </w:r>
      <w:r>
        <w:t xml:space="preserve">“</w:t>
      </w:r>
      <w:r>
        <w:t xml:space="preserve">irrebuttable presumption of legality in favour of defendants</w:t>
      </w:r>
      <w:r>
        <w:t xml:space="preserve">”</w:t>
      </w:r>
      <w:r>
        <w:t xml:space="preserve">. Complicates Abdel-Hady: the plurality at [36]–[39] and Gordon J at [79]–[84] insist the law was always what NZYQ declared, so the counterfactual</w:t>
      </w:r>
      <w:r>
        <w:t xml:space="preserve"> </w:t>
      </w:r>
      <w:r>
        <w:t xml:space="preserve">“</w:t>
      </w:r>
      <w:r>
        <w:t xml:space="preserve">lawful detention</w:t>
      </w:r>
      <w:r>
        <w:t xml:space="preserve">”</w:t>
      </w:r>
      <w:r>
        <w:t xml:space="preserve"> </w:t>
      </w:r>
      <w:r>
        <w:t xml:space="preserve">for the pre-NZYQ period is legally impossible — which, on Varuhas’s framing, should defeat a Lumba argument in Abdel-Hady’s remitted damages hearing. Worth a sentence in the limits section as an open question.</w:t>
      </w:r>
    </w:p>
    <w:p>
      <w:pPr>
        <w:numPr>
          <w:ilvl w:val="1"/>
          <w:numId w:val="1005"/>
        </w:numPr>
        <w:pStyle w:val="Compact"/>
      </w:pPr>
      <w:r>
        <w:t xml:space="preserve">p 139–40 [13] — Conclusion: the Lumba/Lewis approach</w:t>
      </w:r>
      <w:r>
        <w:t xml:space="preserve"> </w:t>
      </w:r>
      <w:r>
        <w:t xml:space="preserve">“</w:t>
      </w:r>
      <w:r>
        <w:t xml:space="preserve">would meet unlawful imprisonments of months and years with $1 awards</w:t>
      </w:r>
      <w:r>
        <w:t xml:space="preserve">”</w:t>
      </w:r>
      <w:r>
        <w:t xml:space="preserve">; ripple effects across mental health, police, immigration and quarantine detention; if protections are to be downgraded on public-good grounds</w:t>
      </w:r>
      <w:r>
        <w:t xml:space="preserve"> </w:t>
      </w:r>
      <w:r>
        <w:t xml:space="preserve">“</w:t>
      </w:r>
      <w:r>
        <w:t xml:space="preserve">such a decision is properly for democratic institutions</w:t>
      </w:r>
      <w:r>
        <w:t xml:space="preserve">”</w:t>
      </w:r>
      <w:r>
        <w:t xml:space="preserve">. Two uses: (a) the plurality’s</w:t>
      </w:r>
      <w:r>
        <w:t xml:space="preserve"> </w:t>
      </w:r>
      <w:r>
        <w:t xml:space="preserve">“</w:t>
      </w:r>
      <w:r>
        <w:t xml:space="preserve">amelioration by legislation</w:t>
      </w:r>
      <w:r>
        <w:t xml:space="preserve">”</w:t>
      </w:r>
      <w:r>
        <w:t xml:space="preserve"> </w:t>
      </w:r>
      <w:r>
        <w:t xml:space="preserve">at [40]–[41] cuts the other way — Parliament may soften liability, not courts; (b) it reminds me that the remedial gap is a policy choice the High Court made in Lewis, not an inevitability.</w:t>
      </w:r>
    </w:p>
    <w:p>
      <w:pPr>
        <w:numPr>
          <w:ilvl w:val="0"/>
          <w:numId w:val="1004"/>
        </w:numPr>
        <w:pStyle w:val="Compact"/>
      </w:pPr>
      <w:r>
        <w:t xml:space="preserve">Best use in the paper: Primary source for</w:t>
      </w:r>
      <w:r>
        <w:t xml:space="preserve"> </w:t>
      </w:r>
      <w:r>
        <w:rPr>
          <w:bCs/>
          <w:b/>
        </w:rPr>
        <w:t xml:space="preserve">Strength: strict liability/no good-faith defence</w:t>
      </w:r>
      <w:r>
        <w:t xml:space="preserve"> </w:t>
      </w:r>
      <w:r>
        <w:t xml:space="preserve">(notes 3, 4, 8) and for</w:t>
      </w:r>
      <w:r>
        <w:t xml:space="preserve"> </w:t>
      </w:r>
      <w:r>
        <w:rPr>
          <w:bCs/>
          <w:b/>
        </w:rPr>
        <w:t xml:space="preserve">Limit: damages &amp; remedial weakness</w:t>
      </w:r>
      <w:r>
        <w:t xml:space="preserve"> </w:t>
      </w:r>
      <w:r>
        <w:t xml:space="preserve">(notes 2, 9, 10, 13); secondary for</w:t>
      </w:r>
      <w:r>
        <w:t xml:space="preserve"> </w:t>
      </w:r>
      <w:r>
        <w:rPr>
          <w:bCs/>
          <w:b/>
        </w:rPr>
        <w:t xml:space="preserve">Strength: rule of law/Dicey</w:t>
      </w:r>
      <w:r>
        <w:t xml:space="preserve"> </w:t>
      </w:r>
      <w:r>
        <w:t xml:space="preserve">(notes 5, 11). Relates to Varuhas’s OJLS 2014 article (source 2) as the doctrinal application of that theory to Australian false imprisonment, and stands in direct tension with Lewis v ACT (2020) 271 CLR 192 itself, which the essay should read alongside it.</w:t>
      </w:r>
    </w:p>
    <w:p>
      <w:pPr>
        <w:numPr>
          <w:ilvl w:val="0"/>
          <w:numId w:val="1004"/>
        </w:numPr>
        <w:pStyle w:val="Compact"/>
      </w:pPr>
      <w:r>
        <w:t xml:space="preserve">Caveats: The column was written</w:t>
      </w:r>
      <w:r>
        <w:t xml:space="preserve"> </w:t>
      </w:r>
      <w:r>
        <w:rPr>
          <w:iCs/>
          <w:i/>
        </w:rPr>
        <w:t xml:space="preserve">before</w:t>
      </w:r>
      <w:r>
        <w:t xml:space="preserve"> </w:t>
      </w:r>
      <w:r>
        <w:t xml:space="preserve">the High Court decided Lewis; the essay must say the Court did not adopt Varuhas’s normative-damages thesis (the joint approach in Lewis endorsed a counterfactual inquiry, with Edelman J and Gordon J writing separately). All page pinpoints verified against the OJS PDF.</w:t>
      </w:r>
    </w:p>
    <w:p>
      <w:r>
        <w:pict>
          <v:rect style="width:0;height:1.5pt" o:hralign="center" o:hrstd="t" o:hr="t"/>
        </w:pict>
      </w:r>
    </w:p>
    <w:bookmarkEnd w:id="25"/>
    <w:bookmarkStart w:id="26" w:name="X035540fc463180f88d70d18c692399e82516cf5"/>
    <w:p>
      <w:pPr>
        <w:pStyle w:val="Heading3"/>
      </w:pPr>
      <w:r>
        <w:t xml:space="preserve">2. Jason N E Varuhas,</w:t>
      </w:r>
      <w:r>
        <w:t xml:space="preserve"> </w:t>
      </w:r>
      <w:r>
        <w:t xml:space="preserve">‘</w:t>
      </w:r>
      <w:r>
        <w:t xml:space="preserve">The Concept of</w:t>
      </w:r>
      <w:r>
        <w:t xml:space="preserve"> </w:t>
      </w:r>
      <w:r>
        <w:t xml:space="preserve">“</w:t>
      </w:r>
      <w:r>
        <w:t xml:space="preserve">Vindication</w:t>
      </w:r>
      <w:r>
        <w:t xml:space="preserve">”</w:t>
      </w:r>
      <w:r>
        <w:t xml:space="preserve"> </w:t>
      </w:r>
      <w:r>
        <w:t xml:space="preserve">in the Law of Torts: Rights, Interests and Damages</w:t>
      </w:r>
      <w:r>
        <w:t xml:space="preserve">’</w:t>
      </w:r>
      <w:r>
        <w:t xml:space="preserve"> </w:t>
      </w:r>
      <w:r>
        <w:t xml:space="preserve">(2014) 34(2) Oxford Journal of Legal Studies 253</w:t>
      </w:r>
    </w:p>
    <w:p>
      <w:pPr>
        <w:numPr>
          <w:ilvl w:val="0"/>
          <w:numId w:val="1006"/>
        </w:numPr>
        <w:pStyle w:val="Compact"/>
      </w:pPr>
      <w:r>
        <w:t xml:space="preserve">Access: OUP (paywalled) — https://academic.oup.com/ojls/article/34/2/253/1448858 (DOI 10.1093/ojls/gqt036; pages 253–293). Preprint: University of Cambridge Faculty of Law Research Paper No 45/2013, SSRN abstract 2343171 (46 pp; preprint pagination differs from OJLS).</w:t>
      </w:r>
      <w:r>
        <w:t xml:space="preserve"> </w:t>
      </w:r>
      <w:r>
        <w:rPr>
          <w:bCs/>
          <w:b/>
        </w:rPr>
        <w:t xml:space="preserve">Only the abstract was read.</w:t>
      </w:r>
      <w:r>
        <w:t xml:space="preserve"> </w:t>
      </w:r>
      <w:r>
        <w:t xml:space="preserve">Both the OUP PDF and the SSRN Delivery.cfm PDF returned HTTP 403 from every route available to me (cloud sandbox, the user’s device connector, and a browser-header retry); ResearchGate and Semantic Scholar rate-limited. Pinpoints below are therefore by section heading, except three OJLS page ranges that Varuhas himself cites for this article in the Lewis column (SLR 2020, nn 8, 11, 30) — those are marked as</w:t>
      </w:r>
      <w:r>
        <w:t xml:space="preserve"> </w:t>
      </w:r>
      <w:r>
        <w:t xml:space="preserve">“</w:t>
      </w:r>
      <w:r>
        <w:t xml:space="preserve">cross-cited</w:t>
      </w:r>
      <w:r>
        <w:t xml:space="preserve">”</w:t>
      </w:r>
      <w:r>
        <w:t xml:space="preserve">. Everything else is</w:t>
      </w:r>
      <w:r>
        <w:t xml:space="preserve"> </w:t>
      </w:r>
      <w:r>
        <w:t xml:space="preserve">“</w:t>
      </w:r>
      <w:r>
        <w:t xml:space="preserve">[p ? — confirm]</w:t>
      </w:r>
      <w:r>
        <w:t xml:space="preserve">”</w:t>
      </w:r>
      <w:r>
        <w:t xml:space="preserve">. The student must open the OJLS PDF via the Macquarie Library and re-anchor each note by page.</w:t>
      </w:r>
    </w:p>
    <w:p>
      <w:pPr>
        <w:numPr>
          <w:ilvl w:val="0"/>
          <w:numId w:val="1006"/>
        </w:numPr>
        <w:pStyle w:val="Compact"/>
      </w:pPr>
      <w:r>
        <w:t xml:space="preserve">What it argues (from the abstract and from Varuhas’s own summary of it in the 2020 column): Vindication is a distinct function of tort law —</w:t>
      </w:r>
      <w:r>
        <w:t xml:space="preserve"> </w:t>
      </w:r>
      <w:r>
        <w:t xml:space="preserve">“</w:t>
      </w:r>
      <w:r>
        <w:t xml:space="preserve">attesting to, affirming and reinforcing the importance</w:t>
      </w:r>
      <w:r>
        <w:t xml:space="preserve">”</w:t>
      </w:r>
      <w:r>
        <w:t xml:space="preserve"> </w:t>
      </w:r>
      <w:r>
        <w:t xml:space="preserve">of protected interests and their inherent value — which explains features that compensation and punishment cannot: why some torts are actionable per se, why their liability is strict, why their defences are construed narrowly, and why damages differ from tort to tort. Torts actionable per se (false imprisonment, trespass, battery, defamation) are the paradigm</w:t>
      </w:r>
      <w:r>
        <w:t xml:space="preserve"> </w:t>
      </w:r>
      <w:r>
        <w:t xml:space="preserve">“</w:t>
      </w:r>
      <w:r>
        <w:t xml:space="preserve">vindicatory</w:t>
      </w:r>
      <w:r>
        <w:t xml:space="preserve">”</w:t>
      </w:r>
      <w:r>
        <w:t xml:space="preserve"> </w:t>
      </w:r>
      <w:r>
        <w:t xml:space="preserve">torts. For these, compensatory damages are available for the wrongful interference with the protected interest</w:t>
      </w:r>
      <w:r>
        <w:t xml:space="preserve"> </w:t>
      </w:r>
      <w:r>
        <w:t xml:space="preserve">“</w:t>
      </w:r>
      <w:r>
        <w:t xml:space="preserve">in and of itself</w:t>
      </w:r>
      <w:r>
        <w:t xml:space="preserve">”</w:t>
      </w:r>
      <w:r>
        <w:t xml:space="preserve">; the loss is</w:t>
      </w:r>
      <w:r>
        <w:t xml:space="preserve"> </w:t>
      </w:r>
      <w:r>
        <w:t xml:space="preserve">“</w:t>
      </w:r>
      <w:r>
        <w:t xml:space="preserve">normative</w:t>
      </w:r>
      <w:r>
        <w:t xml:space="preserve">”</w:t>
      </w:r>
      <w:r>
        <w:t xml:space="preserve">, assessed objectively, and awarded whether or not the claimant suffers any psychological, physical or economic effect. The article then separates this from non-compensatory awards, including the novel head of</w:t>
      </w:r>
      <w:r>
        <w:t xml:space="preserve"> </w:t>
      </w:r>
      <w:r>
        <w:t xml:space="preserve">“</w:t>
      </w:r>
      <w:r>
        <w:t xml:space="preserve">vindicatory damages</w:t>
      </w:r>
      <w:r>
        <w:t xml:space="preserve">”</w:t>
      </w:r>
      <w:r>
        <w:t xml:space="preserve"> </w:t>
      </w:r>
      <w:r>
        <w:t xml:space="preserve">(Ramanoop; the Lumba minority), which it treats as unnecessary if normative compensatory damages are properly understood.</w:t>
      </w:r>
    </w:p>
    <w:p>
      <w:pPr>
        <w:numPr>
          <w:ilvl w:val="0"/>
          <w:numId w:val="1006"/>
        </w:numPr>
        <w:pStyle w:val="Compact"/>
      </w:pPr>
      <w:r>
        <w:t xml:space="preserve">Why it survived screening: It supplies the theory behind the language the High Court uses in Abdel-Hady —</w:t>
      </w:r>
      <w:r>
        <w:t xml:space="preserve"> </w:t>
      </w:r>
      <w:r>
        <w:t xml:space="preserve">“</w:t>
      </w:r>
      <w:r>
        <w:t xml:space="preserve">vindication of liberty and reparation to the victim, rather than … moral wrongdoing</w:t>
      </w:r>
      <w:r>
        <w:t xml:space="preserve">”</w:t>
      </w:r>
      <w:r>
        <w:t xml:space="preserve"> </w:t>
      </w:r>
      <w:r>
        <w:t xml:space="preserve">(Gordon J at [98]–[99]); strict liability</w:t>
      </w:r>
      <w:r>
        <w:t xml:space="preserve"> </w:t>
      </w:r>
      <w:r>
        <w:t xml:space="preserve">“</w:t>
      </w:r>
      <w:r>
        <w:t xml:space="preserve">no matter how honest … and no matter how reasonable</w:t>
      </w:r>
      <w:r>
        <w:t xml:space="preserve">”</w:t>
      </w:r>
      <w:r>
        <w:t xml:space="preserve"> </w:t>
      </w:r>
      <w:r>
        <w:t xml:space="preserve">(Edelman J at [120]). It is the most-cited academic account of why a good-faith defence is alien to a trespassory tort, and it lets me explain the</w:t>
      </w:r>
      <w:r>
        <w:t xml:space="preserve"> </w:t>
      </w:r>
      <w:r>
        <w:t xml:space="preserve">“</w:t>
      </w:r>
      <w:r>
        <w:t xml:space="preserve">strength</w:t>
      </w:r>
      <w:r>
        <w:t xml:space="preserve">”</w:t>
      </w:r>
      <w:r>
        <w:t xml:space="preserve"> </w:t>
      </w:r>
      <w:r>
        <w:t xml:space="preserve">as a structural feature rather than a slogan. Its damages thesis also frames the remedial limit.</w:t>
      </w:r>
    </w:p>
    <w:p>
      <w:pPr>
        <w:numPr>
          <w:ilvl w:val="0"/>
          <w:numId w:val="1006"/>
        </w:numPr>
        <w:pStyle w:val="Compact"/>
      </w:pPr>
      <w:r>
        <w:t xml:space="preserve">Annotations (by section; OJLS page unconfirmed unless stated):</w:t>
      </w:r>
    </w:p>
    <w:p>
      <w:pPr>
        <w:numPr>
          <w:ilvl w:val="1"/>
          <w:numId w:val="1007"/>
        </w:numPr>
        <w:pStyle w:val="Compact"/>
      </w:pPr>
      <w:r>
        <w:t xml:space="preserve">Abstract / Introduction [p ? — confirm] [1] — Varuhas’s thesis is that vindication explains</w:t>
      </w:r>
      <w:r>
        <w:t xml:space="preserve"> </w:t>
      </w:r>
      <w:r>
        <w:t xml:space="preserve">“</w:t>
      </w:r>
      <w:r>
        <w:t xml:space="preserve">variations in the structure of different torts</w:t>
      </w:r>
      <w:r>
        <w:t xml:space="preserve">”</w:t>
      </w:r>
      <w:r>
        <w:t xml:space="preserve"> </w:t>
      </w:r>
      <w:r>
        <w:t xml:space="preserve">not explicable by compensation or punishment. I will use this to say that Abdel-Hady’s refusal of a good-faith defence is not an ad hoc policy choice but the structure of a vindicatory tort working as designed (plurality at [32]–[35]: justification must be found in common law or clear statute).</w:t>
      </w:r>
    </w:p>
    <w:p>
      <w:pPr>
        <w:numPr>
          <w:ilvl w:val="1"/>
          <w:numId w:val="1007"/>
        </w:numPr>
        <w:pStyle w:val="Compact"/>
      </w:pPr>
      <w:r>
        <w:t xml:space="preserve">Part on the concept of vindication (affirming the importance and inherent value of protected interests) [p ? — confirm] [2] — Vindication is about affirming a</w:t>
      </w:r>
      <w:r>
        <w:t xml:space="preserve"> </w:t>
      </w:r>
      <w:r>
        <w:t xml:space="preserve">“</w:t>
      </w:r>
      <w:r>
        <w:t xml:space="preserve">hierarchy of legally-protected interests</w:t>
      </w:r>
      <w:r>
        <w:t xml:space="preserve">”</w:t>
      </w:r>
      <w:r>
        <w:t xml:space="preserve"> </w:t>
      </w:r>
      <w:r>
        <w:t xml:space="preserve">in which liberty ranks at the top. Links to Gordon J’s description of false imprisonment as a</w:t>
      </w:r>
      <w:r>
        <w:t xml:space="preserve"> </w:t>
      </w:r>
      <w:r>
        <w:t xml:space="preserve">“</w:t>
      </w:r>
      <w:r>
        <w:t xml:space="preserve">constitutional safeguard</w:t>
      </w:r>
      <w:r>
        <w:t xml:space="preserve">”</w:t>
      </w:r>
      <w:r>
        <w:t xml:space="preserve"> </w:t>
      </w:r>
      <w:r>
        <w:t xml:space="preserve">at [96] and Trobridge v Hardy at [97]; useful to explain why the tort’s response to state detention is categorical rather than balanced.</w:t>
      </w:r>
    </w:p>
    <w:p>
      <w:pPr>
        <w:numPr>
          <w:ilvl w:val="1"/>
          <w:numId w:val="1007"/>
        </w:numPr>
        <w:pStyle w:val="Compact"/>
      </w:pPr>
      <w:r>
        <w:t xml:space="preserve">Part on the features of vindicatory torts — actionability per se, strict liability, strict construction of defences: OJLS 261–7 (cross-cited in SLR 2020 n 11) [3] — Strict liability and narrow construction of justification are presented as design features that maximise protection of the interest. This is the academic basis for the plurality at [35] (statutory authority to commit a tort must be</w:t>
      </w:r>
      <w:r>
        <w:t xml:space="preserve"> </w:t>
      </w:r>
      <w:r>
        <w:t xml:space="preserve">“</w:t>
      </w:r>
      <w:r>
        <w:t xml:space="preserve">clearly expressed</w:t>
      </w:r>
      <w:r>
        <w:t xml:space="preserve">”</w:t>
      </w:r>
      <w:r>
        <w:t xml:space="preserve">) and Steward J at [184]–[186] (being</w:t>
      </w:r>
      <w:r>
        <w:t xml:space="preserve"> </w:t>
      </w:r>
      <w:r>
        <w:t xml:space="preserve">“</w:t>
      </w:r>
      <w:r>
        <w:t xml:space="preserve">merely thought to be lawfully detained</w:t>
      </w:r>
      <w:r>
        <w:t xml:space="preserve">”</w:t>
      </w:r>
      <w:r>
        <w:t xml:space="preserve"> </w:t>
      </w:r>
      <w:r>
        <w:t xml:space="preserve">is no justification). I will cite this range for the proposition that the good-faith defence would have inverted the tort’s architecture.</w:t>
      </w:r>
    </w:p>
    <w:p>
      <w:pPr>
        <w:numPr>
          <w:ilvl w:val="1"/>
          <w:numId w:val="1007"/>
        </w:numPr>
        <w:pStyle w:val="Compact"/>
      </w:pPr>
      <w:r>
        <w:t xml:space="preserve">Same part — the equality dimension [p ? — confirm] [4] — The same tort applies to official and citizen alike, which is what makes trespassory torts</w:t>
      </w:r>
      <w:r>
        <w:t xml:space="preserve"> </w:t>
      </w:r>
      <w:r>
        <w:t xml:space="preserve">“</w:t>
      </w:r>
      <w:r>
        <w:t xml:space="preserve">constitutional</w:t>
      </w:r>
      <w:r>
        <w:t xml:space="preserve">”</w:t>
      </w:r>
      <w:r>
        <w:t xml:space="preserve">. I would pair with Edelman J at [122] (Dicey) and Jagot J at [221]–[222]; but note the limit: equality also means the tort has no special sensitivity to the</w:t>
      </w:r>
      <w:r>
        <w:t xml:space="preserve"> </w:t>
      </w:r>
      <w:r>
        <w:rPr>
          <w:iCs/>
          <w:i/>
        </w:rPr>
        <w:t xml:space="preserve">state</w:t>
      </w:r>
      <w:r>
        <w:t xml:space="preserve"> </w:t>
      </w:r>
      <w:r>
        <w:t xml:space="preserve">as defendant, so it cannot supply positive human-rights obligations (this is the gap Joseph &amp; Kyriakakis identify — source 3).</w:t>
      </w:r>
    </w:p>
    <w:p>
      <w:pPr>
        <w:numPr>
          <w:ilvl w:val="1"/>
          <w:numId w:val="1007"/>
        </w:numPr>
        <w:pStyle w:val="Compact"/>
      </w:pPr>
      <w:r>
        <w:t xml:space="preserve">Part on compensatory damages — the</w:t>
      </w:r>
      <w:r>
        <w:t xml:space="preserve"> </w:t>
      </w:r>
      <w:r>
        <w:t xml:space="preserve">“</w:t>
      </w:r>
      <w:r>
        <w:t xml:space="preserve">normative damage</w:t>
      </w:r>
      <w:r>
        <w:t xml:space="preserve">”</w:t>
      </w:r>
      <w:r>
        <w:t xml:space="preserve"> </w:t>
      </w:r>
      <w:r>
        <w:t xml:space="preserve">thesis: OJLS 271ff (cross-cited in SLR 2020 n 8) [5] — Damages for the interference</w:t>
      </w:r>
      <w:r>
        <w:t xml:space="preserve"> </w:t>
      </w:r>
      <w:r>
        <w:t xml:space="preserve">“</w:t>
      </w:r>
      <w:r>
        <w:t xml:space="preserve">in and of itself</w:t>
      </w:r>
      <w:r>
        <w:t xml:space="preserve">”</w:t>
      </w:r>
      <w:r>
        <w:t xml:space="preserve">, assessed objectively, irrespective of factual consequences. This is the remedial corollary of strict liability; Abdel-Hady decides only the liability half. I will argue that unless quantum follows this model, the</w:t>
      </w:r>
      <w:r>
        <w:t xml:space="preserve"> </w:t>
      </w:r>
      <w:r>
        <w:t xml:space="preserve">“</w:t>
      </w:r>
      <w:r>
        <w:t xml:space="preserve">constitutional safeguard</w:t>
      </w:r>
      <w:r>
        <w:t xml:space="preserve">”</w:t>
      </w:r>
      <w:r>
        <w:t xml:space="preserve"> </w:t>
      </w:r>
      <w:r>
        <w:t xml:space="preserve">language at [96] risks being rhetorical for the NZYQ cohort — and Lewis (2020) suggests the High Court has not fully embraced the model.</w:t>
      </w:r>
    </w:p>
    <w:p>
      <w:pPr>
        <w:numPr>
          <w:ilvl w:val="1"/>
          <w:numId w:val="1007"/>
        </w:numPr>
        <w:pStyle w:val="Compact"/>
      </w:pPr>
      <w:r>
        <w:t xml:space="preserve">Same part — objective assessment and quantification by degree of interference [p ? — confirm] [6] — Quantum varies with the extent of interference (duration, conditions), not with the claimant’s subjective distress. For Abdel-Hady (about 470 days unauthorised; medically unfit to fly, so no prospect of removal) this would generate a substantial award; on a Lumba/Fernando approach it may be $1. Cite to show what is at stake in the open quantum question.</w:t>
      </w:r>
    </w:p>
    <w:p>
      <w:pPr>
        <w:numPr>
          <w:ilvl w:val="1"/>
          <w:numId w:val="1007"/>
        </w:numPr>
        <w:pStyle w:val="Compact"/>
      </w:pPr>
      <w:r>
        <w:t xml:space="preserve">Part on user damages / property analogies: OJLS 284–9 (cross-cited in SLR 2020 n 30) [7] — Property torts award damages for wrongful use regardless of whether the owner would have used the asset. I will use this only as a foil: if land gets this protection, denying it to liberty is incoherent (Varuhas 2020, 135; Edelman J in Smethurst). One sentence in the damages-limit paragraph.</w:t>
      </w:r>
    </w:p>
    <w:p>
      <w:pPr>
        <w:numPr>
          <w:ilvl w:val="1"/>
          <w:numId w:val="1007"/>
        </w:numPr>
        <w:pStyle w:val="Compact"/>
      </w:pPr>
      <w:r>
        <w:t xml:space="preserve">Part on non-compensatory damages —</w:t>
      </w:r>
      <w:r>
        <w:t xml:space="preserve"> </w:t>
      </w:r>
      <w:r>
        <w:t xml:space="preserve">“</w:t>
      </w:r>
      <w:r>
        <w:t xml:space="preserve">vindicatory damages</w:t>
      </w:r>
      <w:r>
        <w:t xml:space="preserve">”</w:t>
      </w:r>
      <w:r>
        <w:t xml:space="preserve"> </w:t>
      </w:r>
      <w:r>
        <w:t xml:space="preserve">(Ramanoop; Lumba minority) [p ? — confirm] [8] — Varuhas treats a separate head of</w:t>
      </w:r>
      <w:r>
        <w:t xml:space="preserve"> </w:t>
      </w:r>
      <w:r>
        <w:t xml:space="preserve">“</w:t>
      </w:r>
      <w:r>
        <w:t xml:space="preserve">vindicatory damages</w:t>
      </w:r>
      <w:r>
        <w:t xml:space="preserve">”</w:t>
      </w:r>
      <w:r>
        <w:t xml:space="preserve"> </w:t>
      </w:r>
      <w:r>
        <w:t xml:space="preserve">as a gap-filler that is needed only because courts have wrongly denied normative compensatory damages. Relevant to whether Australian courts could plug the Lewis gap with a new head; his answer is that it would be a second deviation to fix the first. Useful for a balanced</w:t>
      </w:r>
      <w:r>
        <w:t xml:space="preserve"> </w:t>
      </w:r>
      <w:r>
        <w:t xml:space="preserve">“</w:t>
      </w:r>
      <w:r>
        <w:t xml:space="preserve">what could be done</w:t>
      </w:r>
      <w:r>
        <w:t xml:space="preserve">”</w:t>
      </w:r>
      <w:r>
        <w:t xml:space="preserve"> </w:t>
      </w:r>
      <w:r>
        <w:t xml:space="preserve">sentence.</w:t>
      </w:r>
    </w:p>
    <w:p>
      <w:pPr>
        <w:numPr>
          <w:ilvl w:val="1"/>
          <w:numId w:val="1007"/>
        </w:numPr>
        <w:pStyle w:val="Compact"/>
      </w:pPr>
      <w:r>
        <w:t xml:space="preserve">Conclusion [p ? — confirm] [9] — The vindicatory account is offered as descriptive of English (and by extension Australian) common law, not as reform. This lets me present Abdel-Hady as orthodox rather than novel — which is exactly the plurality’s framing at [7] and [34] (the</w:t>
      </w:r>
      <w:r>
        <w:t xml:space="preserve"> </w:t>
      </w:r>
      <w:r>
        <w:rPr>
          <w:iCs/>
          <w:i/>
        </w:rPr>
        <w:t xml:space="preserve">defence</w:t>
      </w:r>
      <w:r>
        <w:t xml:space="preserve"> </w:t>
      </w:r>
      <w:r>
        <w:t xml:space="preserve">was the novelty,</w:t>
      </w:r>
      <w:r>
        <w:t xml:space="preserve"> </w:t>
      </w:r>
      <w:r>
        <w:t xml:space="preserve">“</w:t>
      </w:r>
      <w:r>
        <w:t xml:space="preserve">an inversion, if not a perversion</w:t>
      </w:r>
      <w:r>
        <w:t xml:space="preserve">”</w:t>
      </w:r>
      <w:r>
        <w:t xml:space="preserve">).</w:t>
      </w:r>
    </w:p>
    <w:p>
      <w:pPr>
        <w:numPr>
          <w:ilvl w:val="0"/>
          <w:numId w:val="1006"/>
        </w:numPr>
        <w:pStyle w:val="Compact"/>
      </w:pPr>
      <w:r>
        <w:t xml:space="preserve">Best use in the paper:</w:t>
      </w:r>
      <w:r>
        <w:t xml:space="preserve"> </w:t>
      </w:r>
      <w:r>
        <w:rPr>
          <w:bCs/>
          <w:b/>
        </w:rPr>
        <w:t xml:space="preserve">Strength: strict liability/no good-faith defence</w:t>
      </w:r>
      <w:r>
        <w:t xml:space="preserve"> </w:t>
      </w:r>
      <w:r>
        <w:t xml:space="preserve">(notes 1, 3, 9) and</w:t>
      </w:r>
      <w:r>
        <w:t xml:space="preserve"> </w:t>
      </w:r>
      <w:r>
        <w:rPr>
          <w:bCs/>
          <w:b/>
        </w:rPr>
        <w:t xml:space="preserve">Strength: rule of law/Dicey</w:t>
      </w:r>
      <w:r>
        <w:t xml:space="preserve"> </w:t>
      </w:r>
      <w:r>
        <w:t xml:space="preserve">(notes 2, 4); supporting</w:t>
      </w:r>
      <w:r>
        <w:t xml:space="preserve"> </w:t>
      </w:r>
      <w:r>
        <w:rPr>
          <w:bCs/>
          <w:b/>
        </w:rPr>
        <w:t xml:space="preserve">Limit: damages &amp; remedial weakness</w:t>
      </w:r>
      <w:r>
        <w:t xml:space="preserve"> </w:t>
      </w:r>
      <w:r>
        <w:t xml:space="preserve">(notes 5–8). Relates to source 1 as its theoretical foundation; contrast with Nolan (source 4), who accepts the</w:t>
      </w:r>
      <w:r>
        <w:t xml:space="preserve"> </w:t>
      </w:r>
      <w:r>
        <w:t xml:space="preserve">“</w:t>
      </w:r>
      <w:r>
        <w:t xml:space="preserve">constitutional</w:t>
      </w:r>
      <w:r>
        <w:t xml:space="preserve">”</w:t>
      </w:r>
      <w:r>
        <w:t xml:space="preserve"> </w:t>
      </w:r>
      <w:r>
        <w:t xml:space="preserve">role of false imprisonment but classifies it as ordinary private law with</w:t>
      </w:r>
      <w:r>
        <w:t xml:space="preserve"> </w:t>
      </w:r>
      <w:r>
        <w:t xml:space="preserve">“</w:t>
      </w:r>
      <w:r>
        <w:t xml:space="preserve">nothing distinctively public about</w:t>
      </w:r>
      <w:r>
        <w:t xml:space="preserve">”</w:t>
      </w:r>
      <w:r>
        <w:t xml:space="preserve"> </w:t>
      </w:r>
      <w:r>
        <w:t xml:space="preserve">it.</w:t>
      </w:r>
    </w:p>
    <w:p>
      <w:pPr>
        <w:numPr>
          <w:ilvl w:val="0"/>
          <w:numId w:val="1006"/>
        </w:numPr>
        <w:pStyle w:val="Compact"/>
      </w:pPr>
      <w:r>
        <w:t xml:space="preserve">Caveats: Full text not read; section titles are reconstructed from the abstract and from Varuhas’s own cross-references and may not match the printed headings exactly. Only the three cross-cited page ranges (261–7, 271ff, 284–9) are reliable OJLS pinpoints. If the student can only obtain the SSRN preprint, the notes must be re-anchored to preprint pages and the footnote should say</w:t>
      </w:r>
      <w:r>
        <w:t xml:space="preserve"> </w:t>
      </w:r>
      <w:r>
        <w:t xml:space="preserve">“</w:t>
      </w:r>
      <w:r>
        <w:t xml:space="preserve">(SSRN preprint pagination)</w:t>
      </w:r>
      <w:r>
        <w:t xml:space="preserve">”</w:t>
      </w:r>
      <w:r>
        <w:t xml:space="preserve">.</w:t>
      </w:r>
    </w:p>
    <w:p>
      <w:r>
        <w:pict>
          <v:rect style="width:0;height:1.5pt" o:hralign="center" o:hrstd="t" o:hr="t"/>
        </w:pict>
      </w:r>
    </w:p>
    <w:bookmarkEnd w:id="26"/>
    <w:bookmarkStart w:id="27" w:name="X5dfa0b93e8dac57af5c0c89187dfddab941ac5c"/>
    <w:p>
      <w:pPr>
        <w:pStyle w:val="Heading3"/>
      </w:pPr>
      <w:r>
        <w:t xml:space="preserve">3. Sarah Joseph and Joanna Kyriakakis,</w:t>
      </w:r>
      <w:r>
        <w:t xml:space="preserve"> </w:t>
      </w:r>
      <w:r>
        <w:t xml:space="preserve">‘</w:t>
      </w:r>
      <w:r>
        <w:t xml:space="preserve">Australia: Tort Law Filling a Human Rights Void</w:t>
      </w:r>
      <w:r>
        <w:t xml:space="preserve">’</w:t>
      </w:r>
      <w:r>
        <w:t xml:space="preserve"> </w:t>
      </w:r>
      <w:r>
        <w:t xml:space="preserve">in Ekaterina Aristova and Uglješa Grušić (eds), Civil Remedies and Human Rights in Flux: Key Legal Developments in Selected Jurisdictions (Hart Publishing, 2022) 43</w:t>
      </w:r>
    </w:p>
    <w:p>
      <w:pPr>
        <w:numPr>
          <w:ilvl w:val="0"/>
          <w:numId w:val="1008"/>
        </w:numPr>
        <w:pStyle w:val="Compact"/>
      </w:pPr>
      <w:r>
        <w:t xml:space="preserve">Access: Bloomsbury Collections (paywalled; chapter pp 43–65, confirmed on the Monash research portal https://research.monash.edu/en/publications/australia-tort-law-filling-a-human-rights-void/). A pre-publication version is on SSRN (abstract 4218513, 24 pp, posted 19 Sept 2022, titled</w:t>
      </w:r>
      <w:r>
        <w:t xml:space="preserve"> </w:t>
      </w:r>
      <w:r>
        <w:t xml:space="preserve">“</w:t>
      </w:r>
      <w:r>
        <w:t xml:space="preserve">…Filling</w:t>
      </w:r>
      <w:r>
        <w:t xml:space="preserve"> </w:t>
      </w:r>
      <w:r>
        <w:rPr>
          <w:iCs/>
          <w:i/>
        </w:rPr>
        <w:t xml:space="preserve">the</w:t>
      </w:r>
      <w:r>
        <w:t xml:space="preserve"> </w:t>
      </w:r>
      <w:r>
        <w:t xml:space="preserve">Human Rights Void</w:t>
      </w:r>
      <w:r>
        <w:t xml:space="preserve">”</w:t>
      </w:r>
      <w:r>
        <w:t xml:space="preserve">).</w:t>
      </w:r>
      <w:r>
        <w:t xml:space="preserve"> </w:t>
      </w:r>
      <w:r>
        <w:rPr>
          <w:bCs/>
          <w:b/>
        </w:rPr>
        <w:t xml:space="preserve">Only the abstracts (Monash and SSRN) and the book’s table of contents/description were read.</w:t>
      </w:r>
      <w:r>
        <w:t xml:space="preserve"> </w:t>
      </w:r>
      <w:r>
        <w:t xml:space="preserve">Bloomsbury Collections returned a 404/login page, SSRN’s PDF returned 403 from every route, Google Books preview is robots-blocked, and no Monash/Griffith repository copy could be found. Annotations are by section, inferred from the abstracts and from the volume’s common template (every country chapter covers (1) assault/unlawful arrest and detention, (2) environmental harm, (3) labour conditions, per the editors’ description). All pinpoints are</w:t>
      </w:r>
      <w:r>
        <w:t xml:space="preserve"> </w:t>
      </w:r>
      <w:r>
        <w:t xml:space="preserve">“</w:t>
      </w:r>
      <w:r>
        <w:t xml:space="preserve">[p ? — confirm]</w:t>
      </w:r>
      <w:r>
        <w:t xml:space="preserve">”</w:t>
      </w:r>
      <w:r>
        <w:t xml:space="preserve">.</w:t>
      </w:r>
    </w:p>
    <w:p>
      <w:pPr>
        <w:numPr>
          <w:ilvl w:val="0"/>
          <w:numId w:val="1008"/>
        </w:numPr>
        <w:pStyle w:val="Compact"/>
      </w:pPr>
      <w:r>
        <w:t xml:space="preserve">What it argues (from the abstracts): Tort law offers</w:t>
      </w:r>
      <w:r>
        <w:t xml:space="preserve"> </w:t>
      </w:r>
      <w:r>
        <w:t xml:space="preserve">“</w:t>
      </w:r>
      <w:r>
        <w:t xml:space="preserve">real prospects</w:t>
      </w:r>
      <w:r>
        <w:t xml:space="preserve">”</w:t>
      </w:r>
      <w:r>
        <w:t xml:space="preserve"> </w:t>
      </w:r>
      <w:r>
        <w:t xml:space="preserve">for litigating human-rights claims in Australia,</w:t>
      </w:r>
      <w:r>
        <w:t xml:space="preserve"> </w:t>
      </w:r>
      <w:r>
        <w:t xml:space="preserve">“</w:t>
      </w:r>
      <w:r>
        <w:t xml:space="preserve">especially in the absence of human rights legislation in most Australian jurisdictions</w:t>
      </w:r>
      <w:r>
        <w:t xml:space="preserve">”</w:t>
      </w:r>
      <w:r>
        <w:t xml:space="preserve">. Its basic concern — protecting interests regarded as</w:t>
      </w:r>
      <w:r>
        <w:t xml:space="preserve"> </w:t>
      </w:r>
      <w:r>
        <w:t xml:space="preserve">“</w:t>
      </w:r>
      <w:r>
        <w:t xml:space="preserve">inviolable or fundamental to social order</w:t>
      </w:r>
      <w:r>
        <w:t xml:space="preserve">”</w:t>
      </w:r>
      <w:r>
        <w:t xml:space="preserve"> </w:t>
      </w:r>
      <w:r>
        <w:t xml:space="preserve">— overlaps heavily with civil and political rights. Yet human-rights tort litigation in Australia is limited, which the authors attribute to procedural obstacles and to weak litigation and human-rights cultures rather than to doctrinal incapacity. The chapter surveys the torts most relevant to rights violations (trespass to the person and false imprisonment for detention; negligence for conditions of detention and for environmental/labour harm) and develops two case studies: the medical treatment of detained asylum-seekers (the offshore-processing duty-of-care litigation) and workplace asbestos exposure including parent-company liability. The title carries the thesis: tort fills a</w:t>
      </w:r>
      <w:r>
        <w:t xml:space="preserve"> </w:t>
      </w:r>
      <w:r>
        <w:t xml:space="preserve">“</w:t>
      </w:r>
      <w:r>
        <w:t xml:space="preserve">void</w:t>
      </w:r>
      <w:r>
        <w:t xml:space="preserve">”</w:t>
      </w:r>
      <w:r>
        <w:t xml:space="preserve"> </w:t>
      </w:r>
      <w:r>
        <w:t xml:space="preserve">left by the absence of a national charter, but a filler is not a substitute.</w:t>
      </w:r>
    </w:p>
    <w:p>
      <w:pPr>
        <w:numPr>
          <w:ilvl w:val="0"/>
          <w:numId w:val="1008"/>
        </w:numPr>
        <w:pStyle w:val="Compact"/>
      </w:pPr>
      <w:r>
        <w:t xml:space="preserve">Why it survived screening: It is the only source in the set that frames the essay question directly — Australia’s lack of a bill of rights and tort as the fallback — and it is written by human-rights scholars rather than private-law theorists, so it supplies the</w:t>
      </w:r>
      <w:r>
        <w:t xml:space="preserve"> </w:t>
      </w:r>
      <w:r>
        <w:t xml:space="preserve">“</w:t>
      </w:r>
      <w:r>
        <w:t xml:space="preserve">what tort cannot do</w:t>
      </w:r>
      <w:r>
        <w:t xml:space="preserve">”</w:t>
      </w:r>
      <w:r>
        <w:t xml:space="preserve"> </w:t>
      </w:r>
      <w:r>
        <w:t xml:space="preserve">perspective (positive obligations, systemic harm, access to justice) to set against Varuhas. It also connects Abdel-Hady’s immigration-detention facts to the broader asylum-seeker litigation.</w:t>
      </w:r>
    </w:p>
    <w:p>
      <w:pPr>
        <w:numPr>
          <w:ilvl w:val="0"/>
          <w:numId w:val="1008"/>
        </w:numPr>
        <w:pStyle w:val="Compact"/>
      </w:pPr>
      <w:r>
        <w:t xml:space="preserve">Annotations (all by section; pages unconfirmed):</w:t>
      </w:r>
    </w:p>
    <w:p>
      <w:pPr>
        <w:numPr>
          <w:ilvl w:val="1"/>
          <w:numId w:val="1009"/>
        </w:numPr>
        <w:pStyle w:val="Compact"/>
      </w:pPr>
      <w:r>
        <w:t xml:space="preserve">Introduction —</w:t>
      </w:r>
      <w:r>
        <w:t xml:space="preserve"> </w:t>
      </w:r>
      <w:r>
        <w:t xml:space="preserve">“</w:t>
      </w:r>
      <w:r>
        <w:t xml:space="preserve">human rights void</w:t>
      </w:r>
      <w:r>
        <w:t xml:space="preserve">”</w:t>
      </w:r>
      <w:r>
        <w:t xml:space="preserve"> </w:t>
      </w:r>
      <w:r>
        <w:t xml:space="preserve">framing [p ? — confirm] [1] — The authors start from the absence of federal human-rights legislation and cast tort as the main civil avenue. This is precisely the premise of the essay question and of Gordon J at [57] (effective remedies where the Executive exceeds power); I will use it to open the</w:t>
      </w:r>
      <w:r>
        <w:t xml:space="preserve"> </w:t>
      </w:r>
      <w:r>
        <w:t xml:space="preserve">“</w:t>
      </w:r>
      <w:r>
        <w:t xml:space="preserve">limits</w:t>
      </w:r>
      <w:r>
        <w:t xml:space="preserve">”</w:t>
      </w:r>
      <w:r>
        <w:t xml:space="preserve"> </w:t>
      </w:r>
      <w:r>
        <w:t xml:space="preserve">section: Abdel-Hady is a good result produced by a system that has no other instrument.</w:t>
      </w:r>
    </w:p>
    <w:p>
      <w:pPr>
        <w:numPr>
          <w:ilvl w:val="1"/>
          <w:numId w:val="1009"/>
        </w:numPr>
        <w:pStyle w:val="Compact"/>
      </w:pPr>
      <w:r>
        <w:t xml:space="preserve">Introduction — tort’s</w:t>
      </w:r>
      <w:r>
        <w:t xml:space="preserve"> </w:t>
      </w:r>
      <w:r>
        <w:t xml:space="preserve">“</w:t>
      </w:r>
      <w:r>
        <w:t xml:space="preserve">basic concern</w:t>
      </w:r>
      <w:r>
        <w:t xml:space="preserve">”</w:t>
      </w:r>
      <w:r>
        <w:t xml:space="preserve"> </w:t>
      </w:r>
      <w:r>
        <w:t xml:space="preserve">is protecting interests</w:t>
      </w:r>
      <w:r>
        <w:t xml:space="preserve"> </w:t>
      </w:r>
      <w:r>
        <w:t xml:space="preserve">“</w:t>
      </w:r>
      <w:r>
        <w:t xml:space="preserve">inviolable or fundamental to social order</w:t>
      </w:r>
      <w:r>
        <w:t xml:space="preserve">”</w:t>
      </w:r>
      <w:r>
        <w:t xml:space="preserve"> </w:t>
      </w:r>
      <w:r>
        <w:t xml:space="preserve">[p ? — confirm] [2] — The overlap between tort’s protected interests and civil-political rights is what makes false imprisonment usable as a rights remedy. Pair with Jagot J at [218] (false imprisonment and habeas corpus as</w:t>
      </w:r>
      <w:r>
        <w:t xml:space="preserve"> </w:t>
      </w:r>
      <w:r>
        <w:t xml:space="preserve">“</w:t>
      </w:r>
      <w:r>
        <w:t xml:space="preserve">two powerful common law restraints</w:t>
      </w:r>
      <w:r>
        <w:t xml:space="preserve">”</w:t>
      </w:r>
      <w:r>
        <w:t xml:space="preserve">); but note that the overlap is partial: it covers liberty and bodily integrity, not equality, dignity, family life or humane treatment as such.</w:t>
      </w:r>
    </w:p>
    <w:p>
      <w:pPr>
        <w:numPr>
          <w:ilvl w:val="1"/>
          <w:numId w:val="1009"/>
        </w:numPr>
        <w:pStyle w:val="Compact"/>
      </w:pPr>
      <w:r>
        <w:t xml:space="preserve">Section on assault, unlawful arrest and detention — trespass torts and false imprisonment [p ? — confirm] [3] — The chapter (per the volume template) explains that false imprisonment is strict, needs no fault and puts the burden of justification on the detainer. I will cite it as an independent human-rights-scholar endorsement of the strength Abdel-Hady confirms ([16]–[17] concession of the elements; [120] Edelman J), and then use the authors’ emphasis on</w:t>
      </w:r>
      <w:r>
        <w:t xml:space="preserve"> </w:t>
      </w:r>
      <w:r>
        <w:rPr>
          <w:iCs/>
          <w:i/>
        </w:rPr>
        <w:t xml:space="preserve">lawful</w:t>
      </w:r>
      <w:r>
        <w:t xml:space="preserve"> </w:t>
      </w:r>
      <w:r>
        <w:t xml:space="preserve">justification to introduce the limit: where a statute authorises detention, the tort is silent (Al-Kateb era 2004–2023; ASF17 for lawful-but-arbitrary detention).</w:t>
      </w:r>
    </w:p>
    <w:p>
      <w:pPr>
        <w:numPr>
          <w:ilvl w:val="1"/>
          <w:numId w:val="1009"/>
        </w:numPr>
        <w:pStyle w:val="Compact"/>
      </w:pPr>
      <w:r>
        <w:t xml:space="preserve">Same section — negligence and conditions of detention [p ? — confirm] [4] — For harms</w:t>
      </w:r>
      <w:r>
        <w:t xml:space="preserve"> </w:t>
      </w:r>
      <w:r>
        <w:rPr>
          <w:iCs/>
          <w:i/>
        </w:rPr>
        <w:t xml:space="preserve">within</w:t>
      </w:r>
      <w:r>
        <w:t xml:space="preserve"> </w:t>
      </w:r>
      <w:r>
        <w:t xml:space="preserve">lawful detention (medical neglect, conditions) the plaintiff must fall back on negligence, with its duty, breach and damage hurdles. This shows the boundary of the</w:t>
      </w:r>
      <w:r>
        <w:t xml:space="preserve"> </w:t>
      </w:r>
      <w:r>
        <w:t xml:space="preserve">“</w:t>
      </w:r>
      <w:r>
        <w:t xml:space="preserve">vindicatory</w:t>
      </w:r>
      <w:r>
        <w:t xml:space="preserve">”</w:t>
      </w:r>
      <w:r>
        <w:t xml:space="preserve"> </w:t>
      </w:r>
      <w:r>
        <w:t xml:space="preserve">model: strict liability protects the fact of liberty, not the quality of treatment, so tort’s coverage of human-rights concerns is uneven. Use in the</w:t>
      </w:r>
      <w:r>
        <w:t xml:space="preserve"> </w:t>
      </w:r>
      <w:r>
        <w:t xml:space="preserve">“</w:t>
      </w:r>
      <w:r>
        <w:t xml:space="preserve">contingent on invalidity/statutory authority</w:t>
      </w:r>
      <w:r>
        <w:t xml:space="preserve">”</w:t>
      </w:r>
      <w:r>
        <w:t xml:space="preserve"> </w:t>
      </w:r>
      <w:r>
        <w:t xml:space="preserve">paragraph.</w:t>
      </w:r>
    </w:p>
    <w:p>
      <w:pPr>
        <w:numPr>
          <w:ilvl w:val="1"/>
          <w:numId w:val="1009"/>
        </w:numPr>
        <w:pStyle w:val="Compact"/>
      </w:pPr>
      <w:r>
        <w:t xml:space="preserve">Case study — medical treatment of detained asylum-seekers (offshore processing duty of care) [p ? — confirm] [5] — The authors treat the Federal Court transfer-for-treatment cases as evidence that tort can obtain outcomes human-rights law cannot in Australia, but also that it does so slowly, case by case, and usually by settlement. I will link to Abdel-Hady’s own facts (unfit to fly from 28 July 2022, [factual background]) to show that his medical situation made removal impossible — the same population, and the same reliance on incremental litigation instead of a rights framework.</w:t>
      </w:r>
    </w:p>
    <w:p>
      <w:pPr>
        <w:numPr>
          <w:ilvl w:val="1"/>
          <w:numId w:val="1009"/>
        </w:numPr>
        <w:pStyle w:val="Compact"/>
      </w:pPr>
      <w:r>
        <w:t xml:space="preserve">Case study — asbestos and parent-company liability [p ? — confirm] [6] — Included in the chapter for the volume’s labour/environment categories; less relevant to liberty. I will not cite it for substance, but it is useful to show that the authors’ optimism about tort is strongest where the defendant is private and weakest where the state has legislated (immigration), which supports my</w:t>
      </w:r>
      <w:r>
        <w:t xml:space="preserve"> </w:t>
      </w:r>
      <w:r>
        <w:t xml:space="preserve">“</w:t>
      </w:r>
      <w:r>
        <w:t xml:space="preserve">legislative rerouting</w:t>
      </w:r>
      <w:r>
        <w:t xml:space="preserve">”</w:t>
      </w:r>
      <w:r>
        <w:t xml:space="preserve"> </w:t>
      </w:r>
      <w:r>
        <w:t xml:space="preserve">point ([40]–[41] plurality: amelioration is for Parliament; post-NZYQ legislation such as the YBFZ regime and third-country removal).</w:t>
      </w:r>
    </w:p>
    <w:p>
      <w:pPr>
        <w:numPr>
          <w:ilvl w:val="1"/>
          <w:numId w:val="1009"/>
        </w:numPr>
        <w:pStyle w:val="Compact"/>
      </w:pPr>
      <w:r>
        <w:t xml:space="preserve">Section on procedural and cultural obstacles [p ? — confirm] [7] — The explanation for the paucity of human-rights tort claims: cost, adverse-costs risk, limited class-action culture, the state as a well-resourced repeat player, and an under-developed rights culture. This is a limit Abdel-Hady cannot cure: one unanimous judgment does not make the remedy accessible to the roughly 340-person NZYQ cohort. Use in the limits section, with a sentence that damages litigation depends on private initiative and funding.</w:t>
      </w:r>
    </w:p>
    <w:p>
      <w:pPr>
        <w:numPr>
          <w:ilvl w:val="1"/>
          <w:numId w:val="1009"/>
        </w:numPr>
        <w:pStyle w:val="Compact"/>
      </w:pPr>
      <w:r>
        <w:t xml:space="preserve">Conclusion — tort as a</w:t>
      </w:r>
      <w:r>
        <w:t xml:space="preserve"> </w:t>
      </w:r>
      <w:r>
        <w:t xml:space="preserve">“</w:t>
      </w:r>
      <w:r>
        <w:t xml:space="preserve">filler</w:t>
      </w:r>
      <w:r>
        <w:t xml:space="preserve">”</w:t>
      </w:r>
      <w:r>
        <w:t xml:space="preserve">, not a substitute [p ? — confirm] [8] — The authors’ closing position (inferred from the title and abstracts) is that tort’s prospects are real but partial, and that a charter would still matter. I will end the</w:t>
      </w:r>
      <w:r>
        <w:t xml:space="preserve"> </w:t>
      </w:r>
      <w:r>
        <w:t xml:space="preserve">“</w:t>
      </w:r>
      <w:r>
        <w:t xml:space="preserve">no charter/legislative rerouting</w:t>
      </w:r>
      <w:r>
        <w:t xml:space="preserve">”</w:t>
      </w:r>
      <w:r>
        <w:t xml:space="preserve"> </w:t>
      </w:r>
      <w:r>
        <w:t xml:space="preserve">point here: Abdel-Hady shows the common law’s ceiling — it bites only after constitutional invalidity is declared and only in damages — which is what a charter with remedial provisions (cf ACT/Vic/Qld) would change.</w:t>
      </w:r>
    </w:p>
    <w:p>
      <w:pPr>
        <w:numPr>
          <w:ilvl w:val="0"/>
          <w:numId w:val="1008"/>
        </w:numPr>
        <w:pStyle w:val="Compact"/>
      </w:pPr>
      <w:r>
        <w:t xml:space="preserve">Best use in the paper:</w:t>
      </w:r>
      <w:r>
        <w:t xml:space="preserve"> </w:t>
      </w:r>
      <w:r>
        <w:rPr>
          <w:bCs/>
          <w:b/>
        </w:rPr>
        <w:t xml:space="preserve">Limit: no charter / legislative rerouting</w:t>
      </w:r>
      <w:r>
        <w:t xml:space="preserve"> </w:t>
      </w:r>
      <w:r>
        <w:t xml:space="preserve">(notes 1, 7, 8) and</w:t>
      </w:r>
      <w:r>
        <w:t xml:space="preserve"> </w:t>
      </w:r>
      <w:r>
        <w:rPr>
          <w:bCs/>
          <w:b/>
        </w:rPr>
        <w:t xml:space="preserve">Limit: contingent on constitutional invalidity/statutory authority</w:t>
      </w:r>
      <w:r>
        <w:t xml:space="preserve"> </w:t>
      </w:r>
      <w:r>
        <w:t xml:space="preserve">(notes 3, 4); modest support for</w:t>
      </w:r>
      <w:r>
        <w:t xml:space="preserve"> </w:t>
      </w:r>
      <w:r>
        <w:rPr>
          <w:bCs/>
          <w:b/>
        </w:rPr>
        <w:t xml:space="preserve">Strength: strict liability</w:t>
      </w:r>
      <w:r>
        <w:t xml:space="preserve"> </w:t>
      </w:r>
      <w:r>
        <w:t xml:space="preserve">(note 3). Relates to Varuhas (sources 1–2) as the counterweight: Varuhas explains why the tort is strong at what it does; Joseph &amp; Kyriakakis explain how narrow</w:t>
      </w:r>
      <w:r>
        <w:t xml:space="preserve"> </w:t>
      </w:r>
      <w:r>
        <w:t xml:space="preserve">“</w:t>
      </w:r>
      <w:r>
        <w:t xml:space="preserve">what it does</w:t>
      </w:r>
      <w:r>
        <w:t xml:space="preserve">”</w:t>
      </w:r>
      <w:r>
        <w:t xml:space="preserve"> </w:t>
      </w:r>
      <w:r>
        <w:t xml:space="preserve">is. Also pairs with Nolan (source 4) on the point that ordinary private-law torts have</w:t>
      </w:r>
      <w:r>
        <w:t xml:space="preserve"> </w:t>
      </w:r>
      <w:r>
        <w:t xml:space="preserve">“</w:t>
      </w:r>
      <w:r>
        <w:t xml:space="preserve">nothing distinctively public</w:t>
      </w:r>
      <w:r>
        <w:t xml:space="preserve">”</w:t>
      </w:r>
      <w:r>
        <w:t xml:space="preserve"> </w:t>
      </w:r>
      <w:r>
        <w:t xml:space="preserve">about them.</w:t>
      </w:r>
    </w:p>
    <w:p>
      <w:pPr>
        <w:numPr>
          <w:ilvl w:val="0"/>
          <w:numId w:val="1008"/>
        </w:numPr>
        <w:pStyle w:val="Compact"/>
      </w:pPr>
      <w:r>
        <w:t xml:space="preserve">Caveats: Full text not read; section headings are inferred from the volume template and abstracts, not seen. Several specific claims in notes 3–7 (which cases the authors discuss, how they characterise settlements, the exact obstacles listed) are my reasonable expectation of the chapter’s content and</w:t>
      </w:r>
      <w:r>
        <w:t xml:space="preserve"> </w:t>
      </w:r>
      <w:r>
        <w:rPr>
          <w:bCs/>
          <w:b/>
        </w:rPr>
        <w:t xml:space="preserve">must be verified against the Bloomsbury PDF before any of these notes is cited</w:t>
      </w:r>
      <w:r>
        <w:t xml:space="preserve">; if a note does not match the text, drop it rather than adapt it.</w:t>
      </w:r>
    </w:p>
    <w:p>
      <w:r>
        <w:pict>
          <v:rect style="width:0;height:1.5pt" o:hralign="center" o:hrstd="t" o:hr="t"/>
        </w:pict>
      </w:r>
    </w:p>
    <w:bookmarkEnd w:id="27"/>
    <w:bookmarkStart w:id="29" w:name="Xd0892c809447dfbf54c4519ac8a17be3d3343a7"/>
    <w:p>
      <w:pPr>
        <w:pStyle w:val="Heading3"/>
      </w:pPr>
      <w:r>
        <w:t xml:space="preserve">4. Donal Nolan,</w:t>
      </w:r>
      <w:r>
        <w:t xml:space="preserve"> </w:t>
      </w:r>
      <w:r>
        <w:t xml:space="preserve">‘</w:t>
      </w:r>
      <w:r>
        <w:t xml:space="preserve">Tort and Public Law: Overlapping Categories?</w:t>
      </w:r>
      <w:r>
        <w:t xml:space="preserve">’</w:t>
      </w:r>
      <w:r>
        <w:t xml:space="preserve"> </w:t>
      </w:r>
      <w:r>
        <w:t xml:space="preserve">(2019) 135 Law Quarterly Review 272</w:t>
      </w:r>
    </w:p>
    <w:p>
      <w:pPr>
        <w:numPr>
          <w:ilvl w:val="0"/>
          <w:numId w:val="1010"/>
        </w:numPr>
        <w:pStyle w:val="Compact"/>
      </w:pPr>
      <w:r>
        <w:t xml:space="preserve">Access: Published version on Westlaw (LQR vol 135, April 2019, pp 272–293). Open-access accepted manuscript on the Oxford Research Archive: https://ora.ox.ac.uk/objects/uuid:44a91da8-1b93-4749-97ef-394ad85834b6 (PDF file link: …/files/m983d4a2d676794bf6d086aa164f76e10; 23 pp).</w:t>
      </w:r>
      <w:r>
        <w:t xml:space="preserve"> </w:t>
      </w:r>
      <w:r>
        <w:rPr>
          <w:bCs/>
          <w:b/>
        </w:rPr>
        <w:t xml:space="preserve">Full text of the accepted manuscript read</w:t>
      </w:r>
      <w:r>
        <w:t xml:space="preserve"> </w:t>
      </w:r>
      <w:r>
        <w:t xml:space="preserve">(downloaded to the user’s Mac and read page by page).</w:t>
      </w:r>
      <w:r>
        <w:t xml:space="preserve"> </w:t>
      </w:r>
      <w:r>
        <w:rPr>
          <w:bCs/>
          <w:b/>
        </w:rPr>
        <w:t xml:space="preserve">Pinpoints below are manuscript (AM) pages plus section heading; LQR pagination differs and must be substituted from Westlaw before submission.</w:t>
      </w:r>
    </w:p>
    <w:p>
      <w:pPr>
        <w:numPr>
          <w:ilvl w:val="0"/>
          <w:numId w:val="1010"/>
        </w:numPr>
        <w:pStyle w:val="Compact"/>
      </w:pPr>
      <w:r>
        <w:t xml:space="preserve">What it argues: Nolan argues that tort law and public law overlap: three tort doctrines — misfeasance in public office, Lord Devlin’s first category of exemplary damages (</w:t>
      </w:r>
      <w:r>
        <w:t xml:space="preserve">“</w:t>
      </w:r>
      <w:r>
        <w:t xml:space="preserve">oppressive, arbitrary or unconstitutional action by servants of the government</w:t>
      </w:r>
      <w:r>
        <w:t xml:space="preserve">”</w:t>
      </w:r>
      <w:r>
        <w:t xml:space="preserve">), and (more ambivalently) malicious prosecution — are better understood as public law because they apply only to holders of public power, turn on bad faith/improper purpose (which private law generally ignores: Allen v Flood), and serve the public-law function of controlling and sanctioning abuse of power. He expressly</w:t>
      </w:r>
      <w:r>
        <w:t xml:space="preserve"> </w:t>
      </w:r>
      <w:r>
        <w:rPr>
          <w:iCs/>
          <w:i/>
        </w:rPr>
        <w:t xml:space="preserve">excludes</w:t>
      </w:r>
      <w:r>
        <w:t xml:space="preserve"> </w:t>
      </w:r>
      <w:r>
        <w:t xml:space="preserve">false imprisonment and trespass from this category: they constrain state power in practice but are universal private-law rules with</w:t>
      </w:r>
      <w:r>
        <w:t xml:space="preserve"> </w:t>
      </w:r>
      <w:r>
        <w:t xml:space="preserve">“</w:t>
      </w:r>
      <w:r>
        <w:t xml:space="preserve">nothing distinctively public</w:t>
      </w:r>
      <w:r>
        <w:t xml:space="preserve">”</w:t>
      </w:r>
      <w:r>
        <w:t xml:space="preserve"> </w:t>
      </w:r>
      <w:r>
        <w:t xml:space="preserve">about them. Implications: private-law theorists need not explain the public-law torts; public lawyers should see tort as part of accountability for public power; and the doctrines should be confined to the exercise of governmental (not commercial) power. He closes by praising the</w:t>
      </w:r>
      <w:r>
        <w:t xml:space="preserve"> </w:t>
      </w:r>
      <w:r>
        <w:t xml:space="preserve">“</w:t>
      </w:r>
      <w:r>
        <w:t xml:space="preserve">active citizen</w:t>
      </w:r>
      <w:r>
        <w:t xml:space="preserve">”</w:t>
      </w:r>
      <w:r>
        <w:t xml:space="preserve"> </w:t>
      </w:r>
      <w:r>
        <w:t xml:space="preserve">using tort, aided by jury trial and legal aid, to hold officials to account.</w:t>
      </w:r>
    </w:p>
    <w:p>
      <w:pPr>
        <w:numPr>
          <w:ilvl w:val="0"/>
          <w:numId w:val="1010"/>
        </w:numPr>
        <w:pStyle w:val="Compact"/>
      </w:pPr>
      <w:r>
        <w:t xml:space="preserve">Why it survived screening: It gives the essay a taxonomy. Abdel-Hady is a case about an</w:t>
      </w:r>
      <w:r>
        <w:t xml:space="preserve"> </w:t>
      </w:r>
      <w:r>
        <w:rPr>
          <w:iCs/>
          <w:i/>
        </w:rPr>
        <w:t xml:space="preserve">ordinary</w:t>
      </w:r>
      <w:r>
        <w:t xml:space="preserve"> </w:t>
      </w:r>
      <w:r>
        <w:t xml:space="preserve">private-law tort doing constitutional work; Nolan explains why that is possible (universality, no fault requirement) and, by contrast, what the specifically public-law torts require (bad faith), which is exactly what the Commonwealth’s proposed defence would have imported into false imprisonment. It also supplies the point that compensation is the norm in this corner of</w:t>
      </w:r>
      <w:r>
        <w:t xml:space="preserve"> </w:t>
      </w:r>
      <w:r>
        <w:t xml:space="preserve">“</w:t>
      </w:r>
      <w:r>
        <w:t xml:space="preserve">public law</w:t>
      </w:r>
      <w:r>
        <w:t xml:space="preserve">”</w:t>
      </w:r>
      <w:r>
        <w:t xml:space="preserve">, and the counter-view that other accountability mechanisms may make tort</w:t>
      </w:r>
      <w:r>
        <w:t xml:space="preserve"> </w:t>
      </w:r>
      <w:r>
        <w:t xml:space="preserve">“</w:t>
      </w:r>
      <w:r>
        <w:t xml:space="preserve">largely an irrelevance</w:t>
      </w:r>
      <w:r>
        <w:t xml:space="preserve">”</w:t>
      </w:r>
      <w:r>
        <w:t xml:space="preserve">.</w:t>
      </w:r>
    </w:p>
    <w:p>
      <w:pPr>
        <w:numPr>
          <w:ilvl w:val="0"/>
          <w:numId w:val="1010"/>
        </w:numPr>
        <w:pStyle w:val="Compact"/>
      </w:pPr>
      <w:r>
        <w:t xml:space="preserve">Annotations (AM page + section):</w:t>
      </w:r>
    </w:p>
    <w:p>
      <w:pPr>
        <w:numPr>
          <w:ilvl w:val="1"/>
          <w:numId w:val="1011"/>
        </w:numPr>
        <w:pStyle w:val="Compact"/>
      </w:pPr>
      <w:r>
        <w:t xml:space="preserve">AM p 1 (I Introduction) [1] — Nolan takes tort</w:t>
      </w:r>
      <w:r>
        <w:t xml:space="preserve"> </w:t>
      </w:r>
      <w:r>
        <w:t xml:space="preserve">“</w:t>
      </w:r>
      <w:r>
        <w:t xml:space="preserve">conventionally</w:t>
      </w:r>
      <w:r>
        <w:t xml:space="preserve">”</w:t>
      </w:r>
      <w:r>
        <w:t xml:space="preserve"> </w:t>
      </w:r>
      <w:r>
        <w:t xml:space="preserve">as</w:t>
      </w:r>
      <w:r>
        <w:t xml:space="preserve"> </w:t>
      </w:r>
      <w:r>
        <w:t xml:space="preserve">“</w:t>
      </w:r>
      <w:r>
        <w:t xml:space="preserve">what is in the tort books</w:t>
      </w:r>
      <w:r>
        <w:t xml:space="preserve">”</w:t>
      </w:r>
      <w:r>
        <w:t xml:space="preserve"> </w:t>
      </w:r>
      <w:r>
        <w:t xml:space="preserve">and public law as a genuinely distinct category. I will use this framing sentence to explain that the essay’s question — whether tort protects human rights — is really about a private-law mechanism being used for a public-law end, which is how Nolan himself describes the phenomenon at the end.</w:t>
      </w:r>
    </w:p>
    <w:p>
      <w:pPr>
        <w:numPr>
          <w:ilvl w:val="1"/>
          <w:numId w:val="1011"/>
        </w:numPr>
        <w:pStyle w:val="Compact"/>
      </w:pPr>
      <w:r>
        <w:t xml:space="preserve">AM p 4 (I Introduction) [2] — Key passage: it is</w:t>
      </w:r>
      <w:r>
        <w:t xml:space="preserve"> </w:t>
      </w:r>
      <w:r>
        <w:t xml:space="preserve">“</w:t>
      </w:r>
      <w:r>
        <w:t xml:space="preserve">notorious that torts such as false imprisonment and trespass to land have played, and continue to play, an important role in constraining and remedying the abuse of public power</w:t>
      </w:r>
      <w:r>
        <w:t xml:space="preserve">”</w:t>
      </w:r>
      <w:r>
        <w:t xml:space="preserve"> </w:t>
      </w:r>
      <w:r>
        <w:t xml:space="preserve">(Entick v Carrington), but</w:t>
      </w:r>
      <w:r>
        <w:t xml:space="preserve"> </w:t>
      </w:r>
      <w:r>
        <w:t xml:space="preserve">“</w:t>
      </w:r>
      <w:r>
        <w:t xml:space="preserve">there is nothing distinctively public about these causes of action, which apply with equal force to private parties</w:t>
      </w:r>
      <w:r>
        <w:t xml:space="preserve">”</w:t>
      </w:r>
      <w:r>
        <w:t xml:space="preserve">. This is the Diceyan equality point in taxonomic form — the same idea as Edelman J at [122] and Gordon J at [96]–[97]. Strength: the tort’s power against the state comes precisely from its indifference to who the defendant is. Limit: the same indifference means the tort carries no special human-rights content.</w:t>
      </w:r>
    </w:p>
    <w:p>
      <w:pPr>
        <w:numPr>
          <w:ilvl w:val="1"/>
          <w:numId w:val="1011"/>
        </w:numPr>
        <w:pStyle w:val="Compact"/>
      </w:pPr>
      <w:r>
        <w:t xml:space="preserve">AM p 5–6 (II.1 Misfeasance in public office in outline) [3] — Misfeasance requires bad faith — targeted malice or knowing/recklessly indifferent illegality — and</w:t>
      </w:r>
      <w:r>
        <w:t xml:space="preserve"> </w:t>
      </w:r>
      <w:r>
        <w:t xml:space="preserve">“</w:t>
      </w:r>
      <w:r>
        <w:t xml:space="preserve">does not encompass incompetence, however gross</w:t>
      </w:r>
      <w:r>
        <w:t xml:space="preserve">”</w:t>
      </w:r>
      <w:r>
        <w:t xml:space="preserve">. I will use this as the contrast case: the Commonwealth in Abdel-Hady effectively asked the Court to make false imprisonment look like misfeasance (liability only where the officer lacked good faith); the seven Justices refused ([7], [34], [120], [183], [221]). Nolan’s taxonomy shows how radical that request was: it would have shifted a universal strict-liability tort into the fault-based</w:t>
      </w:r>
      <w:r>
        <w:t xml:space="preserve"> </w:t>
      </w:r>
      <w:r>
        <w:t xml:space="preserve">“</w:t>
      </w:r>
      <w:r>
        <w:t xml:space="preserve">public law</w:t>
      </w:r>
      <w:r>
        <w:t xml:space="preserve">”</w:t>
      </w:r>
      <w:r>
        <w:t xml:space="preserve"> </w:t>
      </w:r>
      <w:r>
        <w:t xml:space="preserve">category.</w:t>
      </w:r>
    </w:p>
    <w:p>
      <w:pPr>
        <w:numPr>
          <w:ilvl w:val="1"/>
          <w:numId w:val="1011"/>
        </w:numPr>
        <w:pStyle w:val="Compact"/>
      </w:pPr>
      <w:r>
        <w:t xml:space="preserve">AM p 7 (II.2 Exemplary damages in outline) [4] — Wilkes v Wood and Huckle v Money (£300 for six hours’ detention, actual loss £20) are the roots of exemplary damages against government; the highest recent English award (£27,500, Muuse) was for illegal detention of an asylum seeker by immigration officials. Useful two ways: (a) the liberty tradition has always been remedially serious; (b) exemplary damages depend on</w:t>
      </w:r>
      <w:r>
        <w:t xml:space="preserve"> </w:t>
      </w:r>
      <w:r>
        <w:t xml:space="preserve">“</w:t>
      </w:r>
      <w:r>
        <w:t xml:space="preserve">conscious wrongdoing</w:t>
      </w:r>
      <w:r>
        <w:t xml:space="preserve">”</w:t>
      </w:r>
      <w:r>
        <w:t xml:space="preserve"> </w:t>
      </w:r>
      <w:r>
        <w:t xml:space="preserve">(AM p 7, II.3), so they are unavailable in a case like Abdel-Hady where the officer acted in conformity with Al-Kateb — a further reason the quantum question left open matters.</w:t>
      </w:r>
    </w:p>
    <w:p>
      <w:pPr>
        <w:numPr>
          <w:ilvl w:val="1"/>
          <w:numId w:val="1011"/>
        </w:numPr>
        <w:pStyle w:val="Compact"/>
      </w:pPr>
      <w:r>
        <w:t xml:space="preserve">AM p 8 (II.3 Parallels between the two doctrines) [5] — Vicarious liability for public-law torts is contested (Mengel: only with</w:t>
      </w:r>
      <w:r>
        <w:t xml:space="preserve"> </w:t>
      </w:r>
      <w:r>
        <w:t xml:space="preserve">“</w:t>
      </w:r>
      <w:r>
        <w:t xml:space="preserve">de facto authority</w:t>
      </w:r>
      <w:r>
        <w:t xml:space="preserve">”</w:t>
      </w:r>
      <w:r>
        <w:t xml:space="preserve">; Kuddus split), whereas for ordinary torts it is routine. Complements the Commonwealth’s concession of vicarious liability in Abdel-Hady ([17], [22]) and Edelman J’s discomfort with it ([132]–[144]): the strength of the ordinary-tort route is that the state pays as of course; the open question ([21], [139]) is direct liability and non-Commonwealth</w:t>
      </w:r>
      <w:r>
        <w:t xml:space="preserve"> </w:t>
      </w:r>
      <w:r>
        <w:t xml:space="preserve">“</w:t>
      </w:r>
      <w:r>
        <w:t xml:space="preserve">officers</w:t>
      </w:r>
      <w:r>
        <w:t xml:space="preserve">”</w:t>
      </w:r>
      <w:r>
        <w:t xml:space="preserve">.</w:t>
      </w:r>
    </w:p>
    <w:p>
      <w:pPr>
        <w:numPr>
          <w:ilvl w:val="1"/>
          <w:numId w:val="1011"/>
        </w:numPr>
        <w:pStyle w:val="Compact"/>
      </w:pPr>
      <w:r>
        <w:t xml:space="preserve">AM p 11 (II.5 A functional conception) [6] — The public-law doctrines</w:t>
      </w:r>
      <w:r>
        <w:t xml:space="preserve"> </w:t>
      </w:r>
      <w:r>
        <w:t xml:space="preserve">“</w:t>
      </w:r>
      <w:r>
        <w:t xml:space="preserve">serve a key public law function by controlling and sanctioning the abuse of public power</w:t>
      </w:r>
      <w:r>
        <w:t xml:space="preserve">”</w:t>
      </w:r>
      <w:r>
        <w:t xml:space="preserve"> </w:t>
      </w:r>
      <w:r>
        <w:t xml:space="preserve">and respond to</w:t>
      </w:r>
      <w:r>
        <w:t xml:space="preserve"> </w:t>
      </w:r>
      <w:r>
        <w:t xml:space="preserve">“</w:t>
      </w:r>
      <w:r>
        <w:t xml:space="preserve">the particular dangers posed by the concentration of coercive power in the hands of the state</w:t>
      </w:r>
      <w:r>
        <w:t xml:space="preserve">”</w:t>
      </w:r>
      <w:r>
        <w:t xml:space="preserve">. I will argue that false imprisonment performs the same function without being classified as public law — which is Jagot J’s point at [218]–[222] — and that Abdel-Hady is therefore a case of private law doing accountability work that Australia’s public law (no charter, limited administrative-law damages) does not do.</w:t>
      </w:r>
    </w:p>
    <w:p>
      <w:pPr>
        <w:numPr>
          <w:ilvl w:val="1"/>
          <w:numId w:val="1011"/>
        </w:numPr>
        <w:pStyle w:val="Compact"/>
      </w:pPr>
      <w:r>
        <w:t xml:space="preserve">AM p 12 (II.6 Supplementary considerations) [7] — Public actors are</w:t>
      </w:r>
      <w:r>
        <w:t xml:space="preserve"> </w:t>
      </w:r>
      <w:r>
        <w:t xml:space="preserve">“</w:t>
      </w:r>
      <w:r>
        <w:t xml:space="preserve">presumptively free to act only as far as positive law allows them</w:t>
      </w:r>
      <w:r>
        <w:t xml:space="preserve">”</w:t>
      </w:r>
      <w:r>
        <w:t xml:space="preserve">, private actors</w:t>
      </w:r>
      <w:r>
        <w:t xml:space="preserve"> </w:t>
      </w:r>
      <w:r>
        <w:t xml:space="preserve">“</w:t>
      </w:r>
      <w:r>
        <w:t xml:space="preserve">presumptively free to act as they wish</w:t>
      </w:r>
      <w:r>
        <w:t xml:space="preserve">”</w:t>
      </w:r>
      <w:r>
        <w:t xml:space="preserve">; state action requires</w:t>
      </w:r>
      <w:r>
        <w:t xml:space="preserve"> </w:t>
      </w:r>
      <w:r>
        <w:t xml:space="preserve">“</w:t>
      </w:r>
      <w:r>
        <w:t xml:space="preserve">special normative justification</w:t>
      </w:r>
      <w:r>
        <w:t xml:space="preserve">”</w:t>
      </w:r>
      <w:r>
        <w:t xml:space="preserve"> </w:t>
      </w:r>
      <w:r>
        <w:t xml:space="preserve">(Bamforth; Lord Steyn in Three Rivers on the rule of law). This is the plurality’s first foundational principle at [1] and [32]–[33] (officers</w:t>
      </w:r>
      <w:r>
        <w:t xml:space="preserve"> </w:t>
      </w:r>
      <w:r>
        <w:t xml:space="preserve">“</w:t>
      </w:r>
      <w:r>
        <w:t xml:space="preserve">must find [their] justification … in the common law or in some statutory provision</w:t>
      </w:r>
      <w:r>
        <w:t xml:space="preserve">”</w:t>
      </w:r>
      <w:r>
        <w:t xml:space="preserve">) in scholarly form. Strong support for the rule-of-law strength point.</w:t>
      </w:r>
    </w:p>
    <w:p>
      <w:pPr>
        <w:numPr>
          <w:ilvl w:val="1"/>
          <w:numId w:val="1011"/>
        </w:numPr>
        <w:pStyle w:val="Compact"/>
      </w:pPr>
      <w:r>
        <w:t xml:space="preserve">AM p 13–14 (II.6, quoting Wells) [8] — Wells’s point that constitutional violations</w:t>
      </w:r>
      <w:r>
        <w:t xml:space="preserve"> </w:t>
      </w:r>
      <w:r>
        <w:t xml:space="preserve">“</w:t>
      </w:r>
      <w:r>
        <w:t xml:space="preserve">deserve censure</w:t>
      </w:r>
      <w:r>
        <w:t xml:space="preserve">”</w:t>
      </w:r>
      <w:r>
        <w:t xml:space="preserve"> </w:t>
      </w:r>
      <w:r>
        <w:t xml:space="preserve">beyond provable personal damages and that a purely compensatory model under-measures them. I will use this to sharpen the remedial limit: if Australian false imprisonment damages are compensatory in the narrow Lumba sense, the</w:t>
      </w:r>
      <w:r>
        <w:t xml:space="preserve"> </w:t>
      </w:r>
      <w:r>
        <w:t xml:space="preserve">“</w:t>
      </w:r>
      <w:r>
        <w:t xml:space="preserve">censure</w:t>
      </w:r>
      <w:r>
        <w:t xml:space="preserve">”</w:t>
      </w:r>
      <w:r>
        <w:t xml:space="preserve"> </w:t>
      </w:r>
      <w:r>
        <w:t xml:space="preserve">dimension of a 470-day unlawful detention is lost — unless the Varuhas normative-damages view is adopted.</w:t>
      </w:r>
    </w:p>
    <w:p>
      <w:pPr>
        <w:numPr>
          <w:ilvl w:val="1"/>
          <w:numId w:val="1011"/>
        </w:numPr>
        <w:pStyle w:val="Compact"/>
      </w:pPr>
      <w:r>
        <w:t xml:space="preserve">AM p 19 (IV.2 Implications for public lawyers) [9] — Gummow J in Propend: public-law questions were historically decided</w:t>
      </w:r>
      <w:r>
        <w:t xml:space="preserve"> </w:t>
      </w:r>
      <w:r>
        <w:t xml:space="preserve">“</w:t>
      </w:r>
      <w:r>
        <w:t xml:space="preserve">as issues in actions for damages at law</w:t>
      </w:r>
      <w:r>
        <w:t xml:space="preserve">”</w:t>
      </w:r>
      <w:r>
        <w:t xml:space="preserve">; and Elias CJ’s worry that other accountability mechanisms make</w:t>
      </w:r>
      <w:r>
        <w:t xml:space="preserve"> </w:t>
      </w:r>
      <w:r>
        <w:t xml:space="preserve">“</w:t>
      </w:r>
      <w:r>
        <w:t xml:space="preserve">accountability through the law of obligations … largely an irrelevance</w:t>
      </w:r>
      <w:r>
        <w:t xml:space="preserve">”</w:t>
      </w:r>
      <w:r>
        <w:t xml:space="preserve">. Nolan says tort</w:t>
      </w:r>
      <w:r>
        <w:t xml:space="preserve"> </w:t>
      </w:r>
      <w:r>
        <w:t xml:space="preserve">“</w:t>
      </w:r>
      <w:r>
        <w:t xml:space="preserve">remains highly relevant</w:t>
      </w:r>
      <w:r>
        <w:t xml:space="preserve">”</w:t>
      </w:r>
      <w:r>
        <w:t xml:space="preserve">. In Australia, with no charter, the Elias worry is inverted: tort is not an irrelevance but sometimes the only mechanism — the very</w:t>
      </w:r>
      <w:r>
        <w:t xml:space="preserve"> </w:t>
      </w:r>
      <w:r>
        <w:t xml:space="preserve">“</w:t>
      </w:r>
      <w:r>
        <w:t xml:space="preserve">void</w:t>
      </w:r>
      <w:r>
        <w:t xml:space="preserve">”</w:t>
      </w:r>
      <w:r>
        <w:t xml:space="preserve"> </w:t>
      </w:r>
      <w:r>
        <w:t xml:space="preserve">Joseph &amp; Kyriakakis describe.</w:t>
      </w:r>
    </w:p>
    <w:p>
      <w:pPr>
        <w:numPr>
          <w:ilvl w:val="1"/>
          <w:numId w:val="1011"/>
        </w:numPr>
        <w:pStyle w:val="Compact"/>
      </w:pPr>
      <w:r>
        <w:t xml:space="preserve">AM p 20 (IV.2 / IV.3) [10] — In this corner of public law</w:t>
      </w:r>
      <w:r>
        <w:t xml:space="preserve"> </w:t>
      </w:r>
      <w:r>
        <w:t xml:space="preserve">“</w:t>
      </w:r>
      <w:r>
        <w:t xml:space="preserve">compensatory awards … are the norm rather than the exception</w:t>
      </w:r>
      <w:r>
        <w:t xml:space="preserve">”</w:t>
      </w:r>
      <w:r>
        <w:t xml:space="preserve">; and Watkins shows how a private-law conception of</w:t>
      </w:r>
      <w:r>
        <w:t xml:space="preserve"> </w:t>
      </w:r>
      <w:r>
        <w:t xml:space="preserve">“</w:t>
      </w:r>
      <w:r>
        <w:t xml:space="preserve">damage</w:t>
      </w:r>
      <w:r>
        <w:t xml:space="preserve">”</w:t>
      </w:r>
      <w:r>
        <w:t xml:space="preserve"> </w:t>
      </w:r>
      <w:r>
        <w:t xml:space="preserve">can rob a claimant of a remedy for</w:t>
      </w:r>
      <w:r>
        <w:t xml:space="preserve"> </w:t>
      </w:r>
      <w:r>
        <w:t xml:space="preserve">“</w:t>
      </w:r>
      <w:r>
        <w:t xml:space="preserve">outrageous</w:t>
      </w:r>
      <w:r>
        <w:t xml:space="preserve">”</w:t>
      </w:r>
      <w:r>
        <w:t xml:space="preserve"> </w:t>
      </w:r>
      <w:r>
        <w:t xml:space="preserve">official abuse. Use as a caution: doctrinal framing at the remedies stage determines whether a strong liability rule produces a real remedy — the exact risk Abdel-Hady leaves open by not deciding quantum.</w:t>
      </w:r>
    </w:p>
    <w:p>
      <w:pPr>
        <w:numPr>
          <w:ilvl w:val="1"/>
          <w:numId w:val="1011"/>
        </w:numPr>
        <w:pStyle w:val="Compact"/>
      </w:pPr>
      <w:r>
        <w:t xml:space="preserve">AM p 22 (V Conclusion) [11] — Tort enables</w:t>
      </w:r>
      <w:r>
        <w:t xml:space="preserve"> </w:t>
      </w:r>
      <w:r>
        <w:t xml:space="preserve">“</w:t>
      </w:r>
      <w:r>
        <w:t xml:space="preserve">active citizen participation in countering abuse of public power</w:t>
      </w:r>
      <w:r>
        <w:t xml:space="preserve">”</w:t>
      </w:r>
      <w:r>
        <w:t xml:space="preserve">, on the liberal precept that public power</w:t>
      </w:r>
      <w:r>
        <w:t xml:space="preserve"> </w:t>
      </w:r>
      <w:r>
        <w:t xml:space="preserve">“</w:t>
      </w:r>
      <w:r>
        <w:t xml:space="preserve">is always answerable to the individuals over whom it is exercised</w:t>
      </w:r>
      <w:r>
        <w:t xml:space="preserve">”</w:t>
      </w:r>
      <w:r>
        <w:t xml:space="preserve">; reinforced by jury trial for false imprisonment and by civil legal aid for claims arising from</w:t>
      </w:r>
      <w:r>
        <w:t xml:space="preserve"> </w:t>
      </w:r>
      <w:r>
        <w:t xml:space="preserve">“</w:t>
      </w:r>
      <w:r>
        <w:t xml:space="preserve">serious abuse of state power</w:t>
      </w:r>
      <w:r>
        <w:t xml:space="preserve">”</w:t>
      </w:r>
      <w:r>
        <w:t xml:space="preserve">. Two uses: the strength point (the individual, not a regulator, triggers accountability — as Abdel-Hady did); and the limit (Australia has no equivalent legal-aid guarantee and the NZYQ cohort depends on private funding — links to Joseph &amp; Kyriakakis’s obstacles point).</w:t>
      </w:r>
    </w:p>
    <w:p>
      <w:pPr>
        <w:numPr>
          <w:ilvl w:val="1"/>
          <w:numId w:val="1011"/>
        </w:numPr>
        <w:pStyle w:val="Compact"/>
      </w:pPr>
      <w:r>
        <w:t xml:space="preserve">AM p 23 (V Conclusion) [12] —</w:t>
      </w:r>
      <w:r>
        <w:t xml:space="preserve"> </w:t>
      </w:r>
      <w:r>
        <w:t xml:space="preserve">“</w:t>
      </w:r>
      <w:r>
        <w:t xml:space="preserve">the key to the distinction between public law and private law lies not in the choice of remedy, but in the nature of the underlying claim</w:t>
      </w:r>
      <w:r>
        <w:t xml:space="preserve">”</w:t>
      </w:r>
      <w:r>
        <w:t xml:space="preserve">; courts have</w:t>
      </w:r>
      <w:r>
        <w:t xml:space="preserve"> </w:t>
      </w:r>
      <w:r>
        <w:t xml:space="preserve">“</w:t>
      </w:r>
      <w:r>
        <w:t xml:space="preserve">tried to craft a certain kind of public outcome with the tools of private law</w:t>
      </w:r>
      <w:r>
        <w:t xml:space="preserve">”</w:t>
      </w:r>
      <w:r>
        <w:t xml:space="preserve">. This is my closing formulation for Abdel-Hady: a public outcome (rule-of-law vindication against the Executive, [1]–[7], [57]) crafted with a private-law tool whose remedial edge is uncertain.</w:t>
      </w:r>
    </w:p>
    <w:p>
      <w:pPr>
        <w:numPr>
          <w:ilvl w:val="0"/>
          <w:numId w:val="1010"/>
        </w:numPr>
        <w:pStyle w:val="Compact"/>
      </w:pPr>
      <w:r>
        <w:t xml:space="preserve">Best use in the paper:</w:t>
      </w:r>
      <w:r>
        <w:t xml:space="preserve"> </w:t>
      </w:r>
      <w:r>
        <w:rPr>
          <w:bCs/>
          <w:b/>
        </w:rPr>
        <w:t xml:space="preserve">Strength: rule of law/Dicey</w:t>
      </w:r>
      <w:r>
        <w:t xml:space="preserve"> </w:t>
      </w:r>
      <w:r>
        <w:t xml:space="preserve">(notes 2, 6, 7, 11) and</w:t>
      </w:r>
      <w:r>
        <w:t xml:space="preserve"> </w:t>
      </w:r>
      <w:r>
        <w:rPr>
          <w:bCs/>
          <w:b/>
        </w:rPr>
        <w:t xml:space="preserve">Strength: strict liability/no good-faith defence</w:t>
      </w:r>
      <w:r>
        <w:t xml:space="preserve"> </w:t>
      </w:r>
      <w:r>
        <w:t xml:space="preserve">(note 3, by contrast with misfeasance);</w:t>
      </w:r>
      <w:r>
        <w:t xml:space="preserve"> </w:t>
      </w:r>
      <w:r>
        <w:rPr>
          <w:bCs/>
          <w:b/>
        </w:rPr>
        <w:t xml:space="preserve">Limit: damages &amp; remedial weakness</w:t>
      </w:r>
      <w:r>
        <w:t xml:space="preserve"> </w:t>
      </w:r>
      <w:r>
        <w:t xml:space="preserve">(notes 4, 8, 10). Relates to Varuhas (source 2) as a taxonomic counterpart — both accept that trespassory torts do constitutional work, but Nolan denies they are</w:t>
      </w:r>
      <w:r>
        <w:t xml:space="preserve"> </w:t>
      </w:r>
      <w:r>
        <w:t xml:space="preserve">“</w:t>
      </w:r>
      <w:r>
        <w:t xml:space="preserve">public law</w:t>
      </w:r>
      <w:r>
        <w:t xml:space="preserve">”</w:t>
      </w:r>
      <w:r>
        <w:t xml:space="preserve">, which the essay can use to explain why tort cannot supply positive rights or special state obligations (the Joseph &amp; Kyriakakis gap).</w:t>
      </w:r>
    </w:p>
    <w:p>
      <w:pPr>
        <w:numPr>
          <w:ilvl w:val="0"/>
          <w:numId w:val="1010"/>
        </w:numPr>
        <w:pStyle w:val="Heading2"/>
      </w:pPr>
      <w:bookmarkStart w:id="28" w:name="Xc6e1b3636b0fee878eb63ebbb5569adeaba5bbd"/>
      <w:r>
        <w:t xml:space="preserve">Caveats: All pinpoints are to the accepted-manuscript PDF (pp 1–23), not the LQR print (272–293); the student must convert them on Westlaw and cite</w:t>
      </w:r>
      <w:r>
        <w:t xml:space="preserve"> </w:t>
      </w:r>
      <w:r>
        <w:t xml:space="preserve">“</w:t>
      </w:r>
      <w:r>
        <w:t xml:space="preserve">(2019) 135 LQR 272, [LQR page]</w:t>
      </w:r>
      <w:r>
        <w:t xml:space="preserve">”</w:t>
      </w:r>
      <w:r>
        <w:t xml:space="preserve">. The article is about English law and Nolan flags that exemplary-damages rules</w:t>
      </w:r>
      <w:r>
        <w:t xml:space="preserve"> </w:t>
      </w:r>
      <w:r>
        <w:t xml:space="preserve">“</w:t>
      </w:r>
      <w:r>
        <w:t xml:space="preserve">vary widely</w:t>
      </w:r>
      <w:r>
        <w:t xml:space="preserve">”</w:t>
      </w:r>
      <w:r>
        <w:t xml:space="preserve"> </w:t>
      </w:r>
      <w:r>
        <w:t xml:space="preserve">across jurisdictions (AM p 4 n 18) — Australian exemplary damages are broader than Rookes v Barnard, so note 4 should be qualified accordingly.</w:t>
      </w:r>
      <w:bookmarkEnd w:id="28"/>
    </w:p>
    <w:bookmarkEnd w:id="29"/>
    <w:bookmarkEnd w:id="30"/>
    <w:bookmarkStart w:id="34" w:name="X803c5e83d1cfeb66f13b764f0eb6496765f3484"/>
    <w:p>
      <w:pPr>
        <w:pStyle w:val="Heading2"/>
      </w:pPr>
      <w:r>
        <w:t xml:space="preserve">Theme group II — The damages limit: what</w:t>
      </w:r>
      <w:r>
        <w:t xml:space="preserve"> </w:t>
      </w:r>
      <w:r>
        <w:rPr>
          <w:iCs/>
          <w:i/>
        </w:rPr>
        <w:t xml:space="preserve">Abdel-Hady</w:t>
      </w:r>
      <w:r>
        <w:t xml:space="preserve"> </w:t>
      </w:r>
      <w:r>
        <w:t xml:space="preserve">leaves open</w:t>
      </w:r>
    </w:p>
    <w:bookmarkStart w:id="31" w:name="X43c0c28a58269d2b39f43ffbab91b8108b44cdc"/>
    <w:p>
      <w:pPr>
        <w:pStyle w:val="Heading3"/>
      </w:pPr>
      <w:r>
        <w:t xml:space="preserve">5. Sharon Erbacher and Jason Taliadoros,</w:t>
      </w:r>
      <w:r>
        <w:t xml:space="preserve"> </w:t>
      </w:r>
      <w:r>
        <w:t xml:space="preserve">‘</w:t>
      </w:r>
      <w:r>
        <w:t xml:space="preserve">Making Assumptions: Reviewing the Counterfactual Approach to Damages Assessment in the Tort of False Imprisonment</w:t>
      </w:r>
      <w:r>
        <w:t xml:space="preserve">’</w:t>
      </w:r>
      <w:r>
        <w:t xml:space="preserve"> </w:t>
      </w:r>
      <w:r>
        <w:t xml:space="preserve">(2025) 48(3)</w:t>
      </w:r>
      <w:r>
        <w:t xml:space="preserve"> </w:t>
      </w:r>
      <w:r>
        <w:rPr>
          <w:iCs/>
          <w:i/>
        </w:rPr>
        <w:t xml:space="preserve">Melbourne University Law Review</w:t>
      </w:r>
      <w:r>
        <w:t xml:space="preserve"> </w:t>
      </w:r>
      <w:r>
        <w:t xml:space="preserve">693 ●</w:t>
      </w:r>
    </w:p>
    <w:p>
      <w:pPr>
        <w:numPr>
          <w:ilvl w:val="0"/>
          <w:numId w:val="1012"/>
        </w:numPr>
        <w:pStyle w:val="Compact"/>
      </w:pPr>
      <w:r>
        <w:rPr>
          <w:bCs/>
          <w:b/>
        </w:rPr>
        <w:t xml:space="preserve">Access:</w:t>
      </w:r>
      <w:r>
        <w:t xml:space="preserve"> </w:t>
      </w:r>
      <w:r>
        <w:t xml:space="preserve">Free PDF from Melbourne Law School:</w:t>
      </w:r>
      <w:r>
        <w:t xml:space="preserve"> </w:t>
      </w:r>
      <w:r>
        <w:rPr>
          <w:rStyle w:val="VerbatimChar"/>
        </w:rPr>
        <w:t xml:space="preserve">law.unimelb.edu.au/__data/assets/pdf_file/0012/5478717/Erbacher-and-Taliadoros-MULR-483-693.pdf</w:t>
      </w:r>
      <w:r>
        <w:t xml:space="preserve">. Pages 693–732. Section map and pinpoints below were read off the article; the running page numbers are the printed MULR pages.</w:t>
      </w:r>
    </w:p>
    <w:p>
      <w:pPr>
        <w:numPr>
          <w:ilvl w:val="0"/>
          <w:numId w:val="1012"/>
        </w:numPr>
        <w:pStyle w:val="Compact"/>
      </w:pPr>
      <w:r>
        <w:rPr>
          <w:bCs/>
          <w:b/>
        </w:rPr>
        <w:t xml:space="preserve">What it argues:</w:t>
      </w:r>
      <w:r>
        <w:t xml:space="preserve"> </w:t>
      </w:r>
      <w:r>
        <w:t xml:space="preserve">The counterfactual method adopted in</w:t>
      </w:r>
      <w:r>
        <w:t xml:space="preserve"> </w:t>
      </w:r>
      <w:r>
        <w:rPr>
          <w:iCs/>
          <w:i/>
        </w:rPr>
        <w:t xml:space="preserve">R (Lumba) v Secretary of State for the Home Department</w:t>
      </w:r>
      <w:r>
        <w:t xml:space="preserve"> </w:t>
      </w:r>
      <w:r>
        <w:t xml:space="preserve">and endorsed by the High Court in</w:t>
      </w:r>
      <w:r>
        <w:t xml:space="preserve"> </w:t>
      </w:r>
      <w:r>
        <w:rPr>
          <w:iCs/>
          <w:i/>
        </w:rPr>
        <w:t xml:space="preserve">Lewis v Australian Capital Territory</w:t>
      </w:r>
      <w:r>
        <w:t xml:space="preserve"> </w:t>
      </w:r>
      <w:r>
        <w:t xml:space="preserve">asks whether the defendant</w:t>
      </w:r>
      <w:r>
        <w:t xml:space="preserve"> </w:t>
      </w:r>
      <w:r>
        <w:t xml:space="preserve">“</w:t>
      </w:r>
      <w:r>
        <w:t xml:space="preserve">could and would</w:t>
      </w:r>
      <w:r>
        <w:t xml:space="preserve">”</w:t>
      </w:r>
      <w:r>
        <w:t xml:space="preserve"> </w:t>
      </w:r>
      <w:r>
        <w:t xml:space="preserve">have detained the plaintiff lawfully. Erbacher and Taliadoros show that this does not merely subtract the wrongful act from the facts; it</w:t>
      </w:r>
      <w:r>
        <w:t xml:space="preserve"> </w:t>
      </w:r>
      <w:r>
        <w:rPr>
          <w:iCs/>
          <w:i/>
        </w:rPr>
        <w:t xml:space="preserve">adds</w:t>
      </w:r>
      <w:r>
        <w:t xml:space="preserve"> </w:t>
      </w:r>
      <w:r>
        <w:t xml:space="preserve">a hypothetical event — lawful exercise of the power — which conventional counterfactual reasoning would never supply. The result is an irrebuttable presumption of legality in favour of defendants, so nominal damages become the norm. They argue this is doctrinally incoherent (it contradicts</w:t>
      </w:r>
      <w:r>
        <w:t xml:space="preserve"> </w:t>
      </w:r>
      <w:r>
        <w:rPr>
          <w:iCs/>
          <w:i/>
        </w:rPr>
        <w:t xml:space="preserve">Berry v CCL Secure</w:t>
      </w:r>
      <w:r>
        <w:t xml:space="preserve">, where counterfactuals are not built on an assumption that the wrongdoer would have acted lawfully) and structurally incoherent (it imports extra-relational public-policy considerations and severs the substantive right to liberty from the remedial right to be compensated). Their alternative: run a conventional fact-centred counterfactual, and let</w:t>
      </w:r>
      <w:r>
        <w:t xml:space="preserve"> </w:t>
      </w:r>
      <w:r>
        <w:rPr>
          <w:iCs/>
          <w:i/>
        </w:rPr>
        <w:t xml:space="preserve">legal coherence</w:t>
      </w:r>
      <w:r>
        <w:t xml:space="preserve"> </w:t>
      </w:r>
      <w:r>
        <w:t xml:space="preserve">between tort and statute — not a fiction about legality — do the work in the rare case where nominal damages are appropriate.</w:t>
      </w:r>
    </w:p>
    <w:p>
      <w:pPr>
        <w:numPr>
          <w:ilvl w:val="0"/>
          <w:numId w:val="1012"/>
        </w:numPr>
        <w:pStyle w:val="Compact"/>
      </w:pPr>
      <w:r>
        <w:rPr>
          <w:bCs/>
          <w:b/>
        </w:rPr>
        <w:t xml:space="preserve">Why it survived screening:</w:t>
      </w:r>
      <w:r>
        <w:t xml:space="preserve"> </w:t>
      </w:r>
      <w:r>
        <w:t xml:space="preserve">It is the most recent, most thorough Australian treatment of the precise question</w:t>
      </w:r>
      <w:r>
        <w:t xml:space="preserve"> </w:t>
      </w:r>
      <w:r>
        <w:rPr>
          <w:iCs/>
          <w:i/>
        </w:rPr>
        <w:t xml:space="preserve">Abdel-Hady</w:t>
      </w:r>
      <w:r>
        <w:t xml:space="preserve"> </w:t>
      </w:r>
      <w:r>
        <w:t xml:space="preserve">left open. The High Court decided liability and said nothing about quantum; this article tells you what happens next and why it matters. It also gives you a critique with a constructive alternative, which is easier to deploy in 1,500 words than pure complaint.</w:t>
      </w:r>
    </w:p>
    <w:p>
      <w:pPr>
        <w:numPr>
          <w:ilvl w:val="0"/>
          <w:numId w:val="1012"/>
        </w:numPr>
        <w:pStyle w:val="Compact"/>
      </w:pPr>
      <w:r>
        <w:rPr>
          <w:bCs/>
          <w:b/>
        </w:rPr>
        <w:t xml:space="preserve">Annotations</w:t>
      </w:r>
    </w:p>
    <w:p>
      <w:pPr>
        <w:numPr>
          <w:ilvl w:val="1"/>
          <w:numId w:val="1013"/>
        </w:numPr>
        <w:pStyle w:val="Compact"/>
      </w:pPr>
      <w:r>
        <w:rPr>
          <w:rStyle w:val="VerbatimChar"/>
        </w:rPr>
        <w:t xml:space="preserve">p 695 [1]</w:t>
      </w:r>
      <w:r>
        <w:t xml:space="preserve"> </w:t>
      </w:r>
      <w:r>
        <w:t xml:space="preserve">— Their thesis in one line: the</w:t>
      </w:r>
      <w:r>
        <w:t xml:space="preserve"> </w:t>
      </w:r>
      <w:r>
        <w:rPr>
          <w:iCs/>
          <w:i/>
        </w:rPr>
        <w:t xml:space="preserve">Lumba/Lewis</w:t>
      </w:r>
      <w:r>
        <w:t xml:space="preserve"> </w:t>
      </w:r>
      <w:r>
        <w:t xml:space="preserve">approach embeds</w:t>
      </w:r>
      <w:r>
        <w:t xml:space="preserve"> </w:t>
      </w:r>
      <w:r>
        <w:t xml:space="preserve">“</w:t>
      </w:r>
      <w:r>
        <w:t xml:space="preserve">an assumption of legality contrary to a conventional counterfactual analysis</w:t>
      </w:r>
      <w:r>
        <w:t xml:space="preserve">”</w:t>
      </w:r>
      <w:r>
        <w:t xml:space="preserve">. I will use this as the pivot of my limits section:</w:t>
      </w:r>
      <w:r>
        <w:t xml:space="preserve"> </w:t>
      </w:r>
      <w:r>
        <w:rPr>
          <w:iCs/>
          <w:i/>
        </w:rPr>
        <w:t xml:space="preserve">Abdel-Hady</w:t>
      </w:r>
      <w:r>
        <w:t xml:space="preserve"> </w:t>
      </w:r>
      <w:r>
        <w:t xml:space="preserve">refuses to assume the officer acted lawfully at the liability stage ([120] Edelman J), yet</w:t>
      </w:r>
      <w:r>
        <w:t xml:space="preserve"> </w:t>
      </w:r>
      <w:r>
        <w:rPr>
          <w:iCs/>
          <w:i/>
        </w:rPr>
        <w:t xml:space="preserve">Lewis</w:t>
      </w:r>
      <w:r>
        <w:t xml:space="preserve"> </w:t>
      </w:r>
      <w:r>
        <w:t xml:space="preserve">assumes exactly that at the damages stage. Same case, opposite presumptions.</w:t>
      </w:r>
    </w:p>
    <w:p>
      <w:pPr>
        <w:numPr>
          <w:ilvl w:val="1"/>
          <w:numId w:val="1013"/>
        </w:numPr>
        <w:pStyle w:val="Compact"/>
      </w:pPr>
      <w:r>
        <w:rPr>
          <w:rStyle w:val="VerbatimChar"/>
        </w:rPr>
        <w:t xml:space="preserve">p 697 [2]</w:t>
      </w:r>
      <w:r>
        <w:t xml:space="preserve"> </w:t>
      </w:r>
      <w:r>
        <w:t xml:space="preserve">— Lord Dyson’s</w:t>
      </w:r>
      <w:r>
        <w:t xml:space="preserve"> </w:t>
      </w:r>
      <w:r>
        <w:t xml:space="preserve">“</w:t>
      </w:r>
      <w:r>
        <w:t xml:space="preserve">could and would</w:t>
      </w:r>
      <w:r>
        <w:t xml:space="preserve">”</w:t>
      </w:r>
      <w:r>
        <w:t xml:space="preserve"> </w:t>
      </w:r>
      <w:r>
        <w:t xml:space="preserve">formulation. Worth noting that in</w:t>
      </w:r>
      <w:r>
        <w:t xml:space="preserve"> </w:t>
      </w:r>
      <w:r>
        <w:rPr>
          <w:iCs/>
          <w:i/>
        </w:rPr>
        <w:t xml:space="preserve">Abdel-Hady</w:t>
      </w:r>
      <w:r>
        <w:t xml:space="preserve"> </w:t>
      </w:r>
      <w:r>
        <w:t xml:space="preserve">the Commonwealth</w:t>
      </w:r>
      <w:r>
        <w:t xml:space="preserve"> </w:t>
      </w:r>
      <w:r>
        <w:rPr>
          <w:iCs/>
          <w:i/>
        </w:rPr>
        <w:t xml:space="preserve">cannot</w:t>
      </w:r>
      <w:r>
        <w:t xml:space="preserve"> </w:t>
      </w:r>
      <w:r>
        <w:t xml:space="preserve">satisfy this: on the plurality’s reasoning at [5] and Gordon J’s at [80], ss 189(1) and 196(1)</w:t>
      </w:r>
      <w:r>
        <w:t xml:space="preserve"> </w:t>
      </w:r>
      <w:r>
        <w:t xml:space="preserve">“</w:t>
      </w:r>
      <w:r>
        <w:t xml:space="preserve">at no time authorised</w:t>
      </w:r>
      <w:r>
        <w:t xml:space="preserve">”</w:t>
      </w:r>
      <w:r>
        <w:t xml:space="preserve"> </w:t>
      </w:r>
      <w:r>
        <w:t xml:space="preserve">the detention, so there was no lawful route to detaining him. That is an argument in my paper, not in the article — flag it as mine.</w:t>
      </w:r>
    </w:p>
    <w:p>
      <w:pPr>
        <w:numPr>
          <w:ilvl w:val="1"/>
          <w:numId w:val="1013"/>
        </w:numPr>
        <w:pStyle w:val="Compact"/>
      </w:pPr>
      <w:r>
        <w:rPr>
          <w:rStyle w:val="VerbatimChar"/>
        </w:rPr>
        <w:t xml:space="preserve">p 699 [3]</w:t>
      </w:r>
      <w:r>
        <w:t xml:space="preserve"> </w:t>
      </w:r>
      <w:r>
        <w:t xml:space="preserve">—</w:t>
      </w:r>
      <w:r>
        <w:t xml:space="preserve"> </w:t>
      </w:r>
      <w:r>
        <w:rPr>
          <w:iCs/>
          <w:i/>
        </w:rPr>
        <w:t xml:space="preserve">Lewis</w:t>
      </w:r>
      <w:r>
        <w:t xml:space="preserve">: no compensable loss because lawful detention was inevitable. This is the single most important qualification to any claim that</w:t>
      </w:r>
      <w:r>
        <w:t xml:space="preserve"> </w:t>
      </w:r>
      <w:r>
        <w:rPr>
          <w:iCs/>
          <w:i/>
        </w:rPr>
        <w:t xml:space="preserve">Abdel-Hady</w:t>
      </w:r>
      <w:r>
        <w:t xml:space="preserve"> </w:t>
      </w:r>
      <w:r>
        <w:t xml:space="preserve">vindicates liberty; it is why I cannot end the paper on the Court’s rhetoric at [96]–[97].</w:t>
      </w:r>
    </w:p>
    <w:p>
      <w:pPr>
        <w:numPr>
          <w:ilvl w:val="1"/>
          <w:numId w:val="1013"/>
        </w:numPr>
        <w:pStyle w:val="Compact"/>
      </w:pPr>
      <w:r>
        <w:rPr>
          <w:rStyle w:val="VerbatimChar"/>
        </w:rPr>
        <w:t xml:space="preserve">p 702 [4]</w:t>
      </w:r>
      <w:r>
        <w:t xml:space="preserve"> </w:t>
      </w:r>
      <w:r>
        <w:t xml:space="preserve">— The method</w:t>
      </w:r>
      <w:r>
        <w:t xml:space="preserve"> </w:t>
      </w:r>
      <w:r>
        <w:t xml:space="preserve">“</w:t>
      </w:r>
      <w:r>
        <w:t xml:space="preserve">requires that courts not just remove the wrongful act from the factual context but also add an entirely new hypothetical event</w:t>
      </w:r>
      <w:r>
        <w:t xml:space="preserve">”</w:t>
      </w:r>
      <w:r>
        <w:t xml:space="preserve">. Use this to show the counterfactual is a</w:t>
      </w:r>
      <w:r>
        <w:t xml:space="preserve"> </w:t>
      </w:r>
      <w:r>
        <w:rPr>
          <w:iCs/>
          <w:i/>
        </w:rPr>
        <w:t xml:space="preserve">choice</w:t>
      </w:r>
      <w:r>
        <w:t xml:space="preserve">, not a logical necessity — which matters because the convenor wants critical engagement, not description.</w:t>
      </w:r>
    </w:p>
    <w:p>
      <w:pPr>
        <w:numPr>
          <w:ilvl w:val="1"/>
          <w:numId w:val="1013"/>
        </w:numPr>
        <w:pStyle w:val="Compact"/>
      </w:pPr>
      <w:r>
        <w:rPr>
          <w:rStyle w:val="VerbatimChar"/>
        </w:rPr>
        <w:t xml:space="preserve">p 703 [5]</w:t>
      </w:r>
      <w:r>
        <w:t xml:space="preserve"> </w:t>
      </w:r>
      <w:r>
        <w:t xml:space="preserve">— Gageler J: the counterfactual assumes everyone with lawful capacity</w:t>
      </w:r>
      <w:r>
        <w:t xml:space="preserve"> </w:t>
      </w:r>
      <w:r>
        <w:t xml:space="preserve">“</w:t>
      </w:r>
      <w:r>
        <w:t xml:space="preserve">acted in strict performance of their legal duties</w:t>
      </w:r>
      <w:r>
        <w:t xml:space="preserve">”</w:t>
      </w:r>
      <w:r>
        <w:t xml:space="preserve">. Directly in tension with Jagot J in</w:t>
      </w:r>
      <w:r>
        <w:t xml:space="preserve"> </w:t>
      </w:r>
      <w:r>
        <w:rPr>
          <w:iCs/>
          <w:i/>
        </w:rPr>
        <w:t xml:space="preserve">Abdel-Hady</w:t>
      </w:r>
      <w:r>
        <w:t xml:space="preserve"> </w:t>
      </w:r>
      <w:r>
        <w:t xml:space="preserve">at [214], who says the executive’s duty was always to execute the law as validly enacted — so strict performance of legal duty in Abdel-Hady’s case meant</w:t>
      </w:r>
      <w:r>
        <w:t xml:space="preserve"> </w:t>
      </w:r>
      <w:r>
        <w:rPr>
          <w:iCs/>
          <w:i/>
        </w:rPr>
        <w:t xml:space="preserve">release</w:t>
      </w:r>
      <w:r>
        <w:t xml:space="preserve">, not lawful detention. Strongest point I have for arguing</w:t>
      </w:r>
      <w:r>
        <w:t xml:space="preserve"> </w:t>
      </w:r>
      <w:r>
        <w:rPr>
          <w:iCs/>
          <w:i/>
        </w:rPr>
        <w:t xml:space="preserve">Lewis</w:t>
      </w:r>
      <w:r>
        <w:t xml:space="preserve"> </w:t>
      </w:r>
      <w:r>
        <w:t xml:space="preserve">should not reduce his damages.</w:t>
      </w:r>
    </w:p>
    <w:p>
      <w:pPr>
        <w:numPr>
          <w:ilvl w:val="1"/>
          <w:numId w:val="1013"/>
        </w:numPr>
        <w:pStyle w:val="Compact"/>
      </w:pPr>
      <w:r>
        <w:rPr>
          <w:rStyle w:val="VerbatimChar"/>
        </w:rPr>
        <w:t xml:space="preserve">p 708 [6]</w:t>
      </w:r>
      <w:r>
        <w:t xml:space="preserve"> </w:t>
      </w:r>
      <w:r>
        <w:t xml:space="preserve">— Gageler J’s</w:t>
      </w:r>
      <w:r>
        <w:t xml:space="preserve"> </w:t>
      </w:r>
      <w:r>
        <w:t xml:space="preserve">“</w:t>
      </w:r>
      <w:r>
        <w:t xml:space="preserve">the law would be an ass</w:t>
      </w:r>
      <w:r>
        <w:t xml:space="preserve">”</w:t>
      </w:r>
      <w:r>
        <w:t xml:space="preserve"> </w:t>
      </w:r>
      <w:r>
        <w:t xml:space="preserve">justification does not explain why an assumption of legality was preferable to conventional method. Complicates my paper in a useful way: even the High Court’s own reasoning here is thin, so criticising it is not presumptuous.</w:t>
      </w:r>
    </w:p>
    <w:p>
      <w:pPr>
        <w:numPr>
          <w:ilvl w:val="1"/>
          <w:numId w:val="1013"/>
        </w:numPr>
        <w:pStyle w:val="Compact"/>
      </w:pPr>
      <w:r>
        <w:rPr>
          <w:rStyle w:val="VerbatimChar"/>
        </w:rPr>
        <w:t xml:space="preserve">p 709 [7]</w:t>
      </w:r>
      <w:r>
        <w:t xml:space="preserve"> </w:t>
      </w:r>
      <w:r>
        <w:t xml:space="preserve">—</w:t>
      </w:r>
      <w:r>
        <w:t xml:space="preserve"> </w:t>
      </w:r>
      <w:r>
        <w:rPr>
          <w:iCs/>
          <w:i/>
        </w:rPr>
        <w:t xml:space="preserve">Berry v CCL Secure</w:t>
      </w:r>
      <w:r>
        <w:t xml:space="preserve">: counterfactuals</w:t>
      </w:r>
      <w:r>
        <w:t xml:space="preserve"> </w:t>
      </w:r>
      <w:r>
        <w:t xml:space="preserve">“</w:t>
      </w:r>
      <w:r>
        <w:t xml:space="preserve">should not be constructed on an assumption that the wrongdoer would have acted lawfully</w:t>
      </w:r>
      <w:r>
        <w:t xml:space="preserve">”</w:t>
      </w:r>
      <w:r>
        <w:t xml:space="preserve">. An internal inconsistency in Australian law that I can cite in one sentence.</w:t>
      </w:r>
    </w:p>
    <w:p>
      <w:pPr>
        <w:numPr>
          <w:ilvl w:val="1"/>
          <w:numId w:val="1013"/>
        </w:numPr>
        <w:pStyle w:val="Compact"/>
      </w:pPr>
      <w:r>
        <w:rPr>
          <w:rStyle w:val="VerbatimChar"/>
        </w:rPr>
        <w:t xml:space="preserve">p 711 [8]</w:t>
      </w:r>
      <w:r>
        <w:t xml:space="preserve"> </w:t>
      </w:r>
      <w:r>
        <w:t xml:space="preserve">—</w:t>
      </w:r>
      <w:r>
        <w:t xml:space="preserve"> </w:t>
      </w:r>
      <w:r>
        <w:t xml:space="preserve">“</w:t>
      </w:r>
      <w:r>
        <w:t xml:space="preserve">an irrebuttable presumption of legality in favour of defendants</w:t>
      </w:r>
      <w:r>
        <w:t xml:space="preserve">”</w:t>
      </w:r>
      <w:r>
        <w:t xml:space="preserve"> </w:t>
      </w:r>
      <w:r>
        <w:t xml:space="preserve">leading normally to nominal damages only. This is my key phrase. It maps exactly onto Jagot J’s objection at [221]–[222] that a good-faith defence would protect the very officials most likely to be empowered to interfere with liberty — the same structural bias, relocated to remedies.</w:t>
      </w:r>
    </w:p>
    <w:p>
      <w:pPr>
        <w:numPr>
          <w:ilvl w:val="1"/>
          <w:numId w:val="1013"/>
        </w:numPr>
        <w:pStyle w:val="Compact"/>
      </w:pPr>
      <w:r>
        <w:rPr>
          <w:rStyle w:val="VerbatimChar"/>
        </w:rPr>
        <w:t xml:space="preserve">p 713 [9]</w:t>
      </w:r>
      <w:r>
        <w:t xml:space="preserve"> </w:t>
      </w:r>
      <w:r>
        <w:t xml:space="preserve">—</w:t>
      </w:r>
      <w:r>
        <w:t xml:space="preserve"> </w:t>
      </w:r>
      <w:r>
        <w:rPr>
          <w:iCs/>
          <w:i/>
        </w:rPr>
        <w:t xml:space="preserve">Parker</w:t>
      </w:r>
      <w:r>
        <w:t xml:space="preserve">: the trial judge found the</w:t>
      </w:r>
      <w:r>
        <w:t xml:space="preserve"> </w:t>
      </w:r>
      <w:r>
        <w:t xml:space="preserve">“</w:t>
      </w:r>
      <w:r>
        <w:t xml:space="preserve">overwhelming weight of evidence</w:t>
      </w:r>
      <w:r>
        <w:t xml:space="preserve">”</w:t>
      </w:r>
      <w:r>
        <w:t xml:space="preserve"> </w:t>
      </w:r>
      <w:r>
        <w:t xml:space="preserve">pointed to unlawful detention on the counterfactual, yet the Court of Appeal imposed lawful detention by assumption. Concrete illustration that the presumption overrides findings of fact. One sentence, footnote, move on.</w:t>
      </w:r>
    </w:p>
    <w:p>
      <w:pPr>
        <w:numPr>
          <w:ilvl w:val="1"/>
          <w:numId w:val="1013"/>
        </w:numPr>
        <w:pStyle w:val="Compact"/>
      </w:pPr>
      <w:r>
        <w:rPr>
          <w:rStyle w:val="VerbatimChar"/>
        </w:rPr>
        <w:t xml:space="preserve">p 720 [10]</w:t>
      </w:r>
      <w:r>
        <w:t xml:space="preserve"> </w:t>
      </w:r>
      <w:r>
        <w:t xml:space="preserve">— The approach is non-relational and looks like</w:t>
      </w:r>
      <w:r>
        <w:t xml:space="preserve"> </w:t>
      </w:r>
      <w:r>
        <w:t xml:space="preserve">“</w:t>
      </w:r>
      <w:r>
        <w:t xml:space="preserve">a public policy goal of shielding public authorities from the consequences of their procedural errors</w:t>
      </w:r>
      <w:r>
        <w:t xml:space="preserve">”</w:t>
      </w:r>
      <w:r>
        <w:t xml:space="preserve">. This is the limit stated at its sharpest: the policy the High Court refused to write into</w:t>
      </w:r>
      <w:r>
        <w:t xml:space="preserve"> </w:t>
      </w:r>
      <w:r>
        <w:rPr>
          <w:iCs/>
          <w:i/>
        </w:rPr>
        <w:t xml:space="preserve">liability</w:t>
      </w:r>
      <w:r>
        <w:t xml:space="preserve"> </w:t>
      </w:r>
      <w:r>
        <w:t xml:space="preserve">in</w:t>
      </w:r>
      <w:r>
        <w:t xml:space="preserve"> </w:t>
      </w:r>
      <w:r>
        <w:rPr>
          <w:iCs/>
          <w:i/>
        </w:rPr>
        <w:t xml:space="preserve">Abdel-Hady</w:t>
      </w:r>
      <w:r>
        <w:t xml:space="preserve"> </w:t>
      </w:r>
      <w:r>
        <w:t xml:space="preserve">it has already written into</w:t>
      </w:r>
      <w:r>
        <w:t xml:space="preserve"> </w:t>
      </w:r>
      <w:r>
        <w:rPr>
          <w:iCs/>
          <w:i/>
        </w:rPr>
        <w:t xml:space="preserve">damages</w:t>
      </w:r>
      <w:r>
        <w:t xml:space="preserve">.</w:t>
      </w:r>
    </w:p>
    <w:p>
      <w:pPr>
        <w:numPr>
          <w:ilvl w:val="1"/>
          <w:numId w:val="1013"/>
        </w:numPr>
        <w:pStyle w:val="Compact"/>
      </w:pPr>
      <w:r>
        <w:rPr>
          <w:rStyle w:val="VerbatimChar"/>
        </w:rPr>
        <w:t xml:space="preserve">p 721 [11]</w:t>
      </w:r>
      <w:r>
        <w:t xml:space="preserve"> </w:t>
      </w:r>
      <w:r>
        <w:t xml:space="preserve">— Severing</w:t>
      </w:r>
      <w:r>
        <w:t xml:space="preserve"> </w:t>
      </w:r>
      <w:r>
        <w:t xml:space="preserve">“</w:t>
      </w:r>
      <w:r>
        <w:t xml:space="preserve">the</w:t>
      </w:r>
      <w:r>
        <w:t xml:space="preserve"> </w:t>
      </w:r>
      <w:r>
        <w:t xml:space="preserve">‘</w:t>
      </w:r>
      <w:r>
        <w:t xml:space="preserve">substantive right</w:t>
      </w:r>
      <w:r>
        <w:t xml:space="preserve">’</w:t>
      </w:r>
      <w:r>
        <w:t xml:space="preserve"> </w:t>
      </w:r>
      <w:r>
        <w:t xml:space="preserve">to liberty from the</w:t>
      </w:r>
      <w:r>
        <w:t xml:space="preserve"> </w:t>
      </w:r>
      <w:r>
        <w:t xml:space="preserve">‘</w:t>
      </w:r>
      <w:r>
        <w:t xml:space="preserve">remedial right</w:t>
      </w:r>
      <w:r>
        <w:t xml:space="preserve">’</w:t>
      </w:r>
      <w:r>
        <w:t xml:space="preserve"> </w:t>
      </w:r>
      <w:r>
        <w:t xml:space="preserve">to be compensated</w:t>
      </w:r>
      <w:r>
        <w:t xml:space="preserve">”</w:t>
      </w:r>
      <w:r>
        <w:t xml:space="preserve">; Weinrib’s remedial continuity. Pair with Varuhas at 127 (</w:t>
      </w:r>
      <w:r>
        <w:rPr>
          <w:iCs/>
          <w:i/>
        </w:rPr>
        <w:t xml:space="preserve">Plenty v Dillon</w:t>
      </w:r>
      <w:r>
        <w:t xml:space="preserve">: a right must be supported by an effective sanction) for my conclusion.</w:t>
      </w:r>
    </w:p>
    <w:p>
      <w:pPr>
        <w:numPr>
          <w:ilvl w:val="1"/>
          <w:numId w:val="1013"/>
        </w:numPr>
        <w:pStyle w:val="Compact"/>
      </w:pPr>
      <w:r>
        <w:rPr>
          <w:rStyle w:val="VerbatimChar"/>
        </w:rPr>
        <w:t xml:space="preserve">pp 725–726 [12]</w:t>
      </w:r>
      <w:r>
        <w:t xml:space="preserve"> </w:t>
      </w:r>
      <w:r>
        <w:t xml:space="preserve">— Their alternative: coherence between tort and statute, and tort principles must not</w:t>
      </w:r>
      <w:r>
        <w:t xml:space="preserve"> </w:t>
      </w:r>
      <w:r>
        <w:t xml:space="preserve">“</w:t>
      </w:r>
      <w:r>
        <w:t xml:space="preserve">subvert … statutory provisions, which strike a balance of rights and obligations</w:t>
      </w:r>
      <w:r>
        <w:t xml:space="preserve">”</w:t>
      </w:r>
      <w:r>
        <w:t xml:space="preserve">. Useful counterweight so I do not look one-sided: there</w:t>
      </w:r>
      <w:r>
        <w:t xml:space="preserve"> </w:t>
      </w:r>
      <w:r>
        <w:rPr>
          <w:iCs/>
          <w:i/>
        </w:rPr>
        <w:t xml:space="preserve">is</w:t>
      </w:r>
      <w:r>
        <w:t xml:space="preserve"> </w:t>
      </w:r>
      <w:r>
        <w:t xml:space="preserve">a principled route to nominal damages in some cases, just not the one</w:t>
      </w:r>
      <w:r>
        <w:t xml:space="preserve"> </w:t>
      </w:r>
      <w:r>
        <w:rPr>
          <w:iCs/>
          <w:i/>
        </w:rPr>
        <w:t xml:space="preserve">Lewis</w:t>
      </w:r>
      <w:r>
        <w:t xml:space="preserve"> </w:t>
      </w:r>
      <w:r>
        <w:t xml:space="preserve">took.</w:t>
      </w:r>
    </w:p>
    <w:p>
      <w:pPr>
        <w:numPr>
          <w:ilvl w:val="0"/>
          <w:numId w:val="1012"/>
        </w:numPr>
        <w:pStyle w:val="Compact"/>
      </w:pPr>
      <w:r>
        <w:rPr>
          <w:bCs/>
          <w:b/>
        </w:rPr>
        <w:t xml:space="preserve">Best use:</w:t>
      </w:r>
      <w:r>
        <w:t xml:space="preserve"> </w:t>
      </w:r>
      <w:r>
        <w:rPr>
          <w:bCs/>
          <w:b/>
        </w:rPr>
        <w:t xml:space="preserve">L2</w:t>
      </w:r>
      <w:r>
        <w:t xml:space="preserve"> </w:t>
      </w:r>
      <w:r>
        <w:t xml:space="preserve">(notes 1, 3, 8, 10, 11), with 5 and 7 doing the</w:t>
      </w:r>
      <w:r>
        <w:t xml:space="preserve"> </w:t>
      </w:r>
      <w:r>
        <w:t xml:space="preserve">“</w:t>
      </w:r>
      <w:r>
        <w:t xml:space="preserve">critical engagement</w:t>
      </w:r>
      <w:r>
        <w:t xml:space="preserve">”</w:t>
      </w:r>
      <w:r>
        <w:t xml:space="preserve"> </w:t>
      </w:r>
      <w:r>
        <w:t xml:space="preserve">work. Talks directly to source 1 (Varuhas argues the theory; this applies it after</w:t>
      </w:r>
      <w:r>
        <w:t xml:space="preserve"> </w:t>
      </w:r>
      <w:r>
        <w:rPr>
          <w:iCs/>
          <w:i/>
        </w:rPr>
        <w:t xml:space="preserve">Lewis</w:t>
      </w:r>
      <w:r>
        <w:t xml:space="preserve">) and to source 7 (Ireland took the other path).</w:t>
      </w:r>
    </w:p>
    <w:p>
      <w:pPr>
        <w:numPr>
          <w:ilvl w:val="0"/>
          <w:numId w:val="1012"/>
        </w:numPr>
        <w:pStyle w:val="Compact"/>
      </w:pPr>
      <w:r>
        <w:rPr>
          <w:bCs/>
          <w:b/>
        </w:rPr>
        <w:t xml:space="preserve">Caveats:</w:t>
      </w:r>
      <w:r>
        <w:t xml:space="preserve"> </w:t>
      </w:r>
      <w:r>
        <w:t xml:space="preserve">The article predates</w:t>
      </w:r>
      <w:r>
        <w:t xml:space="preserve"> </w:t>
      </w:r>
      <w:r>
        <w:rPr>
          <w:iCs/>
          <w:i/>
        </w:rPr>
        <w:t xml:space="preserve">Abdel-Hady</w:t>
      </w:r>
      <w:r>
        <w:t xml:space="preserve">, so every link to the case is mine, not theirs. Do not write as though they had commented on it.</w:t>
      </w:r>
    </w:p>
    <w:bookmarkEnd w:id="31"/>
    <w:bookmarkStart w:id="32" w:name="X391eca985d8df53261ee1f2c3156321c1ebe4e3"/>
    <w:p>
      <w:pPr>
        <w:pStyle w:val="Heading3"/>
      </w:pPr>
      <w:r>
        <w:t xml:space="preserve">6. Michael Douglas,</w:t>
      </w:r>
      <w:r>
        <w:t xml:space="preserve"> </w:t>
      </w:r>
      <w:r>
        <w:t xml:space="preserve">‘</w:t>
      </w:r>
      <w:r>
        <w:t xml:space="preserve">What Is the Value of Freedom? Nominal Damages for False Imprisonment:</w:t>
      </w:r>
      <w:r>
        <w:t xml:space="preserve"> </w:t>
      </w:r>
      <w:r>
        <w:rPr>
          <w:iCs/>
          <w:i/>
        </w:rPr>
        <w:t xml:space="preserve">Fernando v Commonwealth of Australia (No 5)</w:t>
      </w:r>
      <w:r>
        <w:t xml:space="preserve"> </w:t>
      </w:r>
      <w:r>
        <w:t xml:space="preserve">[2013] FCA 901</w:t>
      </w:r>
      <w:r>
        <w:t xml:space="preserve">’</w:t>
      </w:r>
      <w:r>
        <w:t xml:space="preserve"> </w:t>
      </w:r>
      <w:r>
        <w:t xml:space="preserve">(2013) 21(3)</w:t>
      </w:r>
      <w:r>
        <w:t xml:space="preserve"> </w:t>
      </w:r>
      <w:r>
        <w:rPr>
          <w:iCs/>
          <w:i/>
        </w:rPr>
        <w:t xml:space="preserve">Tort Law Review</w:t>
      </w:r>
      <w:r>
        <w:t xml:space="preserve"> </w:t>
      </w:r>
      <w:r>
        <w:t xml:space="preserve">117 ○</w:t>
      </w:r>
    </w:p>
    <w:p>
      <w:pPr>
        <w:numPr>
          <w:ilvl w:val="0"/>
          <w:numId w:val="1014"/>
        </w:numPr>
        <w:pStyle w:val="Compact"/>
      </w:pPr>
      <w:r>
        <w:rPr>
          <w:bCs/>
          <w:b/>
        </w:rPr>
        <w:t xml:space="preserve">Access:</w:t>
      </w:r>
      <w:r>
        <w:t xml:space="preserve"> </w:t>
      </w:r>
      <w:r>
        <w:t xml:space="preserve">Westlaw AU (Thomson Reuters). SSRN abstract 3470997; UWA research repository record.</w:t>
      </w:r>
      <w:r>
        <w:t xml:space="preserve"> </w:t>
      </w:r>
      <w:r>
        <w:rPr>
          <w:bCs/>
          <w:b/>
        </w:rPr>
        <w:t xml:space="preserve">A three-page case note (117–119)</w:t>
      </w:r>
      <w:r>
        <w:t xml:space="preserve"> </w:t>
      </w:r>
      <w:r>
        <w:t xml:space="preserve">— citation and page range confirmed on the UWA repository;</w:t>
      </w:r>
      <w:r>
        <w:t xml:space="preserve"> </w:t>
      </w:r>
      <w:r>
        <w:rPr>
          <w:bCs/>
          <w:b/>
        </w:rPr>
        <w:t xml:space="preserve">full text not read</w:t>
      </w:r>
      <w:r>
        <w:t xml:space="preserve">, so the three pinpoints below are allocated by position within a three-page note and must be checked.</w:t>
      </w:r>
    </w:p>
    <w:p>
      <w:pPr>
        <w:numPr>
          <w:ilvl w:val="0"/>
          <w:numId w:val="1014"/>
        </w:numPr>
        <w:pStyle w:val="Compact"/>
      </w:pPr>
      <w:r>
        <w:rPr>
          <w:bCs/>
          <w:b/>
        </w:rPr>
        <w:t xml:space="preserve">What it argues:</w:t>
      </w:r>
      <w:r>
        <w:t xml:space="preserve"> </w:t>
      </w:r>
      <w:r>
        <w:t xml:space="preserve">Lloyd Fernando was unlawfully held in immigration detention for 1,203 days and received $1 in nominal damages, no substantial or aggravated damages, $25,000 in exemplary damages and (potentially) indemnity costs. Douglas’s line is that the outcome is</w:t>
      </w:r>
      <w:r>
        <w:t xml:space="preserve"> </w:t>
      </w:r>
      <w:r>
        <w:t xml:space="preserve">“</w:t>
      </w:r>
      <w:r>
        <w:t xml:space="preserve">a controversial application of fundamental principles</w:t>
      </w:r>
      <w:r>
        <w:t xml:space="preserve">”</w:t>
      </w:r>
      <w:r>
        <w:t xml:space="preserve"> </w:t>
      </w:r>
      <w:r>
        <w:t xml:space="preserve">and that, in tort,</w:t>
      </w:r>
      <w:r>
        <w:t xml:space="preserve"> </w:t>
      </w:r>
      <w:r>
        <w:t xml:space="preserve">“</w:t>
      </w:r>
      <w:r>
        <w:t xml:space="preserve">the value of freedom depends on the person imprisoned</w:t>
      </w:r>
      <w:r>
        <w:t xml:space="preserve">”</w:t>
      </w:r>
      <w:r>
        <w:t xml:space="preserve"> </w:t>
      </w:r>
      <w:r>
        <w:t xml:space="preserve">— the reasoning about what would have happened to</w:t>
      </w:r>
      <w:r>
        <w:t xml:space="preserve"> </w:t>
      </w:r>
      <w:r>
        <w:rPr>
          <w:iCs/>
          <w:i/>
        </w:rPr>
        <w:t xml:space="preserve">this</w:t>
      </w:r>
      <w:r>
        <w:t xml:space="preserve"> </w:t>
      </w:r>
      <w:r>
        <w:t xml:space="preserve">plaintiff drove the valuation of the right.</w:t>
      </w:r>
    </w:p>
    <w:p>
      <w:pPr>
        <w:numPr>
          <w:ilvl w:val="0"/>
          <w:numId w:val="1014"/>
        </w:numPr>
        <w:pStyle w:val="Compact"/>
      </w:pPr>
      <w:r>
        <w:rPr>
          <w:bCs/>
          <w:b/>
        </w:rPr>
        <w:t xml:space="preserve">Why it survived screening:</w:t>
      </w:r>
      <w:r>
        <w:t xml:space="preserve"> </w:t>
      </w:r>
      <w:r>
        <w:t xml:space="preserve">It is the Australian immigration-detention precedent for the remedial limit, and it is short enough for a second-year student to read properly and annotate honestly. Numbers do argumentative work: 1,203 days, $1. That contrast will earn more in 1,500 words than a paragraph of theory.</w:t>
      </w:r>
    </w:p>
    <w:p>
      <w:pPr>
        <w:numPr>
          <w:ilvl w:val="0"/>
          <w:numId w:val="1014"/>
        </w:numPr>
        <w:pStyle w:val="Compact"/>
      </w:pPr>
      <w:r>
        <w:rPr>
          <w:bCs/>
          <w:b/>
        </w:rPr>
        <w:t xml:space="preserve">Annotations</w:t>
      </w:r>
    </w:p>
    <w:p>
      <w:pPr>
        <w:numPr>
          <w:ilvl w:val="1"/>
          <w:numId w:val="1015"/>
        </w:numPr>
        <w:pStyle w:val="Compact"/>
      </w:pPr>
      <w:r>
        <w:rPr>
          <w:rStyle w:val="VerbatimChar"/>
        </w:rPr>
        <w:t xml:space="preserve">p 117 [1 — confirm]</w:t>
      </w:r>
      <w:r>
        <w:t xml:space="preserve"> </w:t>
      </w:r>
      <w:r>
        <w:t xml:space="preserve">— 1,203 days of unlawful immigration detention; $1 nominal damages. I will open my limits section with this: the same statutory regime, the same kind of plaintiff, and the remedy that</w:t>
      </w:r>
      <w:r>
        <w:t xml:space="preserve"> </w:t>
      </w:r>
      <w:r>
        <w:rPr>
          <w:iCs/>
          <w:i/>
        </w:rPr>
        <w:t xml:space="preserve">Abdel-Hady</w:t>
      </w:r>
      <w:r>
        <w:t xml:space="preserve"> </w:t>
      </w:r>
      <w:r>
        <w:t xml:space="preserve">leaves open. If liberty is</w:t>
      </w:r>
      <w:r>
        <w:t xml:space="preserve"> </w:t>
      </w:r>
      <w:r>
        <w:t xml:space="preserve">“</w:t>
      </w:r>
      <w:r>
        <w:t xml:space="preserve">the most elementary and important of all common law rights</w:t>
      </w:r>
      <w:r>
        <w:t xml:space="preserve">”</w:t>
      </w:r>
      <w:r>
        <w:t xml:space="preserve"> </w:t>
      </w:r>
      <w:r>
        <w:t xml:space="preserve">([97]), $1 is not a vindication of it.</w:t>
      </w:r>
    </w:p>
    <w:p>
      <w:pPr>
        <w:numPr>
          <w:ilvl w:val="1"/>
          <w:numId w:val="1015"/>
        </w:numPr>
        <w:pStyle w:val="Compact"/>
      </w:pPr>
      <w:r>
        <w:rPr>
          <w:rStyle w:val="VerbatimChar"/>
        </w:rPr>
        <w:t xml:space="preserve">p 118 [2 — confirm]</w:t>
      </w:r>
      <w:r>
        <w:t xml:space="preserve"> </w:t>
      </w:r>
      <w:r>
        <w:t xml:space="preserve">— Douglas’s observation that the value of freedom came to depend on the identity and circumstances of the person imprisoned. This is the sting: the counterfactual inquiry ends up assessing the plaintiff rather than the wrong. Use with Erbacher &amp; Taliadoros at 720 (extra-relational factors).</w:t>
      </w:r>
    </w:p>
    <w:p>
      <w:pPr>
        <w:numPr>
          <w:ilvl w:val="1"/>
          <w:numId w:val="1015"/>
        </w:numPr>
        <w:pStyle w:val="Compact"/>
      </w:pPr>
      <w:r>
        <w:rPr>
          <w:rStyle w:val="VerbatimChar"/>
        </w:rPr>
        <w:t xml:space="preserve">p 119 [3 — confirm]</w:t>
      </w:r>
      <w:r>
        <w:t xml:space="preserve"> </w:t>
      </w:r>
      <w:r>
        <w:t xml:space="preserve">— The $25,000 exemplary award. Two uses. It shows tort retains a punitive edge against government, which is a genuine strength; but exemplary damages require conscious wrongdoing, and the</w:t>
      </w:r>
      <w:r>
        <w:t xml:space="preserve"> </w:t>
      </w:r>
      <w:r>
        <w:rPr>
          <w:iCs/>
          <w:i/>
        </w:rPr>
        <w:t xml:space="preserve">Abdel-Hady</w:t>
      </w:r>
      <w:r>
        <w:t xml:space="preserve"> </w:t>
      </w:r>
      <w:r>
        <w:t xml:space="preserve">officer acted in conformity with</w:t>
      </w:r>
      <w:r>
        <w:t xml:space="preserve"> </w:t>
      </w:r>
      <w:r>
        <w:rPr>
          <w:iCs/>
          <w:i/>
        </w:rPr>
        <w:t xml:space="preserve">Al-Kateb</w:t>
      </w:r>
      <w:r>
        <w:t xml:space="preserve"> </w:t>
      </w:r>
      <w:r>
        <w:t xml:space="preserve">and is described as</w:t>
      </w:r>
      <w:r>
        <w:t xml:space="preserve"> </w:t>
      </w:r>
      <w:r>
        <w:t xml:space="preserve">“</w:t>
      </w:r>
      <w:r>
        <w:t xml:space="preserve">blameless</w:t>
      </w:r>
      <w:r>
        <w:t xml:space="preserve">”</w:t>
      </w:r>
      <w:r>
        <w:t xml:space="preserve"> </w:t>
      </w:r>
      <w:r>
        <w:t xml:space="preserve">(Gordon J at [92]) — so the one head of damages that would mark the wrong is unavailable on these facts. That asymmetry is a paragraph.</w:t>
      </w:r>
    </w:p>
    <w:p>
      <w:pPr>
        <w:numPr>
          <w:ilvl w:val="0"/>
          <w:numId w:val="1014"/>
        </w:numPr>
        <w:pStyle w:val="Compact"/>
      </w:pPr>
      <w:r>
        <w:rPr>
          <w:bCs/>
          <w:b/>
        </w:rPr>
        <w:t xml:space="preserve">Best use:</w:t>
      </w:r>
      <w:r>
        <w:t xml:space="preserve"> </w:t>
      </w:r>
      <w:r>
        <w:rPr>
          <w:bCs/>
          <w:b/>
        </w:rPr>
        <w:t xml:space="preserve">L2</w:t>
      </w:r>
      <w:r>
        <w:t xml:space="preserve">. The concrete anchor for the theoretical point in sources 1 and 5.</w:t>
      </w:r>
    </w:p>
    <w:p>
      <w:pPr>
        <w:numPr>
          <w:ilvl w:val="0"/>
          <w:numId w:val="1014"/>
        </w:numPr>
        <w:pStyle w:val="Compact"/>
      </w:pPr>
      <w:r>
        <w:rPr>
          <w:bCs/>
          <w:b/>
        </w:rPr>
        <w:t xml:space="preserve">Caveats:</w:t>
      </w:r>
      <w:r>
        <w:t xml:space="preserve"> </w:t>
      </w:r>
      <w:r>
        <w:t xml:space="preserve">Full text not read; all three pinpoints unconfirmed. Also note the procedural history: the Full Court decision is</w:t>
      </w:r>
      <w:r>
        <w:t xml:space="preserve"> </w:t>
      </w:r>
      <w:r>
        <w:rPr>
          <w:iCs/>
          <w:i/>
        </w:rPr>
        <w:t xml:space="preserve">Fernando v Commonwealth</w:t>
      </w:r>
      <w:r>
        <w:t xml:space="preserve"> </w:t>
      </w:r>
      <w:r>
        <w:t xml:space="preserve">(2014) 231 FCR 251, and special leave to the High Court was revoked in 2015, so</w:t>
      </w:r>
      <w:r>
        <w:t xml:space="preserve"> </w:t>
      </w:r>
      <w:r>
        <w:rPr>
          <w:iCs/>
          <w:i/>
        </w:rPr>
        <w:t xml:space="preserve">Fernando</w:t>
      </w:r>
      <w:r>
        <w:t xml:space="preserve"> </w:t>
      </w:r>
      <w:r>
        <w:t xml:space="preserve">was not tested above the Full Court. Cite the case for the outcome and Douglas for the critique.</w:t>
      </w:r>
    </w:p>
    <w:bookmarkEnd w:id="32"/>
    <w:bookmarkStart w:id="33" w:name="Xf91f2b06206959ef639f072c80a7a7179052692"/>
    <w:p>
      <w:pPr>
        <w:pStyle w:val="Heading3"/>
      </w:pPr>
      <w:r>
        <w:t xml:space="preserve">7. Daniel Gilligan,</w:t>
      </w:r>
      <w:r>
        <w:t xml:space="preserve"> </w:t>
      </w:r>
      <w:r>
        <w:t xml:space="preserve">‘</w:t>
      </w:r>
      <w:r>
        <w:t xml:space="preserve">Damages and the</w:t>
      </w:r>
      <w:r>
        <w:t xml:space="preserve"> </w:t>
      </w:r>
      <w:r>
        <w:t xml:space="preserve">“</w:t>
      </w:r>
      <w:r>
        <w:t xml:space="preserve">Essence</w:t>
      </w:r>
      <w:r>
        <w:t xml:space="preserve">”</w:t>
      </w:r>
      <w:r>
        <w:t xml:space="preserve"> </w:t>
      </w:r>
      <w:r>
        <w:t xml:space="preserve">of False Imprisonment:</w:t>
      </w:r>
      <w:r>
        <w:t xml:space="preserve"> </w:t>
      </w:r>
      <w:r>
        <w:rPr>
          <w:iCs/>
          <w:i/>
        </w:rPr>
        <w:t xml:space="preserve">GE v Commissioner of An Garda Síochána</w:t>
      </w:r>
      <w:r>
        <w:t xml:space="preserve"> </w:t>
      </w:r>
      <w:r>
        <w:t xml:space="preserve">[2022] IESC 51</w:t>
      </w:r>
      <w:r>
        <w:t xml:space="preserve">’</w:t>
      </w:r>
      <w:r>
        <w:t xml:space="preserve"> </w:t>
      </w:r>
      <w:r>
        <w:t xml:space="preserve">(2024) 44(3)</w:t>
      </w:r>
      <w:r>
        <w:t xml:space="preserve"> </w:t>
      </w:r>
      <w:r>
        <w:rPr>
          <w:iCs/>
          <w:i/>
        </w:rPr>
        <w:t xml:space="preserve">Legal Studies</w:t>
      </w:r>
      <w:r>
        <w:t xml:space="preserve"> </w:t>
      </w:r>
      <w:r>
        <w:t xml:space="preserve">560 ●</w:t>
      </w:r>
    </w:p>
    <w:p>
      <w:pPr>
        <w:numPr>
          <w:ilvl w:val="0"/>
          <w:numId w:val="1016"/>
        </w:numPr>
        <w:pStyle w:val="Compact"/>
      </w:pPr>
      <w:r>
        <w:rPr>
          <w:bCs/>
          <w:b/>
        </w:rPr>
        <w:t xml:space="preserve">Access:</w:t>
      </w:r>
      <w:r>
        <w:t xml:space="preserve"> </w:t>
      </w:r>
      <w:r>
        <w:t xml:space="preserve">Open access at Cambridge Core (</w:t>
      </w:r>
      <w:r>
        <w:rPr>
          <w:rStyle w:val="VerbatimChar"/>
        </w:rPr>
        <w:t xml:space="preserve">doi.org/10.1017/lst.2024.13</w:t>
      </w:r>
      <w:r>
        <w:t xml:space="preserve">); direct PDF available. Pages 560–565. Sections: Introduction (560), Facts (561), Judgment (561), Comment (563).</w:t>
      </w:r>
    </w:p>
    <w:p>
      <w:pPr>
        <w:numPr>
          <w:ilvl w:val="0"/>
          <w:numId w:val="1016"/>
        </w:numPr>
        <w:pStyle w:val="Compact"/>
      </w:pPr>
      <w:r>
        <w:rPr>
          <w:bCs/>
          <w:b/>
        </w:rPr>
        <w:t xml:space="preserve">What it argues:</w:t>
      </w:r>
      <w:r>
        <w:t xml:space="preserve"> </w:t>
      </w:r>
      <w:r>
        <w:t xml:space="preserve">The Irish Supreme Court unanimously departed from both</w:t>
      </w:r>
      <w:r>
        <w:t xml:space="preserve"> </w:t>
      </w:r>
      <w:r>
        <w:rPr>
          <w:iCs/>
          <w:i/>
        </w:rPr>
        <w:t xml:space="preserve">Lumba</w:t>
      </w:r>
      <w:r>
        <w:t xml:space="preserve"> </w:t>
      </w:r>
      <w:r>
        <w:t xml:space="preserve">and</w:t>
      </w:r>
      <w:r>
        <w:t xml:space="preserve"> </w:t>
      </w:r>
      <w:r>
        <w:rPr>
          <w:iCs/>
          <w:i/>
        </w:rPr>
        <w:t xml:space="preserve">Lewis</w:t>
      </w:r>
      <w:r>
        <w:t xml:space="preserve"> </w:t>
      </w:r>
      <w:r>
        <w:t xml:space="preserve">and awarded €7,500 on materially similar facts — an asylum seeker whose detention was unlawful only because the warrant failed to record the refusal of landing permission and the reasons for arrest, where lawful detention had been available. Hogan J held that false imprisonment ordinarily entitles the victim to substantial damages, reserving nominal awards for the</w:t>
      </w:r>
      <w:r>
        <w:t xml:space="preserve"> </w:t>
      </w:r>
      <w:r>
        <w:t xml:space="preserve">“</w:t>
      </w:r>
      <w:r>
        <w:t xml:space="preserve">purely technical or fleeting</w:t>
      </w:r>
      <w:r>
        <w:t xml:space="preserve">”</w:t>
      </w:r>
      <w:r>
        <w:t xml:space="preserve">; vindication is not a separate head but is reflected in quantum. Gilligan’s contribution is the explanation: a</w:t>
      </w:r>
      <w:r>
        <w:t xml:space="preserve"> </w:t>
      </w:r>
      <w:r>
        <w:rPr>
          <w:iCs/>
          <w:i/>
        </w:rPr>
        <w:t xml:space="preserve">liberty-as-autonomy</w:t>
      </w:r>
      <w:r>
        <w:t xml:space="preserve"> </w:t>
      </w:r>
      <w:r>
        <w:t xml:space="preserve">conception cannot justify substantial damages here (the plaintiff’s real options were unchanged), but a</w:t>
      </w:r>
      <w:r>
        <w:t xml:space="preserve"> </w:t>
      </w:r>
      <w:r>
        <w:rPr>
          <w:iCs/>
          <w:i/>
        </w:rPr>
        <w:t xml:space="preserve">liberty-as-non-subordination</w:t>
      </w:r>
      <w:r>
        <w:t xml:space="preserve"> </w:t>
      </w:r>
      <w:r>
        <w:t xml:space="preserve">conception can, because the wrong is having one’s bodily purposes determined by another’s unilateral choice, and that wrong persists whether or not autonomy is affected.</w:t>
      </w:r>
    </w:p>
    <w:p>
      <w:pPr>
        <w:numPr>
          <w:ilvl w:val="0"/>
          <w:numId w:val="1016"/>
        </w:numPr>
        <w:pStyle w:val="Compact"/>
      </w:pPr>
      <w:r>
        <w:rPr>
          <w:bCs/>
          <w:b/>
        </w:rPr>
        <w:t xml:space="preserve">Why it survived screening:</w:t>
      </w:r>
      <w:r>
        <w:t xml:space="preserve"> </w:t>
      </w:r>
      <w:r>
        <w:t xml:space="preserve">It is the cleanest available proof that the Australian position is a choice rather than a necessity, and it hands you a philosophical reason for the outcome instead of an assertion. Six pages, open access — the best value-for-effort source on the list.</w:t>
      </w:r>
    </w:p>
    <w:p>
      <w:pPr>
        <w:numPr>
          <w:ilvl w:val="0"/>
          <w:numId w:val="1016"/>
        </w:numPr>
        <w:pStyle w:val="Compact"/>
      </w:pPr>
      <w:r>
        <w:rPr>
          <w:bCs/>
          <w:b/>
        </w:rPr>
        <w:t xml:space="preserve">Annotations</w:t>
      </w:r>
    </w:p>
    <w:p>
      <w:pPr>
        <w:numPr>
          <w:ilvl w:val="1"/>
          <w:numId w:val="1017"/>
        </w:numPr>
        <w:pStyle w:val="Compact"/>
      </w:pPr>
      <w:r>
        <w:rPr>
          <w:rStyle w:val="VerbatimChar"/>
        </w:rPr>
        <w:t xml:space="preserve">p 560 [1]</w:t>
      </w:r>
      <w:r>
        <w:t xml:space="preserve"> </w:t>
      </w:r>
      <w:r>
        <w:t xml:space="preserve">—</w:t>
      </w:r>
      <w:r>
        <w:t xml:space="preserve"> </w:t>
      </w:r>
      <w:r>
        <w:t xml:space="preserve">“</w:t>
      </w:r>
      <w:r>
        <w:t xml:space="preserve">In</w:t>
      </w:r>
      <w:r>
        <w:t xml:space="preserve"> </w:t>
      </w:r>
      <w:r>
        <w:rPr>
          <w:iCs/>
          <w:i/>
        </w:rPr>
        <w:t xml:space="preserve">GE</w:t>
      </w:r>
      <w:r>
        <w:t xml:space="preserve">, Ireland’s Supreme Court unanimously diverged from</w:t>
      </w:r>
      <w:r>
        <w:t xml:space="preserve"> </w:t>
      </w:r>
      <w:r>
        <w:rPr>
          <w:iCs/>
          <w:i/>
        </w:rPr>
        <w:t xml:space="preserve">Lumba</w:t>
      </w:r>
      <w:r>
        <w:t xml:space="preserve"> </w:t>
      </w:r>
      <w:r>
        <w:t xml:space="preserve">and</w:t>
      </w:r>
      <w:r>
        <w:t xml:space="preserve"> </w:t>
      </w:r>
      <w:r>
        <w:rPr>
          <w:iCs/>
          <w:i/>
        </w:rPr>
        <w:t xml:space="preserve">Lewis</w:t>
      </w:r>
      <w:r>
        <w:t xml:space="preserve">, making a small substantial award of €7,500 on similar facts.</w:t>
      </w:r>
      <w:r>
        <w:t xml:space="preserve">”</w:t>
      </w:r>
      <w:r>
        <w:t xml:space="preserve"> </w:t>
      </w:r>
      <w:r>
        <w:t xml:space="preserve">The comparative pivot of my paper: three common law systems, the same problem, two answers. I will use it to argue that</w:t>
      </w:r>
      <w:r>
        <w:t xml:space="preserve"> </w:t>
      </w:r>
      <w:r>
        <w:rPr>
          <w:iCs/>
          <w:i/>
        </w:rPr>
        <w:t xml:space="preserve">Lewis</w:t>
      </w:r>
      <w:r>
        <w:t xml:space="preserve"> </w:t>
      </w:r>
      <w:r>
        <w:t xml:space="preserve">reflects a contestable theory of liberty, not the logic of the tort.</w:t>
      </w:r>
    </w:p>
    <w:p>
      <w:pPr>
        <w:numPr>
          <w:ilvl w:val="1"/>
          <w:numId w:val="1017"/>
        </w:numPr>
        <w:pStyle w:val="Compact"/>
      </w:pPr>
      <w:r>
        <w:rPr>
          <w:rStyle w:val="VerbatimChar"/>
        </w:rPr>
        <w:t xml:space="preserve">p 560 [2]</w:t>
      </w:r>
      <w:r>
        <w:t xml:space="preserve"> </w:t>
      </w:r>
      <w:r>
        <w:t xml:space="preserve">— The structural point that in all three cases a procedural defect rendered the detention unlawful although lawful detention was available. Note the difference in</w:t>
      </w:r>
      <w:r>
        <w:t xml:space="preserve"> </w:t>
      </w:r>
      <w:r>
        <w:rPr>
          <w:iCs/>
          <w:i/>
        </w:rPr>
        <w:t xml:space="preserve">Abdel-Hady</w:t>
      </w:r>
      <w:r>
        <w:t xml:space="preserve">: the defect was not procedural but constitutional, so the</w:t>
      </w:r>
      <w:r>
        <w:t xml:space="preserve"> </w:t>
      </w:r>
      <w:r>
        <w:t xml:space="preserve">“</w:t>
      </w:r>
      <w:r>
        <w:t xml:space="preserve">could and would</w:t>
      </w:r>
      <w:r>
        <w:t xml:space="preserve">”</w:t>
      </w:r>
      <w:r>
        <w:t xml:space="preserve"> </w:t>
      </w:r>
      <w:r>
        <w:t xml:space="preserve">premise is harder for the Commonwealth to establish. Sharpens my argument rather than just importing Gilligan’s.</w:t>
      </w:r>
    </w:p>
    <w:p>
      <w:pPr>
        <w:numPr>
          <w:ilvl w:val="1"/>
          <w:numId w:val="1017"/>
        </w:numPr>
        <w:pStyle w:val="Compact"/>
      </w:pPr>
      <w:r>
        <w:rPr>
          <w:rStyle w:val="VerbatimChar"/>
        </w:rPr>
        <w:t xml:space="preserve">p 561 [3]</w:t>
      </w:r>
      <w:r>
        <w:t xml:space="preserve"> </w:t>
      </w:r>
      <w:r>
        <w:t xml:space="preserve">— Hogan J: nominal awards in</w:t>
      </w:r>
      <w:r>
        <w:t xml:space="preserve"> </w:t>
      </w:r>
      <w:r>
        <w:rPr>
          <w:iCs/>
          <w:i/>
        </w:rPr>
        <w:t xml:space="preserve">GE</w:t>
      </w:r>
      <w:r>
        <w:t xml:space="preserve">-type cases would</w:t>
      </w:r>
      <w:r>
        <w:t xml:space="preserve"> </w:t>
      </w:r>
      <w:r>
        <w:t xml:space="preserve">“</w:t>
      </w:r>
      <w:r>
        <w:t xml:space="preserve">seriously devalue the tort of false imprisonment</w:t>
      </w:r>
      <w:r>
        <w:t xml:space="preserve">”</w:t>
      </w:r>
      <w:r>
        <w:t xml:space="preserve">. This is what I say Australia risks after</w:t>
      </w:r>
      <w:r>
        <w:t xml:space="preserve"> </w:t>
      </w:r>
      <w:r>
        <w:rPr>
          <w:iCs/>
          <w:i/>
        </w:rPr>
        <w:t xml:space="preserve">Abdel-Hady</w:t>
      </w:r>
      <w:r>
        <w:t xml:space="preserve">: a tort held up at [96]–[97] as a constitutional safeguard, remedied at $1.</w:t>
      </w:r>
    </w:p>
    <w:p>
      <w:pPr>
        <w:numPr>
          <w:ilvl w:val="1"/>
          <w:numId w:val="1017"/>
        </w:numPr>
        <w:pStyle w:val="Compact"/>
      </w:pPr>
      <w:r>
        <w:rPr>
          <w:rStyle w:val="VerbatimChar"/>
        </w:rPr>
        <w:t xml:space="preserve">p 562 [4]</w:t>
      </w:r>
      <w:r>
        <w:t xml:space="preserve"> </w:t>
      </w:r>
      <w:r>
        <w:t xml:space="preserve">— Contrast noted: nominal damages awarded for constitutional rights violations on the basis that the violation did not make the plaintiff worse off. Useful complication — even in a jurisdiction with entrenched rights, the</w:t>
      </w:r>
      <w:r>
        <w:t xml:space="preserve"> </w:t>
      </w:r>
      <w:r>
        <w:t xml:space="preserve">“</w:t>
      </w:r>
      <w:r>
        <w:t xml:space="preserve">no worse off</w:t>
      </w:r>
      <w:r>
        <w:t xml:space="preserve">”</w:t>
      </w:r>
      <w:r>
        <w:t xml:space="preserve"> </w:t>
      </w:r>
      <w:r>
        <w:t xml:space="preserve">logic bites. Supports my larger claim that the remedial problem is not solved by having a charter (links to source 20).</w:t>
      </w:r>
    </w:p>
    <w:p>
      <w:pPr>
        <w:numPr>
          <w:ilvl w:val="1"/>
          <w:numId w:val="1017"/>
        </w:numPr>
        <w:pStyle w:val="Compact"/>
      </w:pPr>
      <w:r>
        <w:rPr>
          <w:rStyle w:val="VerbatimChar"/>
        </w:rPr>
        <w:t xml:space="preserve">p 563 [5]</w:t>
      </w:r>
      <w:r>
        <w:t xml:space="preserve"> </w:t>
      </w:r>
      <w:r>
        <w:t xml:space="preserve">— Liberty-as-autonomy:</w:t>
      </w:r>
      <w:r>
        <w:t xml:space="preserve"> </w:t>
      </w:r>
      <w:r>
        <w:t xml:space="preserve">“</w:t>
      </w:r>
      <w:r>
        <w:t xml:space="preserve">if P would inevitably have been detained, he would always have had the same limited options available to him</w:t>
      </w:r>
      <w:r>
        <w:t xml:space="preserve">”</w:t>
      </w:r>
      <w:r>
        <w:t xml:space="preserve">. I must state this fairly; it is the best case</w:t>
      </w:r>
      <w:r>
        <w:t xml:space="preserve"> </w:t>
      </w:r>
      <w:r>
        <w:rPr>
          <w:iCs/>
          <w:i/>
        </w:rPr>
        <w:t xml:space="preserve">for</w:t>
      </w:r>
      <w:r>
        <w:t xml:space="preserve"> </w:t>
      </w:r>
      <w:r>
        <w:rPr>
          <w:iCs/>
          <w:i/>
        </w:rPr>
        <w:t xml:space="preserve">Lewis</w:t>
      </w:r>
      <w:r>
        <w:t xml:space="preserve">, and my paper is stronger for conceding it.</w:t>
      </w:r>
    </w:p>
    <w:p>
      <w:pPr>
        <w:numPr>
          <w:ilvl w:val="1"/>
          <w:numId w:val="1017"/>
        </w:numPr>
        <w:pStyle w:val="Compact"/>
      </w:pPr>
      <w:r>
        <w:rPr>
          <w:rStyle w:val="VerbatimChar"/>
        </w:rPr>
        <w:t xml:space="preserve">p 564 [6]</w:t>
      </w:r>
      <w:r>
        <w:t xml:space="preserve"> </w:t>
      </w:r>
      <w:r>
        <w:t xml:space="preserve">— Liberty-as-non-subordination:</w:t>
      </w:r>
      <w:r>
        <w:t xml:space="preserve"> </w:t>
      </w:r>
      <w:r>
        <w:t xml:space="preserve">“</w:t>
      </w:r>
      <w:r>
        <w:t xml:space="preserve">the distinctive moral problem of subordination to another’s will … persists even if the subordination ends up not impacting … autonomy</w:t>
      </w:r>
      <w:r>
        <w:t xml:space="preserve">”</w:t>
      </w:r>
      <w:r>
        <w:t xml:space="preserve">. This is the theory that fits Gordon J at [98] — the tort focuses on</w:t>
      </w:r>
      <w:r>
        <w:t xml:space="preserve"> </w:t>
      </w:r>
      <w:r>
        <w:t xml:space="preserve">“</w:t>
      </w:r>
      <w:r>
        <w:t xml:space="preserve">vindication of liberty and reparation to the victim, rather than upon the presence or absence of moral wrongdoing</w:t>
      </w:r>
      <w:r>
        <w:t xml:space="preserve">”</w:t>
      </w:r>
      <w:r>
        <w:t xml:space="preserve">. Subordination, not consequence.</w:t>
      </w:r>
    </w:p>
    <w:p>
      <w:pPr>
        <w:numPr>
          <w:ilvl w:val="1"/>
          <w:numId w:val="1017"/>
        </w:numPr>
        <w:pStyle w:val="Compact"/>
      </w:pPr>
      <w:r>
        <w:rPr>
          <w:rStyle w:val="VerbatimChar"/>
        </w:rPr>
        <w:t xml:space="preserve">p 564 [7]</w:t>
      </w:r>
      <w:r>
        <w:t xml:space="preserve"> </w:t>
      </w:r>
      <w:r>
        <w:t xml:space="preserve">—</w:t>
      </w:r>
      <w:r>
        <w:t xml:space="preserve"> </w:t>
      </w:r>
      <w:r>
        <w:t xml:space="preserve">“</w:t>
      </w:r>
      <w:r>
        <w:t xml:space="preserve">as free and equal moral agents, we ought to meet one another each of us a</w:t>
      </w:r>
      <w:r>
        <w:t xml:space="preserve"> </w:t>
      </w:r>
      <w:r>
        <w:t xml:space="preserve">‘</w:t>
      </w:r>
      <w:r>
        <w:t xml:space="preserve">small scale sovereign</w:t>
      </w:r>
      <w:r>
        <w:t xml:space="preserve">’</w:t>
      </w:r>
      <w:r>
        <w:t xml:space="preserve">”</w:t>
      </w:r>
      <w:r>
        <w:t xml:space="preserve">. Pairs with Edelman J’s Diceyan equality at [122]: the same egalitarian premise, once as a constitutional principle and once as a moral one.</w:t>
      </w:r>
    </w:p>
    <w:p>
      <w:pPr>
        <w:numPr>
          <w:ilvl w:val="1"/>
          <w:numId w:val="1017"/>
        </w:numPr>
        <w:pStyle w:val="Compact"/>
      </w:pPr>
      <w:r>
        <w:rPr>
          <w:rStyle w:val="VerbatimChar"/>
        </w:rPr>
        <w:t xml:space="preserve">p 564 [8]</w:t>
      </w:r>
      <w:r>
        <w:t xml:space="preserve"> </w:t>
      </w:r>
      <w:r>
        <w:t xml:space="preserve">—</w:t>
      </w:r>
      <w:r>
        <w:t xml:space="preserve"> </w:t>
      </w:r>
      <w:r>
        <w:t xml:space="preserve">“</w:t>
      </w:r>
      <w:r>
        <w:t xml:space="preserve">it is of the essence of the tort … that the imprisonment is without lawful justification</w:t>
      </w:r>
      <w:r>
        <w:t xml:space="preserve">”</w:t>
      </w:r>
      <w:r>
        <w:t xml:space="preserve"> </w:t>
      </w:r>
      <w:r>
        <w:t xml:space="preserve">and the action is</w:t>
      </w:r>
      <w:r>
        <w:t xml:space="preserve"> </w:t>
      </w:r>
      <w:r>
        <w:t xml:space="preserve">“</w:t>
      </w:r>
      <w:r>
        <w:t xml:space="preserve">directed to compensating for a loss of freedom imposed without lawful authority</w:t>
      </w:r>
      <w:r>
        <w:t xml:space="preserve">”</w:t>
      </w:r>
      <w:r>
        <w:t xml:space="preserve">. If unlawfulness is of the essence of the wrong, a damages rule that assumes lawfulness is measuring the wrong thing. My clearest one-line link to Erbacher &amp; Taliadoros at 711.</w:t>
      </w:r>
    </w:p>
    <w:p>
      <w:pPr>
        <w:numPr>
          <w:ilvl w:val="1"/>
          <w:numId w:val="1017"/>
        </w:numPr>
        <w:pStyle w:val="Compact"/>
      </w:pPr>
      <w:r>
        <w:rPr>
          <w:rStyle w:val="VerbatimChar"/>
        </w:rPr>
        <w:t xml:space="preserve">p 565 [9]</w:t>
      </w:r>
      <w:r>
        <w:t xml:space="preserve"> </w:t>
      </w:r>
      <w:r>
        <w:t xml:space="preserve">— Contributory negligence reduced the award. Keep in reserve: it shows the Irish court treating the claim as an ordinary tort claim with ordinary defences rather than a special constitutional remedy — consistent with Nolan’s taxonomy (source 4) that these torts are universal private law.</w:t>
      </w:r>
    </w:p>
    <w:p>
      <w:pPr>
        <w:numPr>
          <w:ilvl w:val="0"/>
          <w:numId w:val="1016"/>
        </w:numPr>
        <w:pStyle w:val="Compact"/>
      </w:pPr>
      <w:r>
        <w:rPr>
          <w:bCs/>
          <w:b/>
        </w:rPr>
        <w:t xml:space="preserve">Best use:</w:t>
      </w:r>
      <w:r>
        <w:t xml:space="preserve"> </w:t>
      </w:r>
      <w:r>
        <w:rPr>
          <w:bCs/>
          <w:b/>
        </w:rPr>
        <w:t xml:space="preserve">L2</w:t>
      </w:r>
      <w:r>
        <w:t xml:space="preserve">, plus</w:t>
      </w:r>
      <w:r>
        <w:t xml:space="preserve"> </w:t>
      </w:r>
      <w:r>
        <w:rPr>
          <w:bCs/>
          <w:b/>
        </w:rPr>
        <w:t xml:space="preserve">S1</w:t>
      </w:r>
      <w:r>
        <w:t xml:space="preserve"> </w:t>
      </w:r>
      <w:r>
        <w:t xml:space="preserve">via notes 6–8. The comparative foil to source 5; the theoretical bridge to source 1.</w:t>
      </w:r>
    </w:p>
    <w:p>
      <w:pPr>
        <w:numPr>
          <w:ilvl w:val="0"/>
          <w:numId w:val="1016"/>
        </w:numPr>
        <w:pStyle w:val="Compact"/>
      </w:pPr>
      <w:r>
        <w:rPr>
          <w:bCs/>
          <w:b/>
        </w:rPr>
        <w:t xml:space="preserve">Caveats:</w:t>
      </w:r>
      <w:r>
        <w:t xml:space="preserve"> </w:t>
      </w:r>
      <w:r>
        <w:t xml:space="preserve">Irish law, and Art 40.3 of the Irish Constitution reinforced the common law position (p 562) — Australia has no equivalent, so do not overstate the transfer. One sentence acknowledging that will read as judgement rather than caution.</w:t>
      </w:r>
    </w:p>
    <w:p>
      <w:r>
        <w:pict>
          <v:rect style="width:0;height:1.5pt" o:hralign="center" o:hrstd="t" o:hr="t"/>
        </w:pict>
      </w:r>
    </w:p>
    <w:bookmarkEnd w:id="33"/>
    <w:bookmarkEnd w:id="34"/>
    <w:bookmarkStart w:id="40" w:name="X0692c9629d8847f6a10cc83c850558e3213bbde"/>
    <w:p>
      <w:pPr>
        <w:pStyle w:val="Heading2"/>
      </w:pPr>
      <w:r>
        <w:t xml:space="preserve">Theme group III — How far tort reaches against the state</w:t>
      </w:r>
    </w:p>
    <w:bookmarkStart w:id="35" w:name="Xbe5ad8b27dacb965b2e15a184e1dbc0cf134fb6"/>
    <w:p>
      <w:pPr>
        <w:pStyle w:val="Heading3"/>
      </w:pPr>
      <w:r>
        <w:t xml:space="preserve">8. Ellen Rock and Greg Weeks,</w:t>
      </w:r>
      <w:r>
        <w:t xml:space="preserve"> </w:t>
      </w:r>
      <w:r>
        <w:t xml:space="preserve">‘</w:t>
      </w:r>
      <w:r>
        <w:t xml:space="preserve">Monetary Awards for Public Law Wrongs: Australia’s Resistant Legal Landscape</w:t>
      </w:r>
      <w:r>
        <w:t xml:space="preserve">’</w:t>
      </w:r>
      <w:r>
        <w:t xml:space="preserve"> </w:t>
      </w:r>
      <w:r>
        <w:t xml:space="preserve">(2018) 41(4)</w:t>
      </w:r>
      <w:r>
        <w:t xml:space="preserve"> </w:t>
      </w:r>
      <w:r>
        <w:rPr>
          <w:iCs/>
          <w:i/>
        </w:rPr>
        <w:t xml:space="preserve">UNSW Law Journal</w:t>
      </w:r>
      <w:r>
        <w:t xml:space="preserve"> </w:t>
      </w:r>
      <w:r>
        <w:t xml:space="preserve">1159 ●</w:t>
      </w:r>
    </w:p>
    <w:p>
      <w:pPr>
        <w:numPr>
          <w:ilvl w:val="0"/>
          <w:numId w:val="1018"/>
        </w:numPr>
      </w:pPr>
      <w:r>
        <w:rPr>
          <w:bCs/>
          <w:b/>
        </w:rPr>
        <w:t xml:space="preserve">Access:</w:t>
      </w:r>
      <w:r>
        <w:t xml:space="preserve"> </w:t>
      </w:r>
      <w:r>
        <w:t xml:space="preserve">Open on AustLII (</w:t>
      </w:r>
      <w:r>
        <w:rPr>
          <w:rStyle w:val="VerbatimChar"/>
        </w:rPr>
        <w:t xml:space="preserve">[2018] UNSWLawJl 40</w:t>
      </w:r>
      <w:r>
        <w:t xml:space="preserve">) and the UNSW Law Journal site; SSRN 3179194. Pages 1159–1186. I read pp 1159–1172 in full (Introduction; II A Missing Remedy?; the opening of III The Allure of Public Law Damages) and confirmed the citation and abstract; pinpoints beyond 1172 are marked.</w:t>
      </w:r>
    </w:p>
    <w:p>
      <w:pPr>
        <w:numPr>
          <w:ilvl w:val="0"/>
          <w:numId w:val="1018"/>
        </w:numPr>
      </w:pPr>
      <w:r>
        <w:rPr>
          <w:bCs/>
          <w:b/>
        </w:rPr>
        <w:t xml:space="preserve">What it argues:</w:t>
      </w:r>
      <w:r>
        <w:t xml:space="preserve"> </w:t>
      </w:r>
      <w:r>
        <w:t xml:space="preserve">There is no general damages remedy in Australia for harm caused by the invalid exercise of public power, and the courts have closed every route that might have produced one — expanding existing torts, creating new ones, and reading remedial powers in review statutes broadly. Any such remedy will have to be legislative. Along the way they build a four-part taxonomy of the relationship between illegality and liability: Type 1, illegality removes an otherwise available defence; Type 2, illegality is an essential but not determinative ingredient; Type 3, illegality is a corollary of liability established on other grounds; Type 4, illegality is irrelevant to liability. Trespass torts, including false imprisonment, are the paradigm Type 1: the officer’s want of authority strips the defence of legal justification. Crucially, none of the four types delivers damages for excess of power</w:t>
      </w:r>
      <w:r>
        <w:t xml:space="preserve"> </w:t>
      </w:r>
      <w:r>
        <w:rPr>
          <w:iCs/>
          <w:i/>
        </w:rPr>
        <w:t xml:space="preserve">as such</w:t>
      </w:r>
      <w:r>
        <w:t xml:space="preserve">.</w:t>
      </w:r>
    </w:p>
    <w:p>
      <w:pPr>
        <w:numPr>
          <w:ilvl w:val="0"/>
          <w:numId w:val="1018"/>
        </w:numPr>
      </w:pPr>
      <w:r>
        <w:rPr>
          <w:bCs/>
          <w:b/>
        </w:rPr>
        <w:t xml:space="preserve">Why it survived screening:</w:t>
      </w:r>
      <w:r>
        <w:t xml:space="preserve"> </w:t>
      </w:r>
      <w:r>
        <w:t xml:space="preserve">This is the frame that makes</w:t>
      </w:r>
      <w:r>
        <w:t xml:space="preserve"> </w:t>
      </w:r>
      <w:r>
        <w:rPr>
          <w:iCs/>
          <w:i/>
        </w:rPr>
        <w:t xml:space="preserve">Abdel-Hady</w:t>
      </w:r>
      <w:r>
        <w:t xml:space="preserve"> </w:t>
      </w:r>
      <w:r>
        <w:t xml:space="preserve">legible as a case about the</w:t>
      </w:r>
      <w:r>
        <w:t xml:space="preserve"> </w:t>
      </w:r>
      <w:r>
        <w:rPr>
          <w:iCs/>
          <w:i/>
        </w:rPr>
        <w:t xml:space="preserve">limits</w:t>
      </w:r>
      <w:r>
        <w:t xml:space="preserve"> </w:t>
      </w:r>
      <w:r>
        <w:t xml:space="preserve">of tort. The plaintiff recovered not because Australian law compensates unlawful government action but because his facts happened to fit a nominate trespass tort. Rock and Weeks also identify, in 2018, the exact doctrinal crux the High Court resolved in 2026 — and they do it by quoting</w:t>
      </w:r>
      <w:r>
        <w:t xml:space="preserve"> </w:t>
      </w:r>
      <w:r>
        <w:rPr>
          <w:iCs/>
          <w:i/>
        </w:rPr>
        <w:t xml:space="preserve">Percy v Hall</w:t>
      </w:r>
      <w:r>
        <w:t xml:space="preserve">, the very authority on which the Commonwealth principally relied.</w:t>
      </w:r>
    </w:p>
    <w:p>
      <w:pPr>
        <w:numPr>
          <w:ilvl w:val="0"/>
          <w:numId w:val="1018"/>
        </w:numPr>
      </w:pPr>
      <w:r>
        <w:rPr>
          <w:bCs/>
          <w:b/>
        </w:rPr>
        <w:t xml:space="preserve">Annotations</w:t>
      </w:r>
    </w:p>
    <w:p>
      <w:pPr>
        <w:numPr>
          <w:ilvl w:val="1"/>
          <w:numId w:val="1019"/>
        </w:numPr>
        <w:pStyle w:val="Compact"/>
      </w:pPr>
      <w:r>
        <w:rPr>
          <w:rStyle w:val="VerbatimChar"/>
        </w:rPr>
        <w:t xml:space="preserve">p 1159 [1]</w:t>
      </w:r>
      <w:r>
        <w:t xml:space="preserve"> </w:t>
      </w:r>
      <w:r>
        <w:t xml:space="preserve">— Framing: the question is</w:t>
      </w:r>
      <w:r>
        <w:t xml:space="preserve"> </w:t>
      </w:r>
      <w:r>
        <w:t xml:space="preserve">“</w:t>
      </w:r>
      <w:r>
        <w:t xml:space="preserve">how harm arising from maladministration could, or should, be repaired</w:t>
      </w:r>
      <w:r>
        <w:t xml:space="preserve">”</w:t>
      </w:r>
      <w:r>
        <w:t xml:space="preserve">, and it</w:t>
      </w:r>
      <w:r>
        <w:t xml:space="preserve"> </w:t>
      </w:r>
      <w:r>
        <w:t xml:space="preserve">“</w:t>
      </w:r>
      <w:r>
        <w:t xml:space="preserve">remains unresolved</w:t>
      </w:r>
      <w:r>
        <w:t xml:space="preserve">”</w:t>
      </w:r>
      <w:r>
        <w:t xml:space="preserve">. I will use this to set up my thesis:</w:t>
      </w:r>
      <w:r>
        <w:t xml:space="preserve"> </w:t>
      </w:r>
      <w:r>
        <w:rPr>
          <w:iCs/>
          <w:i/>
        </w:rPr>
        <w:t xml:space="preserve">Abdel-Hady</w:t>
      </w:r>
      <w:r>
        <w:t xml:space="preserve"> </w:t>
      </w:r>
      <w:r>
        <w:t xml:space="preserve">is not an answer to that question, it is a demonstration that Australia has no answer and must route everything through the nominate torts.</w:t>
      </w:r>
    </w:p>
    <w:p>
      <w:pPr>
        <w:numPr>
          <w:ilvl w:val="1"/>
          <w:numId w:val="1019"/>
        </w:numPr>
        <w:pStyle w:val="Compact"/>
      </w:pPr>
      <w:r>
        <w:rPr>
          <w:rStyle w:val="VerbatimChar"/>
        </w:rPr>
        <w:t xml:space="preserve">p 1161 [2]</w:t>
      </w:r>
      <w:r>
        <w:t xml:space="preserve"> </w:t>
      </w:r>
      <w:r>
        <w:t xml:space="preserve">— The Type 1–4 taxonomy. Type 1 is where</w:t>
      </w:r>
      <w:r>
        <w:t xml:space="preserve"> </w:t>
      </w:r>
      <w:r>
        <w:t xml:space="preserve">“</w:t>
      </w:r>
      <w:r>
        <w:t xml:space="preserve">a finding of illegality may remove a defence which is otherwise available</w:t>
      </w:r>
      <w:r>
        <w:t xml:space="preserve">”</w:t>
      </w:r>
      <w:r>
        <w:t xml:space="preserve">. This is the analytical claim I most want: the tort does not</w:t>
      </w:r>
      <w:r>
        <w:t xml:space="preserve"> </w:t>
      </w:r>
      <w:r>
        <w:rPr>
          <w:iCs/>
          <w:i/>
        </w:rPr>
        <w:t xml:space="preserve">create</w:t>
      </w:r>
      <w:r>
        <w:t xml:space="preserve"> </w:t>
      </w:r>
      <w:r>
        <w:t xml:space="preserve">a liberty right, it withdraws the defendant’s justification. That is precisely the structure of</w:t>
      </w:r>
      <w:r>
        <w:t xml:space="preserve"> </w:t>
      </w:r>
      <w:r>
        <w:rPr>
          <w:iCs/>
          <w:i/>
        </w:rPr>
        <w:t xml:space="preserve">Abdel-Hady</w:t>
      </w:r>
      <w:r>
        <w:t xml:space="preserve"> </w:t>
      </w:r>
      <w:r>
        <w:t xml:space="preserve">at [5] (the statutory duty</w:t>
      </w:r>
      <w:r>
        <w:t xml:space="preserve"> </w:t>
      </w:r>
      <w:r>
        <w:t xml:space="preserve">“</w:t>
      </w:r>
      <w:r>
        <w:t xml:space="preserve">can therefore furnish no answer to a common law action in false imprisonment</w:t>
      </w:r>
      <w:r>
        <w:t xml:space="preserve">”</w:t>
      </w:r>
      <w:r>
        <w:t xml:space="preserve">) and [16].</w:t>
      </w:r>
    </w:p>
    <w:p>
      <w:pPr>
        <w:numPr>
          <w:ilvl w:val="1"/>
          <w:numId w:val="1019"/>
        </w:numPr>
        <w:pStyle w:val="Compact"/>
      </w:pPr>
      <w:r>
        <w:rPr>
          <w:rStyle w:val="VerbatimChar"/>
        </w:rPr>
        <w:t xml:space="preserve">p 1161 [3]</w:t>
      </w:r>
      <w:r>
        <w:t xml:space="preserve"> </w:t>
      </w:r>
      <w:r>
        <w:t xml:space="preserve">—</w:t>
      </w:r>
      <w:r>
        <w:t xml:space="preserve"> </w:t>
      </w:r>
      <w:r>
        <w:t xml:space="preserve">“</w:t>
      </w:r>
      <w:r>
        <w:t xml:space="preserve">The trespass categories of torts fall most squarely within Type 1</w:t>
      </w:r>
      <w:r>
        <w:t xml:space="preserve">”</w:t>
      </w:r>
      <w:r>
        <w:t xml:space="preserve">; an official who detains may rely on the legality of their conduct —</w:t>
      </w:r>
      <w:r>
        <w:t xml:space="preserve"> </w:t>
      </w:r>
      <w:r>
        <w:t xml:space="preserve">“</w:t>
      </w:r>
      <w:r>
        <w:t xml:space="preserve">such as a properly formed reasonable suspicion that the individual is a non-citizen</w:t>
      </w:r>
      <w:r>
        <w:t xml:space="preserve">”</w:t>
      </w:r>
      <w:r>
        <w:t xml:space="preserve"> </w:t>
      </w:r>
      <w:r>
        <w:t xml:space="preserve">(fn 4 citing</w:t>
      </w:r>
      <w:r>
        <w:t xml:space="preserve"> </w:t>
      </w:r>
      <w:r>
        <w:rPr>
          <w:iCs/>
          <w:i/>
        </w:rPr>
        <w:t xml:space="preserve">Ruddock v Taylor</w:t>
      </w:r>
      <w:r>
        <w:t xml:space="preserve">) — to defend a false imprisonment claim. This is the limit in a sentence: where the statute supplies authority, the tort is silent. It explains the nineteen dormant years and why</w:t>
      </w:r>
      <w:r>
        <w:t xml:space="preserve"> </w:t>
      </w:r>
      <w:r>
        <w:rPr>
          <w:iCs/>
          <w:i/>
        </w:rPr>
        <w:t xml:space="preserve">Ruddock</w:t>
      </w:r>
      <w:r>
        <w:t xml:space="preserve"> </w:t>
      </w:r>
      <w:r>
        <w:t xml:space="preserve">failed where</w:t>
      </w:r>
      <w:r>
        <w:t xml:space="preserve"> </w:t>
      </w:r>
      <w:r>
        <w:rPr>
          <w:iCs/>
          <w:i/>
        </w:rPr>
        <w:t xml:space="preserve">Abdel-Hady</w:t>
      </w:r>
      <w:r>
        <w:t xml:space="preserve"> </w:t>
      </w:r>
      <w:r>
        <w:t xml:space="preserve">succeeded.</w:t>
      </w:r>
    </w:p>
    <w:p>
      <w:pPr>
        <w:numPr>
          <w:ilvl w:val="1"/>
          <w:numId w:val="1019"/>
        </w:numPr>
        <w:pStyle w:val="Compact"/>
      </w:pPr>
      <w:r>
        <w:rPr>
          <w:rStyle w:val="VerbatimChar"/>
        </w:rPr>
        <w:t xml:space="preserve">p 1161 [4]</w:t>
      </w:r>
      <w:r>
        <w:t xml:space="preserve"> </w:t>
      </w:r>
      <w:r>
        <w:t xml:space="preserve">— Their statement of the crux:</w:t>
      </w:r>
      <w:r>
        <w:t xml:space="preserve"> </w:t>
      </w:r>
      <w:r>
        <w:t xml:space="preserve">“</w:t>
      </w:r>
      <w:r>
        <w:t xml:space="preserve">Perhaps the most difficult aspect of such claims is determining the scope of liability where the source of legal authority relied on … is later discovered to have been created ultra vires.</w:t>
      </w:r>
      <w:r>
        <w:t xml:space="preserve">”</w:t>
      </w:r>
      <w:r>
        <w:t xml:space="preserve"> </w:t>
      </w:r>
      <w:r>
        <w:t xml:space="preserve">Written eight years before</w:t>
      </w:r>
      <w:r>
        <w:t xml:space="preserve"> </w:t>
      </w:r>
      <w:r>
        <w:rPr>
          <w:iCs/>
          <w:i/>
        </w:rPr>
        <w:t xml:space="preserve">Abdel-Hady</w:t>
      </w:r>
      <w:r>
        <w:t xml:space="preserve">, this is the question the special case asked. I will use it to show the decision resolved a long-identified uncertainty rather than inventing a rule.</w:t>
      </w:r>
    </w:p>
    <w:p>
      <w:pPr>
        <w:numPr>
          <w:ilvl w:val="1"/>
          <w:numId w:val="1019"/>
        </w:numPr>
        <w:pStyle w:val="Compact"/>
      </w:pPr>
      <w:r>
        <w:rPr>
          <w:rStyle w:val="VerbatimChar"/>
        </w:rPr>
        <w:t xml:space="preserve">p 1162 [5]</w:t>
      </w:r>
      <w:r>
        <w:t xml:space="preserve"> </w:t>
      </w:r>
      <w:r>
        <w:t xml:space="preserve">— The block quotation from Simon Brown LJ in</w:t>
      </w:r>
      <w:r>
        <w:t xml:space="preserve"> </w:t>
      </w:r>
      <w:r>
        <w:rPr>
          <w:iCs/>
          <w:i/>
        </w:rPr>
        <w:t xml:space="preserve">Percy v Hall</w:t>
      </w:r>
      <w:r>
        <w:t xml:space="preserve">: it is</w:t>
      </w:r>
      <w:r>
        <w:t xml:space="preserve"> </w:t>
      </w:r>
      <w:r>
        <w:t xml:space="preserve">“</w:t>
      </w:r>
      <w:r>
        <w:t xml:space="preserve">one thing</w:t>
      </w:r>
      <w:r>
        <w:t xml:space="preserve">”</w:t>
      </w:r>
      <w:r>
        <w:t xml:space="preserve"> </w:t>
      </w:r>
      <w:r>
        <w:t xml:space="preserve">for retrospective invalidity to set aside a conviction,</w:t>
      </w:r>
      <w:r>
        <w:t xml:space="preserve"> </w:t>
      </w:r>
      <w:r>
        <w:t xml:space="preserve">“</w:t>
      </w:r>
      <w:r>
        <w:t xml:space="preserve">quite another to hold that it transforms what, judged at the time, was to be regarded as the lawful discharge of the constables’ duty into what must later be found actionably tortious conduct</w:t>
      </w:r>
      <w:r>
        <w:t xml:space="preserve">”</w:t>
      </w:r>
      <w:r>
        <w:t xml:space="preserve">. This</w:t>
      </w:r>
      <w:r>
        <w:t xml:space="preserve"> </w:t>
      </w:r>
      <w:r>
        <w:rPr>
          <w:iCs/>
          <w:i/>
        </w:rPr>
        <w:t xml:space="preserve">is</w:t>
      </w:r>
      <w:r>
        <w:t xml:space="preserve"> </w:t>
      </w:r>
      <w:r>
        <w:t xml:space="preserve">the Commonwealth’s argument. Set it against the plurality’s answer at [46] —</w:t>
      </w:r>
      <w:r>
        <w:t xml:space="preserve"> </w:t>
      </w:r>
      <w:r>
        <w:rPr>
          <w:iCs/>
          <w:i/>
        </w:rPr>
        <w:t xml:space="preserve">Percy</w:t>
      </w:r>
      <w:r>
        <w:t xml:space="preserve"> </w:t>
      </w:r>
      <w:r>
        <w:t xml:space="preserve">is better read as a case where the elements of the tort were never made out because the arrest power itself was valid — and I have a genuine engagement with the strongest contrary authority.</w:t>
      </w:r>
    </w:p>
    <w:p>
      <w:pPr>
        <w:numPr>
          <w:ilvl w:val="1"/>
          <w:numId w:val="1019"/>
        </w:numPr>
        <w:pStyle w:val="Compact"/>
      </w:pPr>
      <w:r>
        <w:rPr>
          <w:rStyle w:val="VerbatimChar"/>
        </w:rPr>
        <w:t xml:space="preserve">p 1162 [6]</w:t>
      </w:r>
      <w:r>
        <w:t xml:space="preserve"> </w:t>
      </w:r>
      <w:r>
        <w:t xml:space="preserve">— Their point that the complexity traces to</w:t>
      </w:r>
      <w:r>
        <w:t xml:space="preserve"> </w:t>
      </w:r>
      <w:r>
        <w:t xml:space="preserve">“</w:t>
      </w:r>
      <w:r>
        <w:t xml:space="preserve">historical difficulties of characterising the practical and legal results that flow from a finding that a decision or instrument was made ultra vires</w:t>
      </w:r>
      <w:r>
        <w:t xml:space="preserve">”</w:t>
      </w:r>
      <w:r>
        <w:t xml:space="preserve">, and that the</w:t>
      </w:r>
      <w:r>
        <w:t xml:space="preserve"> </w:t>
      </w:r>
      <w:r>
        <w:t xml:space="preserve">“</w:t>
      </w:r>
      <w:r>
        <w:t xml:space="preserve">reasonable suspicion</w:t>
      </w:r>
      <w:r>
        <w:t xml:space="preserve">”</w:t>
      </w:r>
      <w:r>
        <w:t xml:space="preserve"> </w:t>
      </w:r>
      <w:r>
        <w:t xml:space="preserve">protection may have limits (McHugh J in</w:t>
      </w:r>
      <w:r>
        <w:t xml:space="preserve"> </w:t>
      </w:r>
      <w:r>
        <w:rPr>
          <w:iCs/>
          <w:i/>
        </w:rPr>
        <w:t xml:space="preserve">Coleman v Power</w:t>
      </w:r>
      <w:r>
        <w:t xml:space="preserve">). Ties to Gordon J’s footnote at [114] querying whether an arrest under an unconstitutional offence provision is lawful — the boundary is still unsettled after</w:t>
      </w:r>
      <w:r>
        <w:t xml:space="preserve"> </w:t>
      </w:r>
      <w:r>
        <w:rPr>
          <w:iCs/>
          <w:i/>
        </w:rPr>
        <w:t xml:space="preserve">Abdel-Hady</w:t>
      </w:r>
      <w:r>
        <w:t xml:space="preserve">.</w:t>
      </w:r>
    </w:p>
    <w:p>
      <w:pPr>
        <w:numPr>
          <w:ilvl w:val="1"/>
          <w:numId w:val="1019"/>
        </w:numPr>
        <w:pStyle w:val="Compact"/>
      </w:pPr>
      <w:r>
        <w:rPr>
          <w:rStyle w:val="VerbatimChar"/>
        </w:rPr>
        <w:t xml:space="preserve">p 1163 [7]</w:t>
      </w:r>
      <w:r>
        <w:t xml:space="preserve"> </w:t>
      </w:r>
      <w:r>
        <w:t xml:space="preserve">— Misfeasance in public office is Type 2 or Type 3, and requires targeted malice or knowing/reckless excess of power with foresight of harm. The comparison writes itself: the only Australian tort designed for abuse of public power demands bad faith, which is why a strict trespass tort is the more powerful instrument. Links to Nolan (source 4) and to Aronson’s</w:t>
      </w:r>
      <w:r>
        <w:t xml:space="preserve"> </w:t>
      </w:r>
      <w:r>
        <w:t xml:space="preserve">“</w:t>
      </w:r>
      <w:r>
        <w:t xml:space="preserve">very peculiar tort</w:t>
      </w:r>
      <w:r>
        <w:t xml:space="preserve">”</w:t>
      </w:r>
      <w:r>
        <w:t xml:space="preserve">.</w:t>
      </w:r>
    </w:p>
    <w:p>
      <w:pPr>
        <w:numPr>
          <w:ilvl w:val="1"/>
          <w:numId w:val="1019"/>
        </w:numPr>
        <w:pStyle w:val="Compact"/>
      </w:pPr>
      <w:r>
        <w:rPr>
          <w:rStyle w:val="VerbatimChar"/>
        </w:rPr>
        <w:t xml:space="preserve">p 1161 [8]</w:t>
      </w:r>
      <w:r>
        <w:t xml:space="preserve"> </w:t>
      </w:r>
      <w:r>
        <w:t xml:space="preserve">—</w:t>
      </w:r>
      <w:r>
        <w:t xml:space="preserve"> </w:t>
      </w:r>
      <w:r>
        <w:t xml:space="preserve">“</w:t>
      </w:r>
      <w:r>
        <w:t xml:space="preserve">none of these types of dynamics provides a damages remedy for excess of power per se; it is for this reason that we can regard monetary remedies as missing from the public law arena.</w:t>
      </w:r>
      <w:r>
        <w:t xml:space="preserve">”</w:t>
      </w:r>
      <w:r>
        <w:t xml:space="preserve"> </w:t>
      </w:r>
      <w:r>
        <w:t xml:space="preserve">My central limit. Abdel-Hady recovers as a person imprisoned, not as a person whose rights were violated by an invalid law — and anyone whose unlawful treatment does not fit a nominate tort recovers nothing.</w:t>
      </w:r>
    </w:p>
    <w:p>
      <w:pPr>
        <w:numPr>
          <w:ilvl w:val="1"/>
          <w:numId w:val="1019"/>
        </w:numPr>
        <w:pStyle w:val="Compact"/>
      </w:pPr>
      <w:r>
        <w:rPr>
          <w:rStyle w:val="VerbatimChar"/>
        </w:rPr>
        <w:t xml:space="preserve">p 1186 [9 — confirm]</w:t>
      </w:r>
      <w:r>
        <w:t xml:space="preserve"> </w:t>
      </w:r>
      <w:r>
        <w:t xml:space="preserve">— Their conclusion that reform</w:t>
      </w:r>
      <w:r>
        <w:t xml:space="preserve"> </w:t>
      </w:r>
      <w:r>
        <w:t xml:space="preserve">“</w:t>
      </w:r>
      <w:r>
        <w:t xml:space="preserve">will need to be a matter of legislative, rather than judicial, intervention</w:t>
      </w:r>
      <w:r>
        <w:t xml:space="preserve">”</w:t>
      </w:r>
      <w:r>
        <w:t xml:space="preserve"> </w:t>
      </w:r>
      <w:r>
        <w:t xml:space="preserve">(confirmed from the abstract at 1159; page allocated to the article’s end). Read with the plurality at [40]–[41], which says the</w:t>
      </w:r>
      <w:r>
        <w:t xml:space="preserve"> </w:t>
      </w:r>
      <w:r>
        <w:rPr>
          <w:iCs/>
          <w:i/>
        </w:rPr>
        <w:t xml:space="preserve">officer’s</w:t>
      </w:r>
      <w:r>
        <w:t xml:space="preserve"> </w:t>
      </w:r>
      <w:r>
        <w:t xml:space="preserve">hardship may be ameliorated by legislation, this is a neat symmetry: on both sides of the ledger the common law has reached its limit and Parliament holds the pen.</w:t>
      </w:r>
    </w:p>
    <w:p>
      <w:pPr>
        <w:numPr>
          <w:ilvl w:val="1"/>
          <w:numId w:val="1019"/>
        </w:numPr>
        <w:pStyle w:val="Compact"/>
      </w:pPr>
      <w:r>
        <w:rPr>
          <w:rStyle w:val="VerbatimChar"/>
        </w:rPr>
        <w:t xml:space="preserve">[10]</w:t>
      </w:r>
      <w:r>
        <w:t xml:space="preserve"> </w:t>
      </w:r>
      <w:r>
        <w:rPr>
          <w:iCs/>
          <w:i/>
        </w:rPr>
        <w:t xml:space="preserve">(section III, pp 1167–1186 — page to confirm)</w:t>
      </w:r>
      <w:r>
        <w:t xml:space="preserve"> </w:t>
      </w:r>
      <w:r>
        <w:t xml:space="preserve">— Their survey of the closed routes: expansion of existing torts, new causes of action, and statutory remedial powers. Useful for one sentence establishing that the gap is structural rather than accidental. I will confirm the page before citing.</w:t>
      </w:r>
    </w:p>
    <w:p>
      <w:pPr>
        <w:numPr>
          <w:ilvl w:val="0"/>
          <w:numId w:val="1018"/>
        </w:numPr>
      </w:pPr>
      <w:r>
        <w:rPr>
          <w:bCs/>
          <w:b/>
        </w:rPr>
        <w:t xml:space="preserve">Best use:</w:t>
      </w:r>
      <w:r>
        <w:t xml:space="preserve"> </w:t>
      </w:r>
      <w:r>
        <w:rPr>
          <w:bCs/>
          <w:b/>
        </w:rPr>
        <w:t xml:space="preserve">L1</w:t>
      </w:r>
      <w:r>
        <w:t xml:space="preserve"> </w:t>
      </w:r>
      <w:r>
        <w:t xml:space="preserve">(notes 2, 3, 5, 8) and</w:t>
      </w:r>
      <w:r>
        <w:t xml:space="preserve"> </w:t>
      </w:r>
      <w:r>
        <w:rPr>
          <w:bCs/>
          <w:b/>
        </w:rPr>
        <w:t xml:space="preserve">L3</w:t>
      </w:r>
      <w:r>
        <w:t xml:space="preserve"> </w:t>
      </w:r>
      <w:r>
        <w:t xml:space="preserve">(note 9);</w:t>
      </w:r>
      <w:r>
        <w:t xml:space="preserve"> </w:t>
      </w:r>
      <w:r>
        <w:rPr>
          <w:bCs/>
          <w:b/>
        </w:rPr>
        <w:t xml:space="preserve">S1</w:t>
      </w:r>
      <w:r>
        <w:t xml:space="preserve"> </w:t>
      </w:r>
      <w:r>
        <w:t xml:space="preserve">by contrast at note 7. This is the source that most directly frames the essay question, and it is the natural partner to source 19 (what Parliament does with the pen).</w:t>
      </w:r>
    </w:p>
    <w:p>
      <w:pPr>
        <w:numPr>
          <w:ilvl w:val="0"/>
          <w:numId w:val="1018"/>
        </w:numPr>
      </w:pPr>
      <w:r>
        <w:rPr>
          <w:bCs/>
          <w:b/>
        </w:rPr>
        <w:t xml:space="preserve">Caveats:</w:t>
      </w:r>
      <w:r>
        <w:t xml:space="preserve"> </w:t>
      </w:r>
      <w:r>
        <w:t xml:space="preserve">Predates</w:t>
      </w:r>
      <w:r>
        <w:t xml:space="preserve"> </w:t>
      </w:r>
      <w:r>
        <w:rPr>
          <w:iCs/>
          <w:i/>
        </w:rPr>
        <w:t xml:space="preserve">Abdel-Hady</w:t>
      </w:r>
      <w:r>
        <w:t xml:space="preserve">,</w:t>
      </w:r>
      <w:r>
        <w:t xml:space="preserve"> </w:t>
      </w:r>
      <w:r>
        <w:rPr>
          <w:iCs/>
          <w:i/>
        </w:rPr>
        <w:t xml:space="preserve">NZYQ</w:t>
      </w:r>
      <w:r>
        <w:t xml:space="preserve"> </w:t>
      </w:r>
      <w:r>
        <w:t xml:space="preserve">and</w:t>
      </w:r>
      <w:r>
        <w:t xml:space="preserve"> </w:t>
      </w:r>
      <w:r>
        <w:rPr>
          <w:iCs/>
          <w:i/>
        </w:rPr>
        <w:t xml:space="preserve">Lewis</w:t>
      </w:r>
      <w:r>
        <w:t xml:space="preserve">. The book they cite (Aronson, Groves and Weeks) is now in a 7th edition (2022). My pinpoints past 1172 are unconfirmed.</w:t>
      </w:r>
      <w:r>
        <w:t xml:space="preserve"> </w:t>
      </w:r>
      <w:r>
        <w:t xml:space="preserve">### 9. Tania Penovic,</w:t>
      </w:r>
      <w:r>
        <w:t xml:space="preserve"> </w:t>
      </w:r>
      <w:r>
        <w:t xml:space="preserve">‘</w:t>
      </w:r>
      <w:r>
        <w:t xml:space="preserve">Testing the Boundaries of Administrative Detention through the Tort of False Imprisonment</w:t>
      </w:r>
      <w:r>
        <w:t xml:space="preserve">’</w:t>
      </w:r>
      <w:r>
        <w:t xml:space="preserve"> </w:t>
      </w:r>
      <w:r>
        <w:t xml:space="preserve">(2008) 16</w:t>
      </w:r>
      <w:r>
        <w:t xml:space="preserve"> </w:t>
      </w:r>
      <w:r>
        <w:rPr>
          <w:iCs/>
          <w:i/>
        </w:rPr>
        <w:t xml:space="preserve">Torts Law Journal</w:t>
      </w:r>
      <w:r>
        <w:t xml:space="preserve"> </w:t>
      </w:r>
      <w:r>
        <w:t xml:space="preserve">156 ○</w:t>
      </w:r>
    </w:p>
    <w:p>
      <w:pPr>
        <w:numPr>
          <w:ilvl w:val="0"/>
          <w:numId w:val="1018"/>
        </w:numPr>
      </w:pPr>
      <w:r>
        <w:rPr>
          <w:bCs/>
          <w:b/>
        </w:rPr>
        <w:t xml:space="preserve">Access:</w:t>
      </w:r>
      <w:r>
        <w:t xml:space="preserve"> </w:t>
      </w:r>
      <w:r>
        <w:t xml:space="preserve">SSRN 2282245 (free download offered there); Westlaw AU. Pages 156–181; citation and page range confirmed on the SSRN record.</w:t>
      </w:r>
      <w:r>
        <w:t xml:space="preserve"> </w:t>
      </w:r>
      <w:r>
        <w:rPr>
          <w:bCs/>
          <w:b/>
        </w:rPr>
        <w:t xml:space="preserve">Abstract only read</w:t>
      </w:r>
      <w:r>
        <w:t xml:space="preserve"> </w:t>
      </w:r>
      <w:r>
        <w:t xml:space="preserve">— the notes below are allocated by section and all pinpoints are flagged.</w:t>
      </w:r>
    </w:p>
    <w:p>
      <w:pPr>
        <w:numPr>
          <w:ilvl w:val="0"/>
          <w:numId w:val="1018"/>
        </w:numPr>
      </w:pPr>
      <w:r>
        <w:rPr>
          <w:bCs/>
          <w:b/>
        </w:rPr>
        <w:t xml:space="preserve">What it argues:</w:t>
      </w:r>
      <w:r>
        <w:t xml:space="preserve"> </w:t>
      </w:r>
      <w:r>
        <w:t xml:space="preserve">The</w:t>
      </w:r>
      <w:r>
        <w:t xml:space="preserve"> </w:t>
      </w:r>
      <w:r>
        <w:rPr>
          <w:iCs/>
          <w:i/>
        </w:rPr>
        <w:t xml:space="preserve">Migration Act</w:t>
      </w:r>
      <w:r>
        <w:t xml:space="preserve"> </w:t>
      </w:r>
      <w:r>
        <w:t xml:space="preserve">confers detention powers so broad that they have been exercised without adequate protection for personal liberty; Penovic records that</w:t>
      </w:r>
      <w:r>
        <w:t xml:space="preserve"> </w:t>
      </w:r>
      <w:r>
        <w:t xml:space="preserve">“</w:t>
      </w:r>
      <w:r>
        <w:t xml:space="preserve">at least 250 individuals who fall outside the ambit of its detention provisions have been detained</w:t>
      </w:r>
      <w:r>
        <w:t xml:space="preserve">”</w:t>
      </w:r>
      <w:r>
        <w:t xml:space="preserve">, many of them vulnerable. She asks how far the tort of false imprisonment can police that regime, examines the compatibility of tort with human rights protection, and considers how human rights principles might shape the development of the Australian common law right to personal liberty.</w:t>
      </w:r>
    </w:p>
    <w:p>
      <w:pPr>
        <w:numPr>
          <w:ilvl w:val="0"/>
          <w:numId w:val="1018"/>
        </w:numPr>
      </w:pPr>
      <w:r>
        <w:rPr>
          <w:bCs/>
          <w:b/>
        </w:rPr>
        <w:t xml:space="preserve">Why it survived screening:</w:t>
      </w:r>
      <w:r>
        <w:t xml:space="preserve"> </w:t>
      </w:r>
      <w:r>
        <w:t xml:space="preserve">It is the</w:t>
      </w:r>
      <w:r>
        <w:t xml:space="preserve"> </w:t>
      </w:r>
      <w:r>
        <w:t xml:space="preserve">“</w:t>
      </w:r>
      <w:r>
        <w:t xml:space="preserve">before</w:t>
      </w:r>
      <w:r>
        <w:t xml:space="preserve">”</w:t>
      </w:r>
      <w:r>
        <w:t xml:space="preserve"> </w:t>
      </w:r>
      <w:r>
        <w:t xml:space="preserve">picture. Written in the middle of the</w:t>
      </w:r>
      <w:r>
        <w:t xml:space="preserve"> </w:t>
      </w:r>
      <w:r>
        <w:rPr>
          <w:iCs/>
          <w:i/>
        </w:rPr>
        <w:t xml:space="preserve">Al-Kateb</w:t>
      </w:r>
      <w:r>
        <w:t xml:space="preserve"> </w:t>
      </w:r>
      <w:r>
        <w:t xml:space="preserve">era and after</w:t>
      </w:r>
      <w:r>
        <w:t xml:space="preserve"> </w:t>
      </w:r>
      <w:r>
        <w:rPr>
          <w:iCs/>
          <w:i/>
        </w:rPr>
        <w:t xml:space="preserve">Ruddock v Taylor</w:t>
      </w:r>
      <w:r>
        <w:t xml:space="preserve">, it maps the tort’s boundaries at the point where they were most confining — which is exactly what you need to show that</w:t>
      </w:r>
      <w:r>
        <w:t xml:space="preserve"> </w:t>
      </w:r>
      <w:r>
        <w:rPr>
          <w:iCs/>
          <w:i/>
        </w:rPr>
        <w:t xml:space="preserve">Abdel-Hady</w:t>
      </w:r>
      <w:r>
        <w:t xml:space="preserve">’s strength is a product of the constitutional ruling in</w:t>
      </w:r>
      <w:r>
        <w:t xml:space="preserve"> </w:t>
      </w:r>
      <w:r>
        <w:rPr>
          <w:iCs/>
          <w:i/>
        </w:rPr>
        <w:t xml:space="preserve">NZYQ</w:t>
      </w:r>
      <w:r>
        <w:t xml:space="preserve">, not of the tort itself. Its central concern — the number of people wrongly detained under a valid statute — also anticipates the roughly 340-person cohort now exposed by</w:t>
      </w:r>
      <w:r>
        <w:t xml:space="preserve"> </w:t>
      </w:r>
      <w:r>
        <w:rPr>
          <w:iCs/>
          <w:i/>
        </w:rPr>
        <w:t xml:space="preserve">Abdel-Hady</w:t>
      </w:r>
      <w:r>
        <w:t xml:space="preserve">.</w:t>
      </w:r>
    </w:p>
    <w:p>
      <w:pPr>
        <w:numPr>
          <w:ilvl w:val="0"/>
          <w:numId w:val="1018"/>
        </w:numPr>
      </w:pPr>
      <w:r>
        <w:rPr>
          <w:bCs/>
          <w:b/>
        </w:rPr>
        <w:t xml:space="preserve">Annotations</w:t>
      </w:r>
      <w:r>
        <w:t xml:space="preserve"> </w:t>
      </w:r>
      <w:r>
        <w:rPr>
          <w:iCs/>
          <w:i/>
        </w:rPr>
        <w:t xml:space="preserve">(all pinpoints unconfirmed — locate in the PDF before citing)</w:t>
      </w:r>
    </w:p>
    <w:p>
      <w:pPr>
        <w:numPr>
          <w:ilvl w:val="1"/>
          <w:numId w:val="1020"/>
        </w:numPr>
        <w:pStyle w:val="Compact"/>
      </w:pPr>
      <w:r>
        <w:rPr>
          <w:rStyle w:val="VerbatimChar"/>
        </w:rPr>
        <w:t xml:space="preserve">p 156 [1 — confirm]</w:t>
      </w:r>
      <w:r>
        <w:t xml:space="preserve"> </w:t>
      </w:r>
      <w:r>
        <w:t xml:space="preserve">— Her premise: broad statutory detention powers exercised</w:t>
      </w:r>
      <w:r>
        <w:t xml:space="preserve"> </w:t>
      </w:r>
      <w:r>
        <w:t xml:space="preserve">“</w:t>
      </w:r>
      <w:r>
        <w:t xml:space="preserve">without adequate protection for personal liberty</w:t>
      </w:r>
      <w:r>
        <w:t xml:space="preserve">”</w:t>
      </w:r>
      <w:r>
        <w:t xml:space="preserve">. This is the frame I want for my limits section: the deficiency Penovic identifies in 2008 was not cured by tort law, it was cured (partially, and only for one sub-group) by a constitutional holding fifteen years later.</w:t>
      </w:r>
    </w:p>
    <w:p>
      <w:pPr>
        <w:numPr>
          <w:ilvl w:val="1"/>
          <w:numId w:val="1020"/>
        </w:numPr>
        <w:pStyle w:val="Compact"/>
      </w:pPr>
      <w:r>
        <w:rPr>
          <w:rStyle w:val="VerbatimChar"/>
        </w:rPr>
        <w:t xml:space="preserve">p 156 [2 — confirm]</w:t>
      </w:r>
      <w:r>
        <w:t xml:space="preserve"> </w:t>
      </w:r>
      <w:r>
        <w:t xml:space="preserve">— The figure of at least 250 people detained outside the ambit of the detention provisions. Compare the roughly 340 people in the post-</w:t>
      </w:r>
      <w:r>
        <w:rPr>
          <w:iCs/>
          <w:i/>
        </w:rPr>
        <w:t xml:space="preserve">NZYQ</w:t>
      </w:r>
      <w:r>
        <w:t xml:space="preserve"> </w:t>
      </w:r>
      <w:r>
        <w:t xml:space="preserve">cohort. Two waves of wrongful detention, both discovered after the fact — evidence that tort is a diagnostic run in hindsight, not a constraint that operates in real time.</w:t>
      </w:r>
    </w:p>
    <w:p>
      <w:pPr>
        <w:numPr>
          <w:ilvl w:val="1"/>
          <w:numId w:val="1020"/>
        </w:numPr>
        <w:pStyle w:val="Compact"/>
      </w:pPr>
      <w:r>
        <w:rPr>
          <w:iCs/>
          <w:i/>
        </w:rPr>
        <w:t xml:space="preserve">Section on the elements and burden of the tort</w:t>
      </w:r>
      <w:r>
        <w:t xml:space="preserve"> </w:t>
      </w:r>
      <w:r>
        <w:rPr>
          <w:rStyle w:val="VerbatimChar"/>
        </w:rPr>
        <w:t xml:space="preserve">[3 — confirm]</w:t>
      </w:r>
      <w:r>
        <w:t xml:space="preserve"> </w:t>
      </w:r>
      <w:r>
        <w:t xml:space="preserve">— Expect her to set out that false imprisonment is strict and that the onus of justifying detention lies on the detainer. If so, cite alongside</w:t>
      </w:r>
      <w:r>
        <w:t xml:space="preserve"> </w:t>
      </w:r>
      <w:r>
        <w:rPr>
          <w:iCs/>
          <w:i/>
        </w:rPr>
        <w:t xml:space="preserve">Abdel-Hady</w:t>
      </w:r>
      <w:r>
        <w:t xml:space="preserve"> </w:t>
      </w:r>
      <w:r>
        <w:t xml:space="preserve">[16]–[17] (elements conceded) for the strength point, but from a 2008 vantage where the same doctrine produced nothing for detainees.</w:t>
      </w:r>
    </w:p>
    <w:p>
      <w:pPr>
        <w:numPr>
          <w:ilvl w:val="1"/>
          <w:numId w:val="1020"/>
        </w:numPr>
        <w:pStyle w:val="Compact"/>
      </w:pPr>
      <w:r>
        <w:rPr>
          <w:iCs/>
          <w:i/>
        </w:rPr>
        <w:t xml:space="preserve">Section on</w:t>
      </w:r>
      <w:r>
        <w:rPr>
          <w:iCs/>
          <w:i/>
        </w:rPr>
        <w:t xml:space="preserve"> </w:t>
      </w:r>
      <w:r>
        <w:t xml:space="preserve">Ruddock v Taylor**</w:t>
      </w:r>
      <w:r>
        <w:t xml:space="preserve"> </w:t>
      </w:r>
      <w:r>
        <w:rPr>
          <w:rStyle w:val="VerbatimChar"/>
        </w:rPr>
        <w:t xml:space="preserve">[4 — confirm]</w:t>
      </w:r>
      <w:r>
        <w:t xml:space="preserve"> </w:t>
      </w:r>
      <w:r>
        <w:t xml:space="preserve">— The decisive limit: where s 189 requires only a reasonable suspicion that the person is an unlawful non-citizen, an officer’s suspicion may be reasonable even though the underlying visa cancellation was invalid, so the detention is authorised and the tort fails. This is the doctrinal contrast that makes</w:t>
      </w:r>
      <w:r>
        <w:t xml:space="preserve"> </w:t>
      </w:r>
      <w:r>
        <w:rPr>
          <w:iCs/>
          <w:i/>
        </w:rPr>
        <w:t xml:space="preserve">Abdel-Hady</w:t>
      </w:r>
      <w:r>
        <w:t xml:space="preserve"> </w:t>
      </w:r>
      <w:r>
        <w:t xml:space="preserve">comprehensible: there the</w:t>
      </w:r>
      <w:r>
        <w:t xml:space="preserve"> </w:t>
      </w:r>
      <w:r>
        <w:rPr>
          <w:iCs/>
          <w:i/>
        </w:rPr>
        <w:t xml:space="preserve">statute itself</w:t>
      </w:r>
      <w:r>
        <w:t xml:space="preserve"> </w:t>
      </w:r>
      <w:r>
        <w:t xml:space="preserve">was invalid in its application, so there was no authority to suspect under.</w:t>
      </w:r>
    </w:p>
    <w:p>
      <w:pPr>
        <w:numPr>
          <w:ilvl w:val="1"/>
          <w:numId w:val="1020"/>
        </w:numPr>
        <w:pStyle w:val="Compact"/>
      </w:pPr>
      <w:r>
        <w:rPr>
          <w:iCs/>
          <w:i/>
        </w:rPr>
        <w:t xml:space="preserve">Section on statutory authority as a complete answer</w:t>
      </w:r>
      <w:r>
        <w:t xml:space="preserve"> </w:t>
      </w:r>
      <w:r>
        <w:rPr>
          <w:rStyle w:val="VerbatimChar"/>
        </w:rPr>
        <w:t xml:space="preserve">[5 — confirm]</w:t>
      </w:r>
      <w:r>
        <w:t xml:space="preserve"> </w:t>
      </w:r>
      <w:r>
        <w:t xml:space="preserve">— Expect the conclusion that valid legislation is a complete answer to the tort. That is the sentence I need for</w:t>
      </w:r>
      <w:r>
        <w:t xml:space="preserve"> </w:t>
      </w:r>
      <w:r>
        <w:t xml:space="preserve">“</w:t>
      </w:r>
      <w:r>
        <w:t xml:space="preserve">the protection is derivative</w:t>
      </w:r>
      <w:r>
        <w:t xml:space="preserve">”</w:t>
      </w:r>
      <w:r>
        <w:t xml:space="preserve">: the common law defends liberty against unauthorised interference, not against authorised interference, however arbitrary.</w:t>
      </w:r>
    </w:p>
    <w:p>
      <w:pPr>
        <w:numPr>
          <w:ilvl w:val="1"/>
          <w:numId w:val="1020"/>
        </w:numPr>
        <w:pStyle w:val="Compact"/>
      </w:pPr>
      <w:r>
        <w:rPr>
          <w:iCs/>
          <w:i/>
        </w:rPr>
        <w:t xml:space="preserve">Section on tort and human rights compatibility</w:t>
      </w:r>
      <w:r>
        <w:t xml:space="preserve"> </w:t>
      </w:r>
      <w:r>
        <w:rPr>
          <w:rStyle w:val="VerbatimChar"/>
        </w:rPr>
        <w:t xml:space="preserve">[6 — confirm]</w:t>
      </w:r>
      <w:r>
        <w:t xml:space="preserve"> </w:t>
      </w:r>
      <w:r>
        <w:t xml:space="preserve">— Her question whether tort and human rights protection are compatible, and whether human rights principles can inform the common law right to liberty. Compare Nolan (source 4), who says these torts have</w:t>
      </w:r>
      <w:r>
        <w:t xml:space="preserve"> </w:t>
      </w:r>
      <w:r>
        <w:t xml:space="preserve">“</w:t>
      </w:r>
      <w:r>
        <w:t xml:space="preserve">nothing distinctively public</w:t>
      </w:r>
      <w:r>
        <w:t xml:space="preserve">”</w:t>
      </w:r>
      <w:r>
        <w:t xml:space="preserve"> </w:t>
      </w:r>
      <w:r>
        <w:t xml:space="preserve">about them; Penovic wants the common law to absorb human rights content, Nolan doubts it should. A one-sentence scholarly disagreement is worth more than two paragraphs of agreement.</w:t>
      </w:r>
    </w:p>
    <w:p>
      <w:pPr>
        <w:numPr>
          <w:ilvl w:val="1"/>
          <w:numId w:val="1020"/>
        </w:numPr>
        <w:pStyle w:val="Compact"/>
      </w:pPr>
      <w:r>
        <w:rPr>
          <w:iCs/>
          <w:i/>
        </w:rPr>
        <w:t xml:space="preserve">Conclusion</w:t>
      </w:r>
      <w:r>
        <w:t xml:space="preserve"> </w:t>
      </w:r>
      <w:r>
        <w:rPr>
          <w:rStyle w:val="VerbatimChar"/>
        </w:rPr>
        <w:t xml:space="preserve">[7 — confirm]</w:t>
      </w:r>
      <w:r>
        <w:t xml:space="preserve"> </w:t>
      </w:r>
      <w:r>
        <w:t xml:space="preserve">— Expect a call for reform or for a rights-informed development of the common law. Read with</w:t>
      </w:r>
      <w:r>
        <w:t xml:space="preserve"> </w:t>
      </w:r>
      <w:r>
        <w:rPr>
          <w:iCs/>
          <w:i/>
        </w:rPr>
        <w:t xml:space="preserve">Abdel-Hady</w:t>
      </w:r>
      <w:r>
        <w:t xml:space="preserve"> </w:t>
      </w:r>
      <w:r>
        <w:t xml:space="preserve">[40]–[41] (amelioration is for Parliament): the courts’ answer in 2026 is that development stops at the limits of principle.</w:t>
      </w:r>
    </w:p>
    <w:p>
      <w:pPr>
        <w:numPr>
          <w:ilvl w:val="0"/>
          <w:numId w:val="1018"/>
        </w:numPr>
      </w:pPr>
      <w:r>
        <w:rPr>
          <w:bCs/>
          <w:b/>
        </w:rPr>
        <w:t xml:space="preserve">Best use:</w:t>
      </w:r>
      <w:r>
        <w:t xml:space="preserve"> </w:t>
      </w:r>
      <w:r>
        <w:rPr>
          <w:bCs/>
          <w:b/>
        </w:rPr>
        <w:t xml:space="preserve">L1</w:t>
      </w:r>
      <w:r>
        <w:t xml:space="preserve"> </w:t>
      </w:r>
      <w:r>
        <w:t xml:space="preserve">(notes 4, 5) and the setup for</w:t>
      </w:r>
      <w:r>
        <w:t xml:space="preserve"> </w:t>
      </w:r>
      <w:r>
        <w:rPr>
          <w:bCs/>
          <w:b/>
        </w:rPr>
        <w:t xml:space="preserve">L3</w:t>
      </w:r>
      <w:r>
        <w:t xml:space="preserve"> </w:t>
      </w:r>
      <w:r>
        <w:t xml:space="preserve">(notes 1, 2, 6). The historical partner to source 18 (</w:t>
      </w:r>
      <w:r>
        <w:rPr>
          <w:iCs/>
          <w:i/>
        </w:rPr>
        <w:t xml:space="preserve">Al-Kateb</w:t>
      </w:r>
      <w:r>
        <w:t xml:space="preserve">) and the doctrinal partner to source 10 (</w:t>
      </w:r>
      <w:r>
        <w:rPr>
          <w:iCs/>
          <w:i/>
        </w:rPr>
        <w:t xml:space="preserve">Thoms</w:t>
      </w:r>
      <w:r>
        <w:t xml:space="preserve">).</w:t>
      </w:r>
    </w:p>
    <w:p>
      <w:pPr>
        <w:numPr>
          <w:ilvl w:val="0"/>
          <w:numId w:val="1018"/>
        </w:numPr>
      </w:pPr>
      <w:r>
        <w:rPr>
          <w:bCs/>
          <w:b/>
        </w:rPr>
        <w:t xml:space="preserve">Caveats:</w:t>
      </w:r>
      <w:r>
        <w:t xml:space="preserve"> </w:t>
      </w:r>
      <w:r>
        <w:t xml:space="preserve">Not read. Notes 3–7 are my expectation of the article’s content from its abstract and its known subject matter; if a note does not match the text, drop it rather than adapt it. Also check whether the</w:t>
      </w:r>
      <w:r>
        <w:t xml:space="preserve"> </w:t>
      </w:r>
      <w:r>
        <w:t xml:space="preserve">“</w:t>
      </w:r>
      <w:r>
        <w:t xml:space="preserve">250 individuals</w:t>
      </w:r>
      <w:r>
        <w:t xml:space="preserve">”</w:t>
      </w:r>
      <w:r>
        <w:t xml:space="preserve"> </w:t>
      </w:r>
      <w:r>
        <w:t xml:space="preserve">figure is hers or quoted from the Palmer/Comrie inquiries.</w:t>
      </w:r>
    </w:p>
    <w:bookmarkEnd w:id="35"/>
    <w:bookmarkStart w:id="36" w:name="X308307bb61114f3ccbbfa2f17844d507a768041"/>
    <w:p>
      <w:pPr>
        <w:pStyle w:val="Heading3"/>
      </w:pPr>
      <w:r>
        <w:t xml:space="preserve">10. Ellen Rock,</w:t>
      </w:r>
      <w:r>
        <w:t xml:space="preserve"> </w:t>
      </w:r>
      <w:r>
        <w:t xml:space="preserve">‘</w:t>
      </w:r>
      <w:r>
        <w:t xml:space="preserve">Government Liability for False Imprisonment:</w:t>
      </w:r>
      <w:r>
        <w:t xml:space="preserve"> </w:t>
      </w:r>
      <w:r>
        <w:rPr>
          <w:iCs/>
          <w:i/>
        </w:rPr>
        <w:t xml:space="preserve">Thoms v Commonwealth</w:t>
      </w:r>
      <w:r>
        <w:t xml:space="preserve"> </w:t>
      </w:r>
      <w:r>
        <w:t xml:space="preserve">[2022] HCA 20</w:t>
      </w:r>
      <w:r>
        <w:t xml:space="preserve">’</w:t>
      </w:r>
      <w:r>
        <w:t xml:space="preserve"> </w:t>
      </w:r>
      <w:r>
        <w:t xml:space="preserve">(2022) 29</w:t>
      </w:r>
      <w:r>
        <w:t xml:space="preserve"> </w:t>
      </w:r>
      <w:r>
        <w:rPr>
          <w:iCs/>
          <w:i/>
        </w:rPr>
        <w:t xml:space="preserve">Australian Journal of Administrative Law</w:t>
      </w:r>
      <w:r>
        <w:t xml:space="preserve"> </w:t>
      </w:r>
      <w:r>
        <w:t xml:space="preserve">157 ○</w:t>
      </w:r>
    </w:p>
    <w:p>
      <w:pPr>
        <w:numPr>
          <w:ilvl w:val="0"/>
          <w:numId w:val="1021"/>
        </w:numPr>
        <w:pStyle w:val="Compact"/>
      </w:pPr>
      <w:r>
        <w:rPr>
          <w:bCs/>
          <w:b/>
        </w:rPr>
        <w:t xml:space="preserve">Access:</w:t>
      </w:r>
      <w:r>
        <w:t xml:space="preserve"> </w:t>
      </w:r>
      <w:r>
        <w:t xml:space="preserve">Westlaw AU only. Pages 157–161 — citation and page range confirmed from Rock’s UNSW staff publication list.</w:t>
      </w:r>
      <w:r>
        <w:t xml:space="preserve"> </w:t>
      </w:r>
      <w:r>
        <w:rPr>
          <w:bCs/>
          <w:b/>
        </w:rPr>
        <w:t xml:space="preserve">Not read.</w:t>
      </w:r>
      <w:r>
        <w:t xml:space="preserve"> </w:t>
      </w:r>
      <w:r>
        <w:t xml:space="preserve">All pinpoints flagged. The underlying case is freely available:</w:t>
      </w:r>
      <w:r>
        <w:t xml:space="preserve"> </w:t>
      </w:r>
      <w:r>
        <w:rPr>
          <w:iCs/>
          <w:i/>
        </w:rPr>
        <w:t xml:space="preserve">Thoms v Commonwealth</w:t>
      </w:r>
      <w:r>
        <w:t xml:space="preserve"> </w:t>
      </w:r>
      <w:r>
        <w:t xml:space="preserve">[2022] HCA 20.</w:t>
      </w:r>
    </w:p>
    <w:p>
      <w:pPr>
        <w:numPr>
          <w:ilvl w:val="0"/>
          <w:numId w:val="1021"/>
        </w:numPr>
        <w:pStyle w:val="Compact"/>
      </w:pPr>
      <w:r>
        <w:rPr>
          <w:bCs/>
          <w:b/>
        </w:rPr>
        <w:t xml:space="preserve">What it argues:</w:t>
      </w:r>
      <w:r>
        <w:t xml:space="preserve"> </w:t>
      </w:r>
      <w:r>
        <w:t xml:space="preserve">A note on the High Court’s rejection of Mr Thoms’s false imprisonment claim. Thoms had been detained as an unlawful non-citizen before</w:t>
      </w:r>
      <w:r>
        <w:t xml:space="preserve"> </w:t>
      </w:r>
      <w:r>
        <w:rPr>
          <w:iCs/>
          <w:i/>
        </w:rPr>
        <w:t xml:space="preserve">Love v Commonwealth; Thoms v Commonwealth</w:t>
      </w:r>
      <w:r>
        <w:t xml:space="preserve"> </w:t>
      </w:r>
      <w:r>
        <w:t xml:space="preserve">(2020) held that Aboriginal Australians are not within the reach of the aliens power. His damages claim failed because s 189 required only that the officer know or reasonably suspect that he was an unlawful non-citizen, and that suspicion was reasonable at the time. Rock’s interest is in what that reveals about the architecture of government liability: a statutory gateway framed around an official’s state of mind can neutralise a strict-liability tort.</w:t>
      </w:r>
    </w:p>
    <w:p>
      <w:pPr>
        <w:numPr>
          <w:ilvl w:val="0"/>
          <w:numId w:val="1021"/>
        </w:numPr>
        <w:pStyle w:val="Compact"/>
      </w:pPr>
      <w:r>
        <w:rPr>
          <w:bCs/>
          <w:b/>
        </w:rPr>
        <w:t xml:space="preserve">Why it survived screening:</w:t>
      </w:r>
      <w:r>
        <w:t xml:space="preserve"> </w:t>
      </w:r>
      <w:r>
        <w:t xml:space="preserve">It is the closest doctrinal predecessor to</w:t>
      </w:r>
      <w:r>
        <w:t xml:space="preserve"> </w:t>
      </w:r>
      <w:r>
        <w:rPr>
          <w:iCs/>
          <w:i/>
        </w:rPr>
        <w:t xml:space="preserve">Abdel-Hady</w:t>
      </w:r>
      <w:r>
        <w:t xml:space="preserve"> </w:t>
      </w:r>
      <w:r>
        <w:t xml:space="preserve">and the clearest illustration that the 2026 result was contingent. In</w:t>
      </w:r>
      <w:r>
        <w:t xml:space="preserve"> </w:t>
      </w:r>
      <w:r>
        <w:rPr>
          <w:iCs/>
          <w:i/>
        </w:rPr>
        <w:t xml:space="preserve">Thoms</w:t>
      </w:r>
      <w:r>
        <w:t xml:space="preserve">, a subsequent constitutional ruling did</w:t>
      </w:r>
      <w:r>
        <w:t xml:space="preserve"> </w:t>
      </w:r>
      <w:r>
        <w:rPr>
          <w:iCs/>
          <w:i/>
        </w:rPr>
        <w:t xml:space="preserve">not</w:t>
      </w:r>
      <w:r>
        <w:t xml:space="preserve"> </w:t>
      </w:r>
      <w:r>
        <w:t xml:space="preserve">produce liability; in</w:t>
      </w:r>
      <w:r>
        <w:t xml:space="preserve"> </w:t>
      </w:r>
      <w:r>
        <w:rPr>
          <w:iCs/>
          <w:i/>
        </w:rPr>
        <w:t xml:space="preserve">Abdel-Hady</w:t>
      </w:r>
      <w:r>
        <w:t xml:space="preserve"> </w:t>
      </w:r>
      <w:r>
        <w:t xml:space="preserve">it did. The difference is not the strength of the tort but the drafting of the empowering provision — s 189 protects the officer’s suspicion, whereas s 196(1)’s duty to keep a person in detention was itself constitutionally incapable of applying. If your paper claims tort is an effective protection, you must explain</w:t>
      </w:r>
      <w:r>
        <w:t xml:space="preserve"> </w:t>
      </w:r>
      <w:r>
        <w:rPr>
          <w:iCs/>
          <w:i/>
        </w:rPr>
        <w:t xml:space="preserve">Thoms</w:t>
      </w:r>
      <w:r>
        <w:t xml:space="preserve">.</w:t>
      </w:r>
    </w:p>
    <w:p>
      <w:pPr>
        <w:numPr>
          <w:ilvl w:val="0"/>
          <w:numId w:val="1021"/>
        </w:numPr>
        <w:pStyle w:val="Compact"/>
      </w:pPr>
      <w:r>
        <w:rPr>
          <w:bCs/>
          <w:b/>
        </w:rPr>
        <w:t xml:space="preserve">Annotations</w:t>
      </w:r>
      <w:r>
        <w:t xml:space="preserve"> </w:t>
      </w:r>
      <w:r>
        <w:rPr>
          <w:iCs/>
          <w:i/>
        </w:rPr>
        <w:t xml:space="preserve">(all pinpoints unconfirmed)</w:t>
      </w:r>
    </w:p>
    <w:p>
      <w:pPr>
        <w:numPr>
          <w:ilvl w:val="1"/>
          <w:numId w:val="1022"/>
        </w:numPr>
        <w:pStyle w:val="Compact"/>
      </w:pPr>
      <w:r>
        <w:rPr>
          <w:rStyle w:val="VerbatimChar"/>
        </w:rPr>
        <w:t xml:space="preserve">p 157 [1 — confirm]</w:t>
      </w:r>
      <w:r>
        <w:t xml:space="preserve"> </w:t>
      </w:r>
      <w:r>
        <w:t xml:space="preserve">— The outcome: no liability despite detention under a power later held not to extend to the plaintiff. My paper’s hardest counter-example, and I would rather meet it than have the marker notice its absence.</w:t>
      </w:r>
    </w:p>
    <w:p>
      <w:pPr>
        <w:numPr>
          <w:ilvl w:val="1"/>
          <w:numId w:val="1022"/>
        </w:numPr>
        <w:pStyle w:val="Compact"/>
      </w:pPr>
      <w:r>
        <w:rPr>
          <w:rStyle w:val="VerbatimChar"/>
        </w:rPr>
        <w:t xml:space="preserve">p 157–158 [2 — confirm]</w:t>
      </w:r>
      <w:r>
        <w:t xml:space="preserve"> </w:t>
      </w:r>
      <w:r>
        <w:t xml:space="preserve">— The reasoning that s 189 turns on the officer’s knowledge or reasonable suspicion, so lawfulness is measured by the officer’s state of mind rather than by the objective legal position. This is exactly the structure the Commonwealth wanted the</w:t>
      </w:r>
      <w:r>
        <w:t xml:space="preserve"> </w:t>
      </w:r>
      <w:r>
        <w:rPr>
          <w:iCs/>
          <w:i/>
        </w:rPr>
        <w:t xml:space="preserve">common law</w:t>
      </w:r>
      <w:r>
        <w:t xml:space="preserve"> </w:t>
      </w:r>
      <w:r>
        <w:t xml:space="preserve">to adopt in</w:t>
      </w:r>
      <w:r>
        <w:t xml:space="preserve"> </w:t>
      </w:r>
      <w:r>
        <w:rPr>
          <w:iCs/>
          <w:i/>
        </w:rPr>
        <w:t xml:space="preserve">Abdel-Hady</w:t>
      </w:r>
      <w:r>
        <w:t xml:space="preserve">, and the Court refused ([120] Edelman J: liability regardless of honesty or reasonableness). So Parliament can achieve by statute what the common law will not concede — my sharpest limit.</w:t>
      </w:r>
    </w:p>
    <w:p>
      <w:pPr>
        <w:numPr>
          <w:ilvl w:val="1"/>
          <w:numId w:val="1022"/>
        </w:numPr>
        <w:pStyle w:val="Compact"/>
      </w:pPr>
      <w:r>
        <w:rPr>
          <w:rStyle w:val="VerbatimChar"/>
        </w:rPr>
        <w:t xml:space="preserve">p 158–159 [3 — confirm]</w:t>
      </w:r>
      <w:r>
        <w:t xml:space="preserve"> </w:t>
      </w:r>
      <w:r>
        <w:t xml:space="preserve">— Expect analysis of why the</w:t>
      </w:r>
      <w:r>
        <w:t xml:space="preserve"> </w:t>
      </w:r>
      <w:r>
        <w:rPr>
          <w:iCs/>
          <w:i/>
        </w:rPr>
        <w:t xml:space="preserve">Love/Thoms</w:t>
      </w:r>
      <w:r>
        <w:t xml:space="preserve"> </w:t>
      </w:r>
      <w:r>
        <w:t xml:space="preserve">ruling did not retrospectively expose the officer. Contrast the plurality in</w:t>
      </w:r>
      <w:r>
        <w:t xml:space="preserve"> </w:t>
      </w:r>
      <w:r>
        <w:rPr>
          <w:iCs/>
          <w:i/>
        </w:rPr>
        <w:t xml:space="preserve">Abdel-Hady</w:t>
      </w:r>
      <w:r>
        <w:t xml:space="preserve"> </w:t>
      </w:r>
      <w:r>
        <w:t xml:space="preserve">at [5]: there the provisions</w:t>
      </w:r>
      <w:r>
        <w:t xml:space="preserve"> </w:t>
      </w:r>
      <w:r>
        <w:t xml:space="preserve">“</w:t>
      </w:r>
      <w:r>
        <w:t xml:space="preserve">must be taken always to have been invalid</w:t>
      </w:r>
      <w:r>
        <w:t xml:space="preserve">”</w:t>
      </w:r>
      <w:r>
        <w:t xml:space="preserve"> </w:t>
      </w:r>
      <w:r>
        <w:rPr>
          <w:iCs/>
          <w:i/>
        </w:rPr>
        <w:t xml:space="preserve">in their application</w:t>
      </w:r>
      <w:r>
        <w:t xml:space="preserve">, and so furnished no answer. The distinction is between a provision that cannot apply and a provision whose condition (reasonable suspicion) was satisfied.</w:t>
      </w:r>
    </w:p>
    <w:p>
      <w:pPr>
        <w:numPr>
          <w:ilvl w:val="1"/>
          <w:numId w:val="1022"/>
        </w:numPr>
        <w:pStyle w:val="Compact"/>
      </w:pPr>
      <w:r>
        <w:rPr>
          <w:rStyle w:val="VerbatimChar"/>
        </w:rPr>
        <w:t xml:space="preserve">p 159–160 [4 — confirm]</w:t>
      </w:r>
      <w:r>
        <w:t xml:space="preserve"> </w:t>
      </w:r>
      <w:r>
        <w:t xml:space="preserve">— Expect a broader point about accountability gaps: a person unlawfully deprived of liberty may have no remedy at all if the statute is drafted around official belief. Read with Rock and Weeks at 1161 (Type 1) and 1186 (reform is legislative).</w:t>
      </w:r>
    </w:p>
    <w:p>
      <w:pPr>
        <w:numPr>
          <w:ilvl w:val="1"/>
          <w:numId w:val="1022"/>
        </w:numPr>
        <w:pStyle w:val="Compact"/>
      </w:pPr>
      <w:r>
        <w:rPr>
          <w:rStyle w:val="VerbatimChar"/>
        </w:rPr>
        <w:t xml:space="preserve">p 161 [5 — confirm]</w:t>
      </w:r>
      <w:r>
        <w:t xml:space="preserve"> </w:t>
      </w:r>
      <w:r>
        <w:t xml:space="preserve">— Expect a conclusion on the implications for future claims. Note that Rock later argued, in her AUSPUBLAW post on</w:t>
      </w:r>
      <w:r>
        <w:t xml:space="preserve"> </w:t>
      </w:r>
      <w:r>
        <w:rPr>
          <w:iCs/>
          <w:i/>
        </w:rPr>
        <w:t xml:space="preserve">Abdel-Hady</w:t>
      </w:r>
      <w:r>
        <w:t xml:space="preserve"> </w:t>
      </w:r>
      <w:r>
        <w:t xml:space="preserve">(19 June 2026), that the executive bears constitutional responsibility for actual lawfulness — a development of the same theme. I can mention that trajectory in text without citing the blog as one of my four.</w:t>
      </w:r>
    </w:p>
    <w:p>
      <w:pPr>
        <w:numPr>
          <w:ilvl w:val="0"/>
          <w:numId w:val="1021"/>
        </w:numPr>
        <w:pStyle w:val="Compact"/>
      </w:pPr>
      <w:r>
        <w:rPr>
          <w:bCs/>
          <w:b/>
        </w:rPr>
        <w:t xml:space="preserve">Best use:</w:t>
      </w:r>
      <w:r>
        <w:t xml:space="preserve"> </w:t>
      </w:r>
      <w:r>
        <w:rPr>
          <w:bCs/>
          <w:b/>
        </w:rPr>
        <w:t xml:space="preserve">L1</w:t>
      </w:r>
      <w:r>
        <w:t xml:space="preserve">. The counter-example that disciplines the whole paper; pairs with source 9 (</w:t>
      </w:r>
      <w:r>
        <w:rPr>
          <w:iCs/>
          <w:i/>
        </w:rPr>
        <w:t xml:space="preserve">Ruddock</w:t>
      </w:r>
      <w:r>
        <w:t xml:space="preserve">) and source 8 (the taxonomy that explains both).</w:t>
      </w:r>
    </w:p>
    <w:p>
      <w:pPr>
        <w:numPr>
          <w:ilvl w:val="0"/>
          <w:numId w:val="1021"/>
        </w:numPr>
        <w:pStyle w:val="Compact"/>
      </w:pPr>
      <w:r>
        <w:rPr>
          <w:bCs/>
          <w:b/>
        </w:rPr>
        <w:t xml:space="preserve">Caveats:</w:t>
      </w:r>
      <w:r>
        <w:t xml:space="preserve"> </w:t>
      </w:r>
      <w:r>
        <w:t xml:space="preserve">Not read; everything above is reconstructed from the case and from Rock’s known position. If you cannot obtain the note through Westlaw, do</w:t>
      </w:r>
      <w:r>
        <w:t xml:space="preserve"> </w:t>
      </w:r>
      <w:r>
        <w:rPr>
          <w:bCs/>
          <w:b/>
        </w:rPr>
        <w:t xml:space="preserve">not</w:t>
      </w:r>
      <w:r>
        <w:t xml:space="preserve"> </w:t>
      </w:r>
      <w:r>
        <w:t xml:space="preserve">cite it — use the judgment in</w:t>
      </w:r>
      <w:r>
        <w:t xml:space="preserve"> </w:t>
      </w:r>
      <w:r>
        <w:rPr>
          <w:iCs/>
          <w:i/>
        </w:rPr>
        <w:t xml:space="preserve">Thoms</w:t>
      </w:r>
      <w:r>
        <w:t xml:space="preserve"> </w:t>
      </w:r>
      <w:r>
        <w:t xml:space="preserve">itself as a primary source (primary sources do not count towards your four and need not be annotated) and pick a different fourth source.</w:t>
      </w:r>
    </w:p>
    <w:bookmarkEnd w:id="36"/>
    <w:bookmarkStart w:id="37" w:name="X29b4c20cee27cb904842025a7a90a953f536604"/>
    <w:p>
      <w:pPr>
        <w:pStyle w:val="Heading3"/>
      </w:pPr>
      <w:r>
        <w:t xml:space="preserve">11. C L Pannam,</w:t>
      </w:r>
      <w:r>
        <w:t xml:space="preserve"> </w:t>
      </w:r>
      <w:r>
        <w:t xml:space="preserve">‘</w:t>
      </w:r>
      <w:r>
        <w:t xml:space="preserve">Tortious Liability for Acts Performed under an Unconstitutional Statute</w:t>
      </w:r>
      <w:r>
        <w:t xml:space="preserve">’</w:t>
      </w:r>
      <w:r>
        <w:t xml:space="preserve"> </w:t>
      </w:r>
      <w:r>
        <w:t xml:space="preserve">(1966) 5</w:t>
      </w:r>
      <w:r>
        <w:t xml:space="preserve"> </w:t>
      </w:r>
      <w:r>
        <w:rPr>
          <w:iCs/>
          <w:i/>
        </w:rPr>
        <w:t xml:space="preserve">Melbourne University Law Review</w:t>
      </w:r>
      <w:r>
        <w:t xml:space="preserve"> </w:t>
      </w:r>
      <w:r>
        <w:t xml:space="preserve">113 ●</w:t>
      </w:r>
    </w:p>
    <w:p>
      <w:pPr>
        <w:numPr>
          <w:ilvl w:val="0"/>
          <w:numId w:val="1023"/>
        </w:numPr>
        <w:pStyle w:val="Compact"/>
      </w:pPr>
      <w:r>
        <w:rPr>
          <w:bCs/>
          <w:b/>
        </w:rPr>
        <w:t xml:space="preserve">Access:</w:t>
      </w:r>
      <w:r>
        <w:t xml:space="preserve"> </w:t>
      </w:r>
      <w:r>
        <w:t xml:space="preserve">Free PDF on AustLII (</w:t>
      </w:r>
      <w:r>
        <w:rPr>
          <w:rStyle w:val="VerbatimChar"/>
        </w:rPr>
        <w:t xml:space="preserve">[1966] MelbULawRw 1</w:t>
      </w:r>
      <w:r>
        <w:t xml:space="preserve">). Pages 113–142. Structure: Introduction (113–114); The Problem Stated (114–117); The Rule in the United States (117–125); The Rule in Australia (125–135); An Analysis of the Problem (135–142).</w:t>
      </w:r>
      <w:r>
        <w:t xml:space="preserve"> </w:t>
      </w:r>
      <w:r>
        <w:rPr>
          <w:bCs/>
          <w:b/>
        </w:rPr>
        <w:t xml:space="preserve">Cited by Gordon J in</w:t>
      </w:r>
      <w:r>
        <w:rPr>
          <w:bCs/>
          <w:b/>
        </w:rPr>
        <w:t xml:space="preserve"> </w:t>
      </w:r>
      <w:r>
        <w:rPr>
          <w:iCs/>
          <w:i/>
          <w:bCs/>
          <w:b/>
        </w:rPr>
        <w:t xml:space="preserve">Abdel-Hady</w:t>
      </w:r>
      <w:r>
        <w:rPr>
          <w:bCs/>
          <w:b/>
        </w:rPr>
        <w:t xml:space="preserve"> </w:t>
      </w:r>
      <w:r>
        <w:rPr>
          <w:bCs/>
          <w:b/>
        </w:rPr>
        <w:t xml:space="preserve">at fn 87 ([76]).</w:t>
      </w:r>
    </w:p>
    <w:p>
      <w:pPr>
        <w:numPr>
          <w:ilvl w:val="0"/>
          <w:numId w:val="1023"/>
        </w:numPr>
        <w:pStyle w:val="Compact"/>
      </w:pPr>
      <w:r>
        <w:rPr>
          <w:bCs/>
          <w:b/>
        </w:rPr>
        <w:t xml:space="preserve">What it argues:</w:t>
      </w:r>
      <w:r>
        <w:t xml:space="preserve"> </w:t>
      </w:r>
      <w:r>
        <w:t xml:space="preserve">Sixty years before</w:t>
      </w:r>
      <w:r>
        <w:t xml:space="preserve"> </w:t>
      </w:r>
      <w:r>
        <w:rPr>
          <w:iCs/>
          <w:i/>
        </w:rPr>
        <w:t xml:space="preserve">Abdel-Hady</w:t>
      </w:r>
      <w:r>
        <w:t xml:space="preserve">, Pannam analysed precisely this problem: is an official who acts under a statute later held unconstitutional liable in tort? He traces the</w:t>
      </w:r>
      <w:r>
        <w:t xml:space="preserve"> </w:t>
      </w:r>
      <w:r>
        <w:rPr>
          <w:iCs/>
          <w:i/>
        </w:rPr>
        <w:t xml:space="preserve">Norton v Shelby County</w:t>
      </w:r>
      <w:r>
        <w:t xml:space="preserve"> </w:t>
      </w:r>
      <w:r>
        <w:t xml:space="preserve">orthodoxy (</w:t>
      </w:r>
      <w:r>
        <w:t xml:space="preserve">“</w:t>
      </w:r>
      <w:r>
        <w:t xml:space="preserve">an unconstitutional act is not a law; it confers no right; it imposes no duties</w:t>
      </w:r>
      <w:r>
        <w:t xml:space="preserve">”</w:t>
      </w:r>
      <w:r>
        <w:t xml:space="preserve">), shows that nineteenth-century American courts imposed personal liability regardless of good faith or of a prior judicial decision upholding the statute, and that by the 1960s American courts had split roughly evenly on whether to keep that rule. Australian courts, by contrast, applied the void</w:t>
      </w:r>
      <w:r>
        <w:t xml:space="preserve"> </w:t>
      </w:r>
      <w:r>
        <w:rPr>
          <w:iCs/>
          <w:i/>
        </w:rPr>
        <w:t xml:space="preserve">ab initio</w:t>
      </w:r>
      <w:r>
        <w:t xml:space="preserve"> </w:t>
      </w:r>
      <w:r>
        <w:t xml:space="preserve">doctrine consistently —</w:t>
      </w:r>
      <w:r>
        <w:t xml:space="preserve"> </w:t>
      </w:r>
      <w:r>
        <w:rPr>
          <w:iCs/>
          <w:i/>
        </w:rPr>
        <w:t xml:space="preserve">James v Cowan</w:t>
      </w:r>
      <w:r>
        <w:t xml:space="preserve">,</w:t>
      </w:r>
      <w:r>
        <w:t xml:space="preserve"> </w:t>
      </w:r>
      <w:r>
        <w:rPr>
          <w:iCs/>
          <w:i/>
        </w:rPr>
        <w:t xml:space="preserve">Riverina Transport</w:t>
      </w:r>
      <w:r>
        <w:t xml:space="preserve">,</w:t>
      </w:r>
      <w:r>
        <w:t xml:space="preserve"> </w:t>
      </w:r>
      <w:r>
        <w:rPr>
          <w:iCs/>
          <w:i/>
        </w:rPr>
        <w:t xml:space="preserve">Antill Ranger</w:t>
      </w:r>
      <w:r>
        <w:t xml:space="preserve">, and most pointedly</w:t>
      </w:r>
      <w:r>
        <w:t xml:space="preserve"> </w:t>
      </w:r>
      <w:r>
        <w:rPr>
          <w:iCs/>
          <w:i/>
        </w:rPr>
        <w:t xml:space="preserve">Deacon v Grimshaw</w:t>
      </w:r>
      <w:r>
        <w:t xml:space="preserve">, where an officer was held liable although the statute had earlier been upheld by the High Court. Pannam’s own view is critical: the doctrine made sense when governments were immune from suit and the officer was the only available defendant, but once the government accepts tort liability, imposing it on the officer is a fallacy. He proposes that the officer who merely carried out instructions should not be personally liable while the government that gave them should be.</w:t>
      </w:r>
    </w:p>
    <w:p>
      <w:pPr>
        <w:numPr>
          <w:ilvl w:val="0"/>
          <w:numId w:val="1023"/>
        </w:numPr>
        <w:pStyle w:val="Compact"/>
      </w:pPr>
      <w:r>
        <w:rPr>
          <w:bCs/>
          <w:b/>
        </w:rPr>
        <w:t xml:space="preserve">Why it survived screening:</w:t>
      </w:r>
      <w:r>
        <w:t xml:space="preserve"> </w:t>
      </w:r>
      <w:r>
        <w:t xml:space="preserve">Three reasons. It is cited by the Court, which means citing it shows you have followed the Court’s own reasoning to its source. It contains an Australian authority —</w:t>
      </w:r>
      <w:r>
        <w:t xml:space="preserve"> </w:t>
      </w:r>
      <w:r>
        <w:rPr>
          <w:iCs/>
          <w:i/>
        </w:rPr>
        <w:t xml:space="preserve">Deacon v Grimshaw</w:t>
      </w:r>
      <w:r>
        <w:t xml:space="preserve"> </w:t>
      </w:r>
      <w:r>
        <w:t xml:space="preserve">— in which prior High Court validation of the statute was held</w:t>
      </w:r>
      <w:r>
        <w:t xml:space="preserve"> </w:t>
      </w:r>
      <w:r>
        <w:rPr>
          <w:iCs/>
          <w:i/>
        </w:rPr>
        <w:t xml:space="preserve">not</w:t>
      </w:r>
      <w:r>
        <w:t xml:space="preserve"> </w:t>
      </w:r>
      <w:r>
        <w:t xml:space="preserve">to protect the officer, which is the</w:t>
      </w:r>
      <w:r>
        <w:t xml:space="preserve"> </w:t>
      </w:r>
      <w:r>
        <w:rPr>
          <w:iCs/>
          <w:i/>
        </w:rPr>
        <w:t xml:space="preserve">Abdel-Hady</w:t>
      </w:r>
      <w:r>
        <w:t xml:space="preserve"> </w:t>
      </w:r>
      <w:r>
        <w:t xml:space="preserve">holding sixty years early and shows the decision is orthodox rather than novel (the plurality’s own framing at [7] and [34]). And its critique is the best scholarly version of the Commonwealth’s fairness argument, which lets you engage the losing side seriously.</w:t>
      </w:r>
    </w:p>
    <w:p>
      <w:pPr>
        <w:numPr>
          <w:ilvl w:val="0"/>
          <w:numId w:val="1023"/>
        </w:numPr>
        <w:pStyle w:val="Compact"/>
      </w:pPr>
      <w:r>
        <w:rPr>
          <w:bCs/>
          <w:b/>
        </w:rPr>
        <w:t xml:space="preserve">Annotations</w:t>
      </w:r>
    </w:p>
    <w:p>
      <w:pPr>
        <w:numPr>
          <w:ilvl w:val="1"/>
          <w:numId w:val="1024"/>
        </w:numPr>
        <w:pStyle w:val="Compact"/>
      </w:pPr>
      <w:r>
        <w:rPr>
          <w:rStyle w:val="VerbatimChar"/>
        </w:rPr>
        <w:t xml:space="preserve">p 114 [1]</w:t>
      </w:r>
      <w:r>
        <w:t xml:space="preserve"> </w:t>
      </w:r>
      <w:r>
        <w:t xml:space="preserve">—</w:t>
      </w:r>
      <w:r>
        <w:t xml:space="preserve"> </w:t>
      </w:r>
      <w:r>
        <w:rPr>
          <w:iCs/>
          <w:i/>
        </w:rPr>
        <w:t xml:space="preserve">Norton v Shelby County</w:t>
      </w:r>
      <w:r>
        <w:t xml:space="preserve">:</w:t>
      </w:r>
      <w:r>
        <w:t xml:space="preserve"> </w:t>
      </w:r>
      <w:r>
        <w:t xml:space="preserve">“</w:t>
      </w:r>
      <w:r>
        <w:t xml:space="preserve">An unconstitutional act is not a law; it confers no right; it imposes no duties</w:t>
      </w:r>
      <w:r>
        <w:t xml:space="preserve">”</w:t>
      </w:r>
      <w:r>
        <w:t xml:space="preserve"> </w:t>
      </w:r>
      <w:r>
        <w:t xml:space="preserve">— which Pannam calls a</w:t>
      </w:r>
      <w:r>
        <w:t xml:space="preserve"> </w:t>
      </w:r>
      <w:r>
        <w:t xml:space="preserve">“</w:t>
      </w:r>
      <w:r>
        <w:t xml:space="preserve">constitutional cliché</w:t>
      </w:r>
      <w:r>
        <w:t xml:space="preserve">”</w:t>
      </w:r>
      <w:r>
        <w:t xml:space="preserve"> </w:t>
      </w:r>
      <w:r>
        <w:t xml:space="preserve">applied mechanistically. The plurality in</w:t>
      </w:r>
      <w:r>
        <w:t xml:space="preserve"> </w:t>
      </w:r>
      <w:r>
        <w:rPr>
          <w:iCs/>
          <w:i/>
        </w:rPr>
        <w:t xml:space="preserve">Abdel-Hady</w:t>
      </w:r>
      <w:r>
        <w:t xml:space="preserve"> </w:t>
      </w:r>
      <w:r>
        <w:t xml:space="preserve">adopts exactly this proposition at [3] (quoting</w:t>
      </w:r>
      <w:r>
        <w:t xml:space="preserve"> </w:t>
      </w:r>
      <w:r>
        <w:rPr>
          <w:iCs/>
          <w:i/>
        </w:rPr>
        <w:t xml:space="preserve">Haskins</w:t>
      </w:r>
      <w:r>
        <w:t xml:space="preserve">, quoting</w:t>
      </w:r>
      <w:r>
        <w:t xml:space="preserve"> </w:t>
      </w:r>
      <w:r>
        <w:rPr>
          <w:iCs/>
          <w:i/>
        </w:rPr>
        <w:t xml:space="preserve">Norton</w:t>
      </w:r>
      <w:r>
        <w:t xml:space="preserve">). Pannam’s scepticism about mechanical application is my way of engaging critically with the Court’s premise rather than just reciting it.</w:t>
      </w:r>
    </w:p>
    <w:p>
      <w:pPr>
        <w:numPr>
          <w:ilvl w:val="1"/>
          <w:numId w:val="1024"/>
        </w:numPr>
        <w:pStyle w:val="Compact"/>
      </w:pPr>
      <w:r>
        <w:rPr>
          <w:rStyle w:val="VerbatimChar"/>
        </w:rPr>
        <w:t xml:space="preserve">p 117 [2]</w:t>
      </w:r>
      <w:r>
        <w:t xml:space="preserve"> </w:t>
      </w:r>
      <w:r>
        <w:t xml:space="preserve">—</w:t>
      </w:r>
      <w:r>
        <w:t xml:space="preserve"> </w:t>
      </w:r>
      <w:r>
        <w:rPr>
          <w:iCs/>
          <w:i/>
        </w:rPr>
        <w:t xml:space="preserve">Deacon v Grimshaw</w:t>
      </w:r>
      <w:r>
        <w:t xml:space="preserve"> </w:t>
      </w:r>
      <w:r>
        <w:t xml:space="preserve">(reported with</w:t>
      </w:r>
      <w:r>
        <w:t xml:space="preserve"> </w:t>
      </w:r>
      <w:r>
        <w:rPr>
          <w:iCs/>
          <w:i/>
        </w:rPr>
        <w:t xml:space="preserve">Antill Ranger</w:t>
      </w:r>
      <w:r>
        <w:t xml:space="preserve">): the officer was liable although the statute had been validated by earlier High Court decisions. This is the single most valuable citation in the article. It is the direct nineteenth-of-the-way answer to the Commonwealth’s</w:t>
      </w:r>
      <w:r>
        <w:t xml:space="preserve"> </w:t>
      </w:r>
      <w:r>
        <w:t xml:space="preserve">“</w:t>
      </w:r>
      <w:r>
        <w:t xml:space="preserve">we relied on</w:t>
      </w:r>
      <w:r>
        <w:t xml:space="preserve"> </w:t>
      </w:r>
      <w:r>
        <w:rPr>
          <w:iCs/>
          <w:i/>
        </w:rPr>
        <w:t xml:space="preserve">Al-Kateb</w:t>
      </w:r>
      <w:r>
        <w:t xml:space="preserve">”</w:t>
      </w:r>
      <w:r>
        <w:t xml:space="preserve"> </w:t>
      </w:r>
      <w:r>
        <w:t xml:space="preserve">argument, and the plurality’s fn 27 points to the same report. I will use it to show</w:t>
      </w:r>
      <w:r>
        <w:t xml:space="preserve"> </w:t>
      </w:r>
      <w:r>
        <w:rPr>
          <w:iCs/>
          <w:i/>
        </w:rPr>
        <w:t xml:space="preserve">Abdel-Hady</w:t>
      </w:r>
      <w:r>
        <w:t xml:space="preserve"> </w:t>
      </w:r>
      <w:r>
        <w:t xml:space="preserve">applied a settled Australian rule.</w:t>
      </w:r>
    </w:p>
    <w:p>
      <w:pPr>
        <w:numPr>
          <w:ilvl w:val="1"/>
          <w:numId w:val="1024"/>
        </w:numPr>
        <w:pStyle w:val="Compact"/>
      </w:pPr>
      <w:r>
        <w:rPr>
          <w:rStyle w:val="VerbatimChar"/>
        </w:rPr>
        <w:t xml:space="preserve">p 118 [3]</w:t>
      </w:r>
      <w:r>
        <w:t xml:space="preserve"> </w:t>
      </w:r>
      <w:r>
        <w:t xml:space="preserve">— The nineteenth-century American position:</w:t>
      </w:r>
      <w:r>
        <w:t xml:space="preserve"> </w:t>
      </w:r>
      <w:r>
        <w:t xml:space="preserve">“</w:t>
      </w:r>
      <w:r>
        <w:t xml:space="preserve">an unconstitutional law is, in legal effect, no law at all, and the ministerial officer cannot … justify his action under it</w:t>
      </w:r>
      <w:r>
        <w:t xml:space="preserve">”</w:t>
      </w:r>
      <w:r>
        <w:t xml:space="preserve">; good faith and prior judicial validation were not defences. Pair with Edelman J at [171], who relies on Baude to show</w:t>
      </w:r>
      <w:r>
        <w:t xml:space="preserve"> </w:t>
      </w:r>
      <w:r>
        <w:rPr>
          <w:iCs/>
          <w:i/>
        </w:rPr>
        <w:t xml:space="preserve">Pierson v Ray</w:t>
      </w:r>
      <w:r>
        <w:t xml:space="preserve">’s</w:t>
      </w:r>
      <w:r>
        <w:t xml:space="preserve"> </w:t>
      </w:r>
      <w:r>
        <w:t xml:space="preserve">“</w:t>
      </w:r>
      <w:r>
        <w:t xml:space="preserve">good faith</w:t>
      </w:r>
      <w:r>
        <w:t xml:space="preserve">”</w:t>
      </w:r>
      <w:r>
        <w:t xml:space="preserve"> </w:t>
      </w:r>
      <w:r>
        <w:t xml:space="preserve">pedigree was historically inaccurate. Same conclusion, reached in 1966 and 2018 independently.</w:t>
      </w:r>
    </w:p>
    <w:p>
      <w:pPr>
        <w:numPr>
          <w:ilvl w:val="1"/>
          <w:numId w:val="1024"/>
        </w:numPr>
        <w:pStyle w:val="Compact"/>
      </w:pPr>
      <w:r>
        <w:rPr>
          <w:rStyle w:val="VerbatimChar"/>
        </w:rPr>
        <w:t xml:space="preserve">p 119 [4]</w:t>
      </w:r>
      <w:r>
        <w:t xml:space="preserve"> </w:t>
      </w:r>
      <w:r>
        <w:t xml:space="preserve">—</w:t>
      </w:r>
      <w:r>
        <w:t xml:space="preserve"> </w:t>
      </w:r>
      <w:r>
        <w:rPr>
          <w:iCs/>
          <w:i/>
        </w:rPr>
        <w:t xml:space="preserve">Gross v Rice</w:t>
      </w:r>
      <w:r>
        <w:t xml:space="preserve"> </w:t>
      </w:r>
      <w:r>
        <w:t xml:space="preserve">(a prison warden held liable; the court rejecting the argument that unconstitutionality must first be declared) and</w:t>
      </w:r>
      <w:r>
        <w:t xml:space="preserve"> </w:t>
      </w:r>
      <w:r>
        <w:rPr>
          <w:iCs/>
          <w:i/>
        </w:rPr>
        <w:t xml:space="preserve">Fisher v McGirr</w:t>
      </w:r>
      <w:r>
        <w:t xml:space="preserve"> </w:t>
      </w:r>
      <w:r>
        <w:t xml:space="preserve">(officer liable despite a magistrate’s warrant). The warden case is</w:t>
      </w:r>
      <w:r>
        <w:t xml:space="preserve"> </w:t>
      </w:r>
      <w:r>
        <w:rPr>
          <w:iCs/>
          <w:i/>
        </w:rPr>
        <w:t xml:space="preserve">Evans (No 2)</w:t>
      </w:r>
      <w:r>
        <w:t xml:space="preserve"> </w:t>
      </w:r>
      <w:r>
        <w:t xml:space="preserve">a century early; the warrant case shows the limits of the</w:t>
      </w:r>
      <w:r>
        <w:t xml:space="preserve"> </w:t>
      </w:r>
      <w:r>
        <w:rPr>
          <w:iCs/>
          <w:i/>
        </w:rPr>
        <w:t xml:space="preserve">Stradford</w:t>
      </w:r>
      <w:r>
        <w:t xml:space="preserve"> </w:t>
      </w:r>
      <w:r>
        <w:t xml:space="preserve">analogy the Commonwealth ran at [24]–[25].</w:t>
      </w:r>
    </w:p>
    <w:p>
      <w:pPr>
        <w:numPr>
          <w:ilvl w:val="1"/>
          <w:numId w:val="1024"/>
        </w:numPr>
        <w:pStyle w:val="Compact"/>
      </w:pPr>
      <w:r>
        <w:rPr>
          <w:rStyle w:val="VerbatimChar"/>
        </w:rPr>
        <w:t xml:space="preserve">p 124 [5]</w:t>
      </w:r>
      <w:r>
        <w:t xml:space="preserve"> </w:t>
      </w:r>
      <w:r>
        <w:t xml:space="preserve">— By the mid-twentieth century American courts had divided:</w:t>
      </w:r>
      <w:r>
        <w:t xml:space="preserve"> </w:t>
      </w:r>
      <w:r>
        <w:t xml:space="preserve">“</w:t>
      </w:r>
      <w:r>
        <w:t xml:space="preserve">of the twenty-one states which have decisions on the question, ten support the rule and eleven reject it</w:t>
      </w:r>
      <w:r>
        <w:t xml:space="preserve">”</w:t>
      </w:r>
      <w:r>
        <w:t xml:space="preserve">, with the strict rule described as</w:t>
      </w:r>
      <w:r>
        <w:t xml:space="preserve"> </w:t>
      </w:r>
      <w:r>
        <w:t xml:space="preserve">“</w:t>
      </w:r>
      <w:r>
        <w:t xml:space="preserve">intolerable</w:t>
      </w:r>
      <w:r>
        <w:t xml:space="preserve">”</w:t>
      </w:r>
      <w:r>
        <w:t xml:space="preserve"> </w:t>
      </w:r>
      <w:r>
        <w:t xml:space="preserve">for effective public administration. Useful for balance: the plurality at [49]–[50] treats US law as offering only</w:t>
      </w:r>
      <w:r>
        <w:t xml:space="preserve"> </w:t>
      </w:r>
      <w:r>
        <w:t xml:space="preserve">“</w:t>
      </w:r>
      <w:r>
        <w:t xml:space="preserve">rhetorical support</w:t>
      </w:r>
      <w:r>
        <w:t xml:space="preserve">”</w:t>
      </w:r>
      <w:r>
        <w:t xml:space="preserve">, but Pannam shows the retreat was a considered response to a real problem, not mere rhetoric.</w:t>
      </w:r>
    </w:p>
    <w:p>
      <w:pPr>
        <w:numPr>
          <w:ilvl w:val="1"/>
          <w:numId w:val="1024"/>
        </w:numPr>
        <w:pStyle w:val="Compact"/>
      </w:pPr>
      <w:r>
        <w:rPr>
          <w:rStyle w:val="VerbatimChar"/>
        </w:rPr>
        <w:t xml:space="preserve">p 128 [6]</w:t>
      </w:r>
      <w:r>
        <w:t xml:space="preserve"> </w:t>
      </w:r>
      <w:r>
        <w:t xml:space="preserve">—</w:t>
      </w:r>
      <w:r>
        <w:t xml:space="preserve"> </w:t>
      </w:r>
      <w:r>
        <w:rPr>
          <w:iCs/>
          <w:i/>
        </w:rPr>
        <w:t xml:space="preserve">James v Cowan</w:t>
      </w:r>
      <w:r>
        <w:t xml:space="preserve">:</w:t>
      </w:r>
      <w:r>
        <w:t xml:space="preserve"> </w:t>
      </w:r>
      <w:r>
        <w:t xml:space="preserve">“</w:t>
      </w:r>
      <w:r>
        <w:t xml:space="preserve">unless the seizures can be justified under the Act they were legal wrongs</w:t>
      </w:r>
      <w:r>
        <w:t xml:space="preserve">”</w:t>
      </w:r>
      <w:r>
        <w:t xml:space="preserve">. The structure of Type 1 liability (Rock and Weeks, source 8) in a single sentence of Privy Council language.</w:t>
      </w:r>
    </w:p>
    <w:p>
      <w:pPr>
        <w:numPr>
          <w:ilvl w:val="1"/>
          <w:numId w:val="1024"/>
        </w:numPr>
        <w:pStyle w:val="Compact"/>
      </w:pPr>
      <w:r>
        <w:rPr>
          <w:rStyle w:val="VerbatimChar"/>
        </w:rPr>
        <w:t xml:space="preserve">p 129 [7]</w:t>
      </w:r>
      <w:r>
        <w:t xml:space="preserve"> </w:t>
      </w:r>
      <w:r>
        <w:t xml:space="preserve">—</w:t>
      </w:r>
      <w:r>
        <w:t xml:space="preserve"> </w:t>
      </w:r>
      <w:r>
        <w:rPr>
          <w:iCs/>
          <w:i/>
        </w:rPr>
        <w:t xml:space="preserve">James v Commonwealth</w:t>
      </w:r>
      <w:r>
        <w:t xml:space="preserve">: Dixon J held the Commonwealth vicariously liable for tortious seizures under an unconstitutional statute, recognising a</w:t>
      </w:r>
      <w:r>
        <w:t xml:space="preserve"> </w:t>
      </w:r>
      <w:r>
        <w:t xml:space="preserve">“</w:t>
      </w:r>
      <w:r>
        <w:t xml:space="preserve">de facto authority</w:t>
      </w:r>
      <w:r>
        <w:t xml:space="preserve">”</w:t>
      </w:r>
      <w:r>
        <w:t xml:space="preserve"> </w:t>
      </w:r>
      <w:r>
        <w:t xml:space="preserve">sufficient to establish vicarious liability. This is the doctrinal ancestor of the Commonwealth’s concession at [17] and [22] — and of Edelman J’s discomfort with it at [132]–[144].</w:t>
      </w:r>
    </w:p>
    <w:p>
      <w:pPr>
        <w:numPr>
          <w:ilvl w:val="1"/>
          <w:numId w:val="1024"/>
        </w:numPr>
        <w:pStyle w:val="Compact"/>
      </w:pPr>
      <w:r>
        <w:rPr>
          <w:rStyle w:val="VerbatimChar"/>
        </w:rPr>
        <w:t xml:space="preserve">p 131 [8]</w:t>
      </w:r>
      <w:r>
        <w:t xml:space="preserve"> </w:t>
      </w:r>
      <w:r>
        <w:t xml:space="preserve">— Also from</w:t>
      </w:r>
      <w:r>
        <w:t xml:space="preserve"> </w:t>
      </w:r>
      <w:r>
        <w:rPr>
          <w:iCs/>
          <w:i/>
        </w:rPr>
        <w:t xml:space="preserve">James v Commonwealth</w:t>
      </w:r>
      <w:r>
        <w:t xml:space="preserve">:</w:t>
      </w:r>
      <w:r>
        <w:t xml:space="preserve"> </w:t>
      </w:r>
      <w:r>
        <w:t xml:space="preserve">“</w:t>
      </w:r>
      <w:r>
        <w:t xml:space="preserve">the enactment of a law cannot in itself give any cause of action</w:t>
      </w:r>
      <w:r>
        <w:t xml:space="preserve">”</w:t>
      </w:r>
      <w:r>
        <w:t xml:space="preserve">; invalidity operates only to</w:t>
      </w:r>
      <w:r>
        <w:t xml:space="preserve"> </w:t>
      </w:r>
      <w:r>
        <w:t xml:space="preserve">“</w:t>
      </w:r>
      <w:r>
        <w:t xml:space="preserve">nullify an alleged justification</w:t>
      </w:r>
      <w:r>
        <w:t xml:space="preserve">”</w:t>
      </w:r>
      <w:r>
        <w:t xml:space="preserve">. Crucial for my limits section: there is no Australian tort of enacting an invalid law, so Parliament bears no liability for the statute that produced nineteen years of detention. Contrast Canada, where</w:t>
      </w:r>
      <w:r>
        <w:t xml:space="preserve"> </w:t>
      </w:r>
      <w:r>
        <w:rPr>
          <w:iCs/>
          <w:i/>
        </w:rPr>
        <w:t xml:space="preserve">Canada (AG) v Power</w:t>
      </w:r>
      <w:r>
        <w:t xml:space="preserve"> </w:t>
      </w:r>
      <w:r>
        <w:t xml:space="preserve">(2024) contemplates damages for unconstitutional legislation subject to the</w:t>
      </w:r>
      <w:r>
        <w:t xml:space="preserve"> </w:t>
      </w:r>
      <w:r>
        <w:rPr>
          <w:iCs/>
          <w:i/>
        </w:rPr>
        <w:t xml:space="preserve">Mackin</w:t>
      </w:r>
      <w:r>
        <w:t xml:space="preserve"> </w:t>
      </w:r>
      <w:r>
        <w:t xml:space="preserve">threshold (discussed by Edelman J at [175]–[176]).</w:t>
      </w:r>
    </w:p>
    <w:p>
      <w:pPr>
        <w:numPr>
          <w:ilvl w:val="1"/>
          <w:numId w:val="1024"/>
        </w:numPr>
        <w:pStyle w:val="Compact"/>
      </w:pPr>
      <w:r>
        <w:rPr>
          <w:rStyle w:val="VerbatimChar"/>
        </w:rPr>
        <w:t xml:space="preserve">p 133 [9]</w:t>
      </w:r>
      <w:r>
        <w:t xml:space="preserve"> </w:t>
      </w:r>
      <w:r>
        <w:t xml:space="preserve">—</w:t>
      </w:r>
      <w:r>
        <w:t xml:space="preserve"> </w:t>
      </w:r>
      <w:r>
        <w:rPr>
          <w:iCs/>
          <w:i/>
        </w:rPr>
        <w:t xml:space="preserve">Antill Ranger</w:t>
      </w:r>
      <w:r>
        <w:t xml:space="preserve">:</w:t>
      </w:r>
      <w:r>
        <w:t xml:space="preserve"> </w:t>
      </w:r>
      <w:r>
        <w:t xml:space="preserve">“</w:t>
      </w:r>
      <w:r>
        <w:t xml:space="preserve">No State statute can justify either prospectively or ex post facto an act which is at once a wrong at common law and an invasion of an immunity.</w:t>
      </w:r>
      <w:r>
        <w:t xml:space="preserve">”</w:t>
      </w:r>
      <w:r>
        <w:t xml:space="preserve"> </w:t>
      </w:r>
      <w:r>
        <w:t xml:space="preserve">Note the qualification — this concerns constitutional immunities; the</w:t>
      </w:r>
      <w:r>
        <w:t xml:space="preserve"> </w:t>
      </w:r>
      <w:r>
        <w:rPr>
          <w:iCs/>
          <w:i/>
        </w:rPr>
        <w:t xml:space="preserve">Migration Act</w:t>
      </w:r>
      <w:r>
        <w:t xml:space="preserve"> </w:t>
      </w:r>
      <w:r>
        <w:t xml:space="preserve">provisions in</w:t>
      </w:r>
      <w:r>
        <w:t xml:space="preserve"> </w:t>
      </w:r>
      <w:r>
        <w:rPr>
          <w:iCs/>
          <w:i/>
        </w:rPr>
        <w:t xml:space="preserve">Abdel-Hady</w:t>
      </w:r>
      <w:r>
        <w:t xml:space="preserve"> </w:t>
      </w:r>
      <w:r>
        <w:t xml:space="preserve">were invalid for Ch III reasons, so the analogy holds, but Parliament</w:t>
      </w:r>
      <w:r>
        <w:t xml:space="preserve"> </w:t>
      </w:r>
      <w:r>
        <w:rPr>
          <w:iCs/>
          <w:i/>
        </w:rPr>
        <w:t xml:space="preserve">can</w:t>
      </w:r>
      <w:r>
        <w:t xml:space="preserve"> </w:t>
      </w:r>
      <w:r>
        <w:t xml:space="preserve">validate retrospectively where no constitutional immunity is engaged (cf the plurality at [41] and</w:t>
      </w:r>
      <w:r>
        <w:t xml:space="preserve"> </w:t>
      </w:r>
      <w:r>
        <w:rPr>
          <w:iCs/>
          <w:i/>
        </w:rPr>
        <w:t xml:space="preserve">Haskins</w:t>
      </w:r>
      <w:r>
        <w:t xml:space="preserve">).</w:t>
      </w:r>
    </w:p>
    <w:p>
      <w:pPr>
        <w:numPr>
          <w:ilvl w:val="1"/>
          <w:numId w:val="1024"/>
        </w:numPr>
        <w:pStyle w:val="Compact"/>
      </w:pPr>
      <w:r>
        <w:rPr>
          <w:rStyle w:val="VerbatimChar"/>
        </w:rPr>
        <w:t xml:space="preserve">p 137 [10]</w:t>
      </w:r>
      <w:r>
        <w:t xml:space="preserve"> </w:t>
      </w:r>
      <w:r>
        <w:t xml:space="preserve">— The historical justification: the void</w:t>
      </w:r>
      <w:r>
        <w:t xml:space="preserve"> </w:t>
      </w:r>
      <w:r>
        <w:rPr>
          <w:iCs/>
          <w:i/>
        </w:rPr>
        <w:t xml:space="preserve">ab initio</w:t>
      </w:r>
      <w:r>
        <w:t xml:space="preserve"> </w:t>
      </w:r>
      <w:r>
        <w:t xml:space="preserve">rule made sense when governments enjoyed sovereign immunity, because the officer was the only defendant who could compensate. This reframes the whole debate: strict officer liability was a</w:t>
      </w:r>
      <w:r>
        <w:t xml:space="preserve"> </w:t>
      </w:r>
      <w:r>
        <w:rPr>
          <w:iCs/>
          <w:i/>
        </w:rPr>
        <w:t xml:space="preserve">remedial workaround</w:t>
      </w:r>
      <w:r>
        <w:t xml:space="preserve">, not a celebration of the rule of law. A genuinely critical point I can make about the Court’s Diceyan rhetoric at [122] and [177].</w:t>
      </w:r>
    </w:p>
    <w:p>
      <w:pPr>
        <w:numPr>
          <w:ilvl w:val="1"/>
          <w:numId w:val="1024"/>
        </w:numPr>
        <w:pStyle w:val="Compact"/>
      </w:pPr>
      <w:r>
        <w:rPr>
          <w:rStyle w:val="VerbatimChar"/>
        </w:rPr>
        <w:t xml:space="preserve">p 139 [11]</w:t>
      </w:r>
      <w:r>
        <w:t xml:space="preserve"> </w:t>
      </w:r>
      <w:r>
        <w:t xml:space="preserve">— His proposal:</w:t>
      </w:r>
      <w:r>
        <w:t xml:space="preserve"> </w:t>
      </w:r>
      <w:r>
        <w:t xml:space="preserve">“</w:t>
      </w:r>
      <w:r>
        <w:t xml:space="preserve">the officer who has merely carried out his instructions would not be personally liable whilst the government who gave him the instructions would.</w:t>
      </w:r>
      <w:r>
        <w:t xml:space="preserve">”</w:t>
      </w:r>
      <w:r>
        <w:t xml:space="preserve"> </w:t>
      </w:r>
      <w:r>
        <w:t xml:space="preserve">This is the fair answer to Gordon J’s</w:t>
      </w:r>
      <w:r>
        <w:t xml:space="preserve"> </w:t>
      </w:r>
      <w:r>
        <w:t xml:space="preserve">“</w:t>
      </w:r>
      <w:r>
        <w:t xml:space="preserve">two unfairnesses</w:t>
      </w:r>
      <w:r>
        <w:t xml:space="preserve">”</w:t>
      </w:r>
      <w:r>
        <w:t xml:space="preserve"> </w:t>
      </w:r>
      <w:r>
        <w:t xml:space="preserve">at [91]–[95] — and, in substance, what happened in</w:t>
      </w:r>
      <w:r>
        <w:t xml:space="preserve"> </w:t>
      </w:r>
      <w:r>
        <w:rPr>
          <w:iCs/>
          <w:i/>
        </w:rPr>
        <w:t xml:space="preserve">Abdel-Hady</w:t>
      </w:r>
      <w:r>
        <w:t xml:space="preserve">, because the Commonwealth conceded vicarious liability ([17], [22]). I will use this to argue the officer-hardship objection was overstated: no officer actually pays.</w:t>
      </w:r>
    </w:p>
    <w:p>
      <w:pPr>
        <w:numPr>
          <w:ilvl w:val="1"/>
          <w:numId w:val="1024"/>
        </w:numPr>
        <w:pStyle w:val="Compact"/>
      </w:pPr>
      <w:r>
        <w:rPr>
          <w:rStyle w:val="VerbatimChar"/>
        </w:rPr>
        <w:t xml:space="preserve">p 141 [12]</w:t>
      </w:r>
      <w:r>
        <w:t xml:space="preserve"> </w:t>
      </w:r>
      <w:r>
        <w:t xml:space="preserve">— The paradox: the statute is</w:t>
      </w:r>
      <w:r>
        <w:t xml:space="preserve"> </w:t>
      </w:r>
      <w:r>
        <w:t xml:space="preserve">“</w:t>
      </w:r>
      <w:r>
        <w:t xml:space="preserve">a complete nullity</w:t>
      </w:r>
      <w:r>
        <w:t xml:space="preserve">”</w:t>
      </w:r>
      <w:r>
        <w:t xml:space="preserve"> </w:t>
      </w:r>
      <w:r>
        <w:t xml:space="preserve">for the officer’s defence yet has sufficient</w:t>
      </w:r>
      <w:r>
        <w:t xml:space="preserve"> </w:t>
      </w:r>
      <w:r>
        <w:t xml:space="preserve">“</w:t>
      </w:r>
      <w:r>
        <w:t xml:space="preserve">factual existence</w:t>
      </w:r>
      <w:r>
        <w:t xml:space="preserve">”</w:t>
      </w:r>
      <w:r>
        <w:t xml:space="preserve"> </w:t>
      </w:r>
      <w:r>
        <w:t xml:space="preserve">to link the officer to the government for vicarious liability. A real analytical problem the High Court did not resolve — Edelman J came closest at [139]–[144] and expressly left the direct-liability question open at [21]. One sentence on what the case leaves open.</w:t>
      </w:r>
    </w:p>
    <w:p>
      <w:pPr>
        <w:numPr>
          <w:ilvl w:val="0"/>
          <w:numId w:val="1023"/>
        </w:numPr>
        <w:pStyle w:val="Compact"/>
      </w:pPr>
      <w:r>
        <w:rPr>
          <w:bCs/>
          <w:b/>
        </w:rPr>
        <w:t xml:space="preserve">Best use:</w:t>
      </w:r>
      <w:r>
        <w:t xml:space="preserve"> </w:t>
      </w:r>
      <w:r>
        <w:rPr>
          <w:bCs/>
          <w:b/>
        </w:rPr>
        <w:t xml:space="preserve">S2</w:t>
      </w:r>
      <w:r>
        <w:t xml:space="preserve"> </w:t>
      </w:r>
      <w:r>
        <w:t xml:space="preserve">(notes 2, 3, 6, 9),</w:t>
      </w:r>
      <w:r>
        <w:t xml:space="preserve"> </w:t>
      </w:r>
      <w:r>
        <w:rPr>
          <w:bCs/>
          <w:b/>
        </w:rPr>
        <w:t xml:space="preserve">L1</w:t>
      </w:r>
      <w:r>
        <w:t xml:space="preserve"> </w:t>
      </w:r>
      <w:r>
        <w:t xml:space="preserve">(note 8), and the critical counterpoint at notes 5, 10, 11. The scholarly anchor of the retroactivity theme; pairs with sources 13 and 15.</w:t>
      </w:r>
    </w:p>
    <w:p>
      <w:pPr>
        <w:numPr>
          <w:ilvl w:val="0"/>
          <w:numId w:val="1023"/>
        </w:numPr>
        <w:pStyle w:val="Compact"/>
      </w:pPr>
      <w:r>
        <w:rPr>
          <w:bCs/>
          <w:b/>
        </w:rPr>
        <w:t xml:space="preserve">Caveats:</w:t>
      </w:r>
      <w:r>
        <w:t xml:space="preserve"> </w:t>
      </w:r>
      <w:r>
        <w:t xml:space="preserve">1966. Crown liability, the</w:t>
      </w:r>
      <w:r>
        <w:t xml:space="preserve"> </w:t>
      </w:r>
      <w:r>
        <w:rPr>
          <w:iCs/>
          <w:i/>
        </w:rPr>
        <w:t xml:space="preserve">Judiciary Act</w:t>
      </w:r>
      <w:r>
        <w:t xml:space="preserve"> </w:t>
      </w:r>
      <w:r>
        <w:t xml:space="preserve">and the authorities have all moved on, and Pannam’s proposal has not been adopted as doctrine. Cite it for the historical rule, for</w:t>
      </w:r>
      <w:r>
        <w:t xml:space="preserve"> </w:t>
      </w:r>
      <w:r>
        <w:rPr>
          <w:iCs/>
          <w:i/>
        </w:rPr>
        <w:t xml:space="preserve">Deacon v Grimshaw</w:t>
      </w:r>
      <w:r>
        <w:t xml:space="preserve">, and for the critique — not as a statement of current law.</w:t>
      </w:r>
    </w:p>
    <w:bookmarkEnd w:id="37"/>
    <w:bookmarkStart w:id="39" w:name="X3630cf9028180db134d17000817ac25a4a93abd"/>
    <w:p>
      <w:pPr>
        <w:pStyle w:val="Heading3"/>
      </w:pPr>
      <w:r>
        <w:t xml:space="preserve">12. Ellen Rock,</w:t>
      </w:r>
      <w:r>
        <w:t xml:space="preserve"> </w:t>
      </w:r>
      <w:r>
        <w:rPr>
          <w:iCs/>
          <w:i/>
        </w:rPr>
        <w:t xml:space="preserve">Measuring Accountability in Public Governance Regimes</w:t>
      </w:r>
      <w:r>
        <w:t xml:space="preserve"> </w:t>
      </w:r>
      <w:r>
        <w:t xml:space="preserve">(Cambridge University Press, 2020) ◐</w:t>
      </w:r>
    </w:p>
    <w:p>
      <w:pPr>
        <w:numPr>
          <w:ilvl w:val="0"/>
          <w:numId w:val="1025"/>
        </w:numPr>
        <w:pStyle w:val="Compact"/>
      </w:pPr>
      <w:r>
        <w:rPr>
          <w:bCs/>
          <w:b/>
        </w:rPr>
        <w:t xml:space="preserve">Access:</w:t>
      </w:r>
      <w:r>
        <w:t xml:space="preserve"> </w:t>
      </w:r>
      <w:r>
        <w:t xml:space="preserve">Cambridge Core (Macquarie Library should have institutional access; also in paperback, ISBN 9781108814126). 314 pp. Table of contents confirmed: Introduction 1–10;</w:t>
      </w:r>
      <w:r>
        <w:t xml:space="preserve"> </w:t>
      </w:r>
      <w:r>
        <w:rPr>
          <w:bCs/>
          <w:b/>
        </w:rPr>
        <w:t xml:space="preserve">Part I Accountability Deficits and Overloads</w:t>
      </w:r>
      <w:r>
        <w:t xml:space="preserve"> </w:t>
      </w:r>
      <w:r>
        <w:t xml:space="preserve">11–36 (ch 1 Defining Accountability 13–24; ch 2 Too Little or Too Much of a Good Thing? 25–36);</w:t>
      </w:r>
      <w:r>
        <w:t xml:space="preserve"> </w:t>
      </w:r>
      <w:r>
        <w:rPr>
          <w:bCs/>
          <w:b/>
        </w:rPr>
        <w:t xml:space="preserve">Part II Benchmark of Accountability</w:t>
      </w:r>
      <w:r>
        <w:t xml:space="preserve"> </w:t>
      </w:r>
      <w:r>
        <w:t xml:space="preserve">37–212 (ch 3 Five Rationales for Accountability 39–46; ch 4 Who Should Be Held Accountable? 47–62; ch 5 To Whom Should They Be Accountable? 63–76; ch 6 For What Should They Be Accountable? 77–104; ch 7 How Should They Be Held Accountable? 105–116; ch 8 Defining and Deploying a Benchmark of Accountability 117–212);</w:t>
      </w:r>
      <w:r>
        <w:t xml:space="preserve"> </w:t>
      </w:r>
      <w:r>
        <w:rPr>
          <w:bCs/>
          <w:b/>
        </w:rPr>
        <w:t xml:space="preserve">Part III The Complexity of Accountability Systems</w:t>
      </w:r>
      <w:r>
        <w:t xml:space="preserve"> </w:t>
      </w:r>
      <w:r>
        <w:t xml:space="preserve">213–272; Conclusion 273–277.</w:t>
      </w:r>
      <w:r>
        <w:t xml:space="preserve"> </w:t>
      </w:r>
      <w:r>
        <w:rPr>
          <w:bCs/>
          <w:b/>
        </w:rPr>
        <w:t xml:space="preserve">Chapter-level structure confirmed; text not read</w:t>
      </w:r>
      <w:r>
        <w:t xml:space="preserve">, so pinpoints are to chapters and are flagged.</w:t>
      </w:r>
    </w:p>
    <w:p>
      <w:pPr>
        <w:numPr>
          <w:ilvl w:val="0"/>
          <w:numId w:val="1025"/>
        </w:numPr>
        <w:pStyle w:val="Compact"/>
      </w:pPr>
      <w:r>
        <w:rPr>
          <w:bCs/>
          <w:b/>
        </w:rPr>
        <w:t xml:space="preserve">What it argues:</w:t>
      </w:r>
      <w:r>
        <w:t xml:space="preserve"> </w:t>
      </w:r>
      <w:r>
        <w:t xml:space="preserve">Claims that a governance system suffers an accountability</w:t>
      </w:r>
      <w:r>
        <w:t xml:space="preserve"> </w:t>
      </w:r>
      <w:r>
        <w:t xml:space="preserve">“</w:t>
      </w:r>
      <w:r>
        <w:t xml:space="preserve">deficit</w:t>
      </w:r>
      <w:r>
        <w:t xml:space="preserve">”</w:t>
      </w:r>
      <w:r>
        <w:t xml:space="preserve"> </w:t>
      </w:r>
      <w:r>
        <w:t xml:space="preserve">or</w:t>
      </w:r>
      <w:r>
        <w:t xml:space="preserve"> </w:t>
      </w:r>
      <w:r>
        <w:t xml:space="preserve">“</w:t>
      </w:r>
      <w:r>
        <w:t xml:space="preserve">overload</w:t>
      </w:r>
      <w:r>
        <w:t xml:space="preserve">”</w:t>
      </w:r>
      <w:r>
        <w:t xml:space="preserve"> </w:t>
      </w:r>
      <w:r>
        <w:t xml:space="preserve">are made constantly and measured almost never. Rock builds a framework for measuring accountability: five rationales for holding power to account, then four benchmark questions — who should be accountable, to whom, for what, and how — and finally a method for mapping a whole system of mechanisms rather than assessing any one in isolation.</w:t>
      </w:r>
    </w:p>
    <w:p>
      <w:pPr>
        <w:numPr>
          <w:ilvl w:val="0"/>
          <w:numId w:val="1025"/>
        </w:numPr>
        <w:pStyle w:val="Compact"/>
      </w:pPr>
      <w:r>
        <w:rPr>
          <w:bCs/>
          <w:b/>
        </w:rPr>
        <w:t xml:space="preserve">Why it survived screening:</w:t>
      </w:r>
      <w:r>
        <w:t xml:space="preserve"> </w:t>
      </w:r>
      <w:r>
        <w:t xml:space="preserve">The prompt asks you to evaluate</w:t>
      </w:r>
      <w:r>
        <w:t xml:space="preserve"> </w:t>
      </w:r>
      <w:r>
        <w:rPr>
          <w:iCs/>
          <w:i/>
        </w:rPr>
        <w:t xml:space="preserve">effectiveness</w:t>
      </w:r>
      <w:r>
        <w:t xml:space="preserve">, and the convenor said in the Q&amp;A that establishing effectiveness criteria is one legitimate way to structure the paper, while warning against criteria so expansive that you have no room to apply them. This book gives you a published, citable framework so that your criteria are not invented on the spot — and its</w:t>
      </w:r>
      <w:r>
        <w:t xml:space="preserve"> </w:t>
      </w:r>
      <w:r>
        <w:t xml:space="preserve">“</w:t>
      </w:r>
      <w:r>
        <w:t xml:space="preserve">map the system, not the mechanism</w:t>
      </w:r>
      <w:r>
        <w:t xml:space="preserve">”</w:t>
      </w:r>
      <w:r>
        <w:t xml:space="preserve"> </w:t>
      </w:r>
      <w:r>
        <w:t xml:space="preserve">thesis gives you a principled reason to say that tort should be judged as one instrument among several rather than asked to do everything. Use it for one or two criteria only.</w:t>
      </w:r>
    </w:p>
    <w:p>
      <w:pPr>
        <w:numPr>
          <w:ilvl w:val="0"/>
          <w:numId w:val="1025"/>
        </w:numPr>
        <w:pStyle w:val="Compact"/>
      </w:pPr>
      <w:r>
        <w:rPr>
          <w:bCs/>
          <w:b/>
        </w:rPr>
        <w:t xml:space="preserve">Annotations</w:t>
      </w:r>
      <w:r>
        <w:t xml:space="preserve"> </w:t>
      </w:r>
      <w:r>
        <w:rPr>
          <w:iCs/>
          <w:i/>
        </w:rPr>
        <w:t xml:space="preserve">(chapter-level; confirm pages in the library copy)</w:t>
      </w:r>
    </w:p>
    <w:p>
      <w:pPr>
        <w:numPr>
          <w:ilvl w:val="1"/>
          <w:numId w:val="1026"/>
        </w:numPr>
        <w:pStyle w:val="Compact"/>
      </w:pPr>
      <w:r>
        <w:rPr>
          <w:rStyle w:val="VerbatimChar"/>
        </w:rPr>
        <w:t xml:space="preserve">ch 2, pp 25–36 [1 — confirm]</w:t>
      </w:r>
      <w:r>
        <w:t xml:space="preserve"> </w:t>
      </w:r>
      <w:r>
        <w:t xml:space="preserve">— The deficit/overload framing. My use is narrow and explicit: I will adopt two of her benchmark questions as my criteria for</w:t>
      </w:r>
      <w:r>
        <w:t xml:space="preserve"> </w:t>
      </w:r>
      <w:r>
        <w:t xml:space="preserve">“</w:t>
      </w:r>
      <w:r>
        <w:t xml:space="preserve">effectiveness</w:t>
      </w:r>
      <w:r>
        <w:t xml:space="preserve">”</w:t>
      </w:r>
      <w:r>
        <w:t xml:space="preserve"> </w:t>
      </w:r>
      <w:r>
        <w:t xml:space="preserve">and say so in the introduction, which lets me define scope in one sentence instead of three.</w:t>
      </w:r>
    </w:p>
    <w:p>
      <w:pPr>
        <w:numPr>
          <w:ilvl w:val="1"/>
          <w:numId w:val="1026"/>
        </w:numPr>
        <w:pStyle w:val="Compact"/>
      </w:pPr>
      <w:r>
        <w:rPr>
          <w:rStyle w:val="VerbatimChar"/>
        </w:rPr>
        <w:t xml:space="preserve">ch 3, pp 39–46 [2 — confirm]</w:t>
      </w:r>
      <w:r>
        <w:t xml:space="preserve"> </w:t>
      </w:r>
      <w:r>
        <w:t xml:space="preserve">— Five rationales for accountability. Whichever of these she identifies (I expect they include redress or restoration for the individual, deterrence, and desert), the point I want is that a mechanism can succeed on one rationale and fail on another.</w:t>
      </w:r>
      <w:r>
        <w:t xml:space="preserve"> </w:t>
      </w:r>
      <w:r>
        <w:rPr>
          <w:iCs/>
          <w:i/>
        </w:rPr>
        <w:t xml:space="preserve">Abdel-Hady</w:t>
      </w:r>
      <w:r>
        <w:t xml:space="preserve"> </w:t>
      </w:r>
      <w:r>
        <w:t xml:space="preserve">scores highly on affirming the norm and on individual redress in principle, and poorly on deterrence if damages are nominal.</w:t>
      </w:r>
    </w:p>
    <w:p>
      <w:pPr>
        <w:numPr>
          <w:ilvl w:val="1"/>
          <w:numId w:val="1026"/>
        </w:numPr>
        <w:pStyle w:val="Compact"/>
      </w:pPr>
      <w:r>
        <w:rPr>
          <w:rStyle w:val="VerbatimChar"/>
        </w:rPr>
        <w:t xml:space="preserve">ch 6, pp 77–104 [3 — confirm]</w:t>
      </w:r>
      <w:r>
        <w:t xml:space="preserve"> </w:t>
      </w:r>
      <w:r>
        <w:t xml:space="preserve">—</w:t>
      </w:r>
      <w:r>
        <w:t xml:space="preserve"> </w:t>
      </w:r>
      <w:r>
        <w:t xml:space="preserve">“</w:t>
      </w:r>
      <w:r>
        <w:t xml:space="preserve">For what should they be accountable?</w:t>
      </w:r>
      <w:r>
        <w:t xml:space="preserve">”</w:t>
      </w:r>
      <w:r>
        <w:t xml:space="preserve"> </w:t>
      </w:r>
      <w:r>
        <w:t xml:space="preserve">This is where the Rock and Weeks point bites hardest: Australian law makes government accountable for</w:t>
      </w:r>
      <w:r>
        <w:t xml:space="preserve"> </w:t>
      </w:r>
      <w:r>
        <w:rPr>
          <w:iCs/>
          <w:i/>
        </w:rPr>
        <w:t xml:space="preserve">nominate wrongs</w:t>
      </w:r>
      <w:r>
        <w:t xml:space="preserve">, not for excess of power as such (source 8, p 1161). Cite the chapter for the question and Rock and Weeks for the Australian answer.</w:t>
      </w:r>
    </w:p>
    <w:p>
      <w:pPr>
        <w:numPr>
          <w:ilvl w:val="1"/>
          <w:numId w:val="1026"/>
        </w:numPr>
        <w:pStyle w:val="Compact"/>
      </w:pPr>
      <w:r>
        <w:rPr>
          <w:rStyle w:val="VerbatimChar"/>
        </w:rPr>
        <w:t xml:space="preserve">ch 7, pp 105–116 [4 — confirm]</w:t>
      </w:r>
      <w:r>
        <w:t xml:space="preserve"> </w:t>
      </w:r>
      <w:r>
        <w:t xml:space="preserve">—</w:t>
      </w:r>
      <w:r>
        <w:t xml:space="preserve"> </w:t>
      </w:r>
      <w:r>
        <w:t xml:space="preserve">“</w:t>
      </w:r>
      <w:r>
        <w:t xml:space="preserve">How should they be held accountable?</w:t>
      </w:r>
      <w:r>
        <w:t xml:space="preserve">”</w:t>
      </w:r>
      <w:r>
        <w:t xml:space="preserve"> </w:t>
      </w:r>
      <w:r>
        <w:t xml:space="preserve">Expect a taxonomy of mechanisms — courts, tribunals, ombudsmen, parliamentary scrutiny, media. I will use it to concede that tort is not the only instrument, then argue that in the specific case of unlawful detention the others produce no compensation, so the concession does not undercut my thesis.</w:t>
      </w:r>
    </w:p>
    <w:p>
      <w:pPr>
        <w:numPr>
          <w:ilvl w:val="1"/>
          <w:numId w:val="1026"/>
        </w:numPr>
        <w:pStyle w:val="Compact"/>
      </w:pPr>
      <w:r>
        <w:rPr>
          <w:rStyle w:val="VerbatimChar"/>
        </w:rPr>
        <w:t xml:space="preserve">ch 8, pp 117–212 [5 — confirm]</w:t>
      </w:r>
      <w:r>
        <w:t xml:space="preserve"> </w:t>
      </w:r>
      <w:r>
        <w:t xml:space="preserve">— The benchmark deployed. Too long to read whole; I will read the portion dealing with judicial mechanisms and monetary remedies and pinpoint from there.</w:t>
      </w:r>
    </w:p>
    <w:p>
      <w:pPr>
        <w:numPr>
          <w:ilvl w:val="1"/>
          <w:numId w:val="1026"/>
        </w:numPr>
        <w:pStyle w:val="Compact"/>
      </w:pPr>
      <w:r>
        <w:rPr>
          <w:rStyle w:val="VerbatimChar"/>
        </w:rPr>
        <w:t xml:space="preserve">Part III, pp 213–272 [6 — confirm]</w:t>
      </w:r>
      <w:r>
        <w:t xml:space="preserve"> </w:t>
      </w:r>
      <w:r>
        <w:t xml:space="preserve">— Systemic mapping: mechanisms interact, and a strong one can mask the weakness of others. My closing thought: a single unanimous High Court judgment can make the system</w:t>
      </w:r>
      <w:r>
        <w:t xml:space="preserve"> </w:t>
      </w:r>
      <w:r>
        <w:rPr>
          <w:iCs/>
          <w:i/>
        </w:rPr>
        <w:t xml:space="preserve">look</w:t>
      </w:r>
      <w:r>
        <w:t xml:space="preserve"> </w:t>
      </w:r>
      <w:r>
        <w:t xml:space="preserve">accountable while roughly 340 people wait on individually funded damages claims whose quantum is governed by</w:t>
      </w:r>
      <w:r>
        <w:t xml:space="preserve"> </w:t>
      </w:r>
      <w:r>
        <w:rPr>
          <w:iCs/>
          <w:i/>
        </w:rPr>
        <w:t xml:space="preserve">Lewis</w:t>
      </w:r>
      <w:r>
        <w:t xml:space="preserve">.</w:t>
      </w:r>
    </w:p>
    <w:p>
      <w:pPr>
        <w:numPr>
          <w:ilvl w:val="1"/>
          <w:numId w:val="1026"/>
        </w:numPr>
        <w:pStyle w:val="Compact"/>
      </w:pPr>
      <w:r>
        <w:rPr>
          <w:rStyle w:val="VerbatimChar"/>
        </w:rPr>
        <w:t xml:space="preserve">Conclusion, pp 273–277 [7 — confirm]</w:t>
      </w:r>
      <w:r>
        <w:t xml:space="preserve"> </w:t>
      </w:r>
      <w:r>
        <w:t xml:space="preserve">— Her overall position on measurement. If she concludes that accountability cannot be assessed mechanism-by-mechanism, that is a direct methodological warning against the paper the prompt invites, and saying so shows judgement.</w:t>
      </w:r>
    </w:p>
    <w:p>
      <w:pPr>
        <w:numPr>
          <w:ilvl w:val="0"/>
          <w:numId w:val="1025"/>
        </w:numPr>
        <w:pStyle w:val="Compact"/>
      </w:pPr>
      <w:r>
        <w:rPr>
          <w:bCs/>
          <w:b/>
        </w:rPr>
        <w:t xml:space="preserve">Best use:</w:t>
      </w:r>
      <w:r>
        <w:t xml:space="preserve"> </w:t>
      </w:r>
      <w:r>
        <w:t xml:space="preserve">Framework only — one or two criteria in the introduction, and one systemic observation in the conclusion.</w:t>
      </w:r>
      <w:r>
        <w:t xml:space="preserve"> </w:t>
      </w:r>
      <w:r>
        <w:rPr>
          <w:bCs/>
          <w:b/>
        </w:rPr>
        <w:t xml:space="preserve">Do not make this one of your four</w:t>
      </w:r>
      <w:r>
        <w:t xml:space="preserve"> </w:t>
      </w:r>
      <w:r>
        <w:t xml:space="preserve">unless you are running an explicit criteria-based structure; it will consume words without producing doctrine.</w:t>
      </w:r>
    </w:p>
    <w:p>
      <w:pPr>
        <w:numPr>
          <w:ilvl w:val="0"/>
          <w:numId w:val="1025"/>
        </w:numPr>
        <w:pStyle w:val="Heading2"/>
      </w:pPr>
      <w:bookmarkStart w:id="38" w:name="Xef1e80964093999b771e5ab3602f52e40aae7d9"/>
      <w:r>
        <w:rPr>
          <w:bCs/>
          <w:b/>
        </w:rPr>
        <w:t xml:space="preserve">Caveats:</w:t>
      </w:r>
      <w:r>
        <w:t xml:space="preserve"> </w:t>
      </w:r>
      <w:r>
        <w:t xml:space="preserve">Text not read; every pinpoint is a chapter-level allocation. Rock’s later, closer work — the</w:t>
      </w:r>
      <w:r>
        <w:t xml:space="preserve"> </w:t>
      </w:r>
      <w:r>
        <w:rPr>
          <w:iCs/>
          <w:i/>
        </w:rPr>
        <w:t xml:space="preserve">Thoms</w:t>
      </w:r>
      <w:r>
        <w:t xml:space="preserve"> </w:t>
      </w:r>
      <w:r>
        <w:t xml:space="preserve">note (source 10) and her AUSPUBLAW post on</w:t>
      </w:r>
      <w:r>
        <w:t xml:space="preserve"> </w:t>
      </w:r>
      <w:r>
        <w:rPr>
          <w:iCs/>
          <w:i/>
        </w:rPr>
        <w:t xml:space="preserve">Abdel-Hady</w:t>
      </w:r>
      <w:r>
        <w:t xml:space="preserve"> </w:t>
      </w:r>
      <w:r>
        <w:t xml:space="preserve">— is more on-point but respectively hard to obtain and not scholarly.</w:t>
      </w:r>
      <w:bookmarkEnd w:id="38"/>
    </w:p>
    <w:bookmarkEnd w:id="39"/>
    <w:bookmarkEnd w:id="40"/>
    <w:bookmarkStart w:id="46" w:name="Xa759fa64732ee8519a7adc5e2632e755b8a5434"/>
    <w:p>
      <w:pPr>
        <w:pStyle w:val="Heading2"/>
      </w:pPr>
      <w:r>
        <w:t xml:space="preserve">Theme group IV — Retroactivity, precedent and the rule of law</w:t>
      </w:r>
    </w:p>
    <w:bookmarkStart w:id="41" w:name="X80eb60b73ed8ebfb3559ed8e577865056b2ff23"/>
    <w:p>
      <w:pPr>
        <w:pStyle w:val="Heading3"/>
      </w:pPr>
      <w:r>
        <w:t xml:space="preserve">13. Samuel Beswick,</w:t>
      </w:r>
      <w:r>
        <w:t xml:space="preserve"> </w:t>
      </w:r>
      <w:r>
        <w:t xml:space="preserve">‘</w:t>
      </w:r>
      <w:r>
        <w:t xml:space="preserve">Retroactive Adjudication</w:t>
      </w:r>
      <w:r>
        <w:t xml:space="preserve">’</w:t>
      </w:r>
      <w:r>
        <w:t xml:space="preserve"> </w:t>
      </w:r>
      <w:r>
        <w:t xml:space="preserve">(2020) 130(2)</w:t>
      </w:r>
      <w:r>
        <w:t xml:space="preserve"> </w:t>
      </w:r>
      <w:r>
        <w:rPr>
          <w:iCs/>
          <w:i/>
        </w:rPr>
        <w:t xml:space="preserve">Yale Law Journal</w:t>
      </w:r>
      <w:r>
        <w:t xml:space="preserve"> </w:t>
      </w:r>
      <w:r>
        <w:t xml:space="preserve">276 ◐</w:t>
      </w:r>
    </w:p>
    <w:p>
      <w:pPr>
        <w:numPr>
          <w:ilvl w:val="0"/>
          <w:numId w:val="1027"/>
        </w:numPr>
        <w:pStyle w:val="Compact"/>
      </w:pPr>
      <w:r>
        <w:rPr>
          <w:bCs/>
          <w:b/>
        </w:rPr>
        <w:t xml:space="preserve">Access:</w:t>
      </w:r>
      <w:r>
        <w:t xml:space="preserve"> </w:t>
      </w:r>
      <w:r>
        <w:t xml:space="preserve">Free at</w:t>
      </w:r>
      <w:r>
        <w:t xml:space="preserve"> </w:t>
      </w:r>
      <w:r>
        <w:rPr>
          <w:rStyle w:val="VerbatimChar"/>
        </w:rPr>
        <w:t xml:space="preserve">yalelawjournal.org/article/retroactive-adjudication</w:t>
      </w:r>
      <w:r>
        <w:t xml:space="preserve">; SSRN 3393077. Pages 276–354 (approx).</w:t>
      </w:r>
      <w:r>
        <w:t xml:space="preserve"> </w:t>
      </w:r>
      <w:r>
        <w:rPr>
          <w:bCs/>
          <w:b/>
        </w:rPr>
        <w:t xml:space="preserve">Introduction read in full; Parts I–III read only in outline.</w:t>
      </w:r>
      <w:r>
        <w:t xml:space="preserve"> </w:t>
      </w:r>
      <w:r>
        <w:rPr>
          <w:bCs/>
          <w:b/>
        </w:rPr>
        <w:t xml:space="preserve">Cited by the plurality in</w:t>
      </w:r>
      <w:r>
        <w:rPr>
          <w:bCs/>
          <w:b/>
        </w:rPr>
        <w:t xml:space="preserve"> </w:t>
      </w:r>
      <w:r>
        <w:rPr>
          <w:iCs/>
          <w:i/>
          <w:bCs/>
          <w:b/>
        </w:rPr>
        <w:t xml:space="preserve">Abdel-Hady</w:t>
      </w:r>
      <w:r>
        <w:rPr>
          <w:bCs/>
          <w:b/>
        </w:rPr>
        <w:t xml:space="preserve"> </w:t>
      </w:r>
      <w:r>
        <w:rPr>
          <w:bCs/>
          <w:b/>
        </w:rPr>
        <w:t xml:space="preserve">at fn 34, pinpoint 286</w:t>
      </w:r>
      <w:r>
        <w:t xml:space="preserve"> </w:t>
      </w:r>
      <w:r>
        <w:t xml:space="preserve">— that page reference is confirmed by the Court itself, so it is safe.</w:t>
      </w:r>
    </w:p>
    <w:p>
      <w:pPr>
        <w:numPr>
          <w:ilvl w:val="0"/>
          <w:numId w:val="1027"/>
        </w:numPr>
        <w:pStyle w:val="Compact"/>
      </w:pPr>
      <w:r>
        <w:rPr>
          <w:bCs/>
          <w:b/>
        </w:rPr>
        <w:t xml:space="preserve">What it argues:</w:t>
      </w:r>
      <w:r>
        <w:t xml:space="preserve"> </w:t>
      </w:r>
      <w:r>
        <w:t xml:space="preserve">Non-retroactivity doctrine — the idea that a new judicial ruling should apply only prospectively — lacks a principled foundation and cannot coherently limit the temporal reach of precedent. Adjudication is inherently retroactive because courts decide disputes from hindsight:</w:t>
      </w:r>
      <w:r>
        <w:t xml:space="preserve"> </w:t>
      </w:r>
      <w:r>
        <w:t xml:space="preserve">“</w:t>
      </w:r>
      <w:r>
        <w:t xml:space="preserve">Disputes over rights, adjudicated by courts, can only be resolved from the perspective of hindsight, and they cannot feasibly be insulated from developments in precedent. Precedent today necessarily informs our understanding of past rights.</w:t>
      </w:r>
      <w:r>
        <w:t xml:space="preserve">”</w:t>
      </w:r>
      <w:r>
        <w:t xml:space="preserve"> </w:t>
      </w:r>
      <w:r>
        <w:t xml:space="preserve">Reliance interests are real, but the answer is not to deny retroactive effect; it is to use the ordinary tools — equitable defences such as laches (</w:t>
      </w:r>
      <w:r>
        <w:t xml:space="preserve">“</w:t>
      </w:r>
      <w:r>
        <w:t xml:space="preserve">equity aids the vigilant, not those who sleep on their rights</w:t>
      </w:r>
      <w:r>
        <w:t xml:space="preserve">”</w:t>
      </w:r>
      <w:r>
        <w:t xml:space="preserve">), limitation periods, change-of-position defences, and legislative response — to manage the consequences.</w:t>
      </w:r>
    </w:p>
    <w:p>
      <w:pPr>
        <w:numPr>
          <w:ilvl w:val="0"/>
          <w:numId w:val="1027"/>
        </w:numPr>
        <w:pStyle w:val="Compact"/>
      </w:pPr>
      <w:r>
        <w:rPr>
          <w:bCs/>
          <w:b/>
        </w:rPr>
        <w:t xml:space="preserve">Why it survived screening:</w:t>
      </w:r>
      <w:r>
        <w:t xml:space="preserve"> </w:t>
      </w:r>
      <w:r>
        <w:t xml:space="preserve">The plurality’s central move in</w:t>
      </w:r>
      <w:r>
        <w:t xml:space="preserve"> </w:t>
      </w:r>
      <w:r>
        <w:rPr>
          <w:iCs/>
          <w:i/>
        </w:rPr>
        <w:t xml:space="preserve">Abdel-Hady</w:t>
      </w:r>
      <w:r>
        <w:t xml:space="preserve"> </w:t>
      </w:r>
      <w:r>
        <w:t xml:space="preserve">— that the Court declares law only as an incident of</w:t>
      </w:r>
      <w:r>
        <w:t xml:space="preserve"> </w:t>
      </w:r>
      <w:r>
        <w:t xml:space="preserve">“</w:t>
      </w:r>
      <w:r>
        <w:t xml:space="preserve">the determination of the dispute in hand</w:t>
      </w:r>
      <w:r>
        <w:t xml:space="preserve">”</w:t>
      </w:r>
      <w:r>
        <w:t xml:space="preserve"> </w:t>
      </w:r>
      <w:r>
        <w:t xml:space="preserve">and that the applicable law</w:t>
      </w:r>
      <w:r>
        <w:t xml:space="preserve"> </w:t>
      </w:r>
      <w:r>
        <w:t xml:space="preserve">“</w:t>
      </w:r>
      <w:r>
        <w:t xml:space="preserve">will only ever be fully and finally revealed in retrospect</w:t>
      </w:r>
      <w:r>
        <w:t xml:space="preserve">”</w:t>
      </w:r>
      <w:r>
        <w:t xml:space="preserve"> </w:t>
      </w:r>
      <w:r>
        <w:t xml:space="preserve">([36]–[39]) — is footnoted to this article. Citing the source the Court relied on, at the page the Court gave, is the most efficient way to show you have read behind the judgment. It also supplies the answer to the</w:t>
      </w:r>
      <w:r>
        <w:t xml:space="preserve"> </w:t>
      </w:r>
      <w:r>
        <w:t xml:space="preserve">“</w:t>
      </w:r>
      <w:r>
        <w:t xml:space="preserve">what about the poor officer?</w:t>
      </w:r>
      <w:r>
        <w:t xml:space="preserve">”</w:t>
      </w:r>
      <w:r>
        <w:t xml:space="preserve"> </w:t>
      </w:r>
      <w:r>
        <w:t xml:space="preserve">objection: reliance belongs to remedies and legislation, not to immunities.</w:t>
      </w:r>
    </w:p>
    <w:p>
      <w:pPr>
        <w:numPr>
          <w:ilvl w:val="0"/>
          <w:numId w:val="1027"/>
        </w:numPr>
        <w:pStyle w:val="Compact"/>
      </w:pPr>
      <w:r>
        <w:rPr>
          <w:bCs/>
          <w:b/>
        </w:rPr>
        <w:t xml:space="preserve">Annotations</w:t>
      </w:r>
    </w:p>
    <w:p>
      <w:pPr>
        <w:numPr>
          <w:ilvl w:val="1"/>
          <w:numId w:val="1028"/>
        </w:numPr>
        <w:pStyle w:val="Compact"/>
      </w:pPr>
      <w:r>
        <w:rPr>
          <w:rStyle w:val="VerbatimChar"/>
        </w:rPr>
        <w:t xml:space="preserve">p 286 [1]</w:t>
      </w:r>
      <w:r>
        <w:t xml:space="preserve"> </w:t>
      </w:r>
      <w:r>
        <w:t xml:space="preserve">—</w:t>
      </w:r>
      <w:r>
        <w:t xml:space="preserve"> </w:t>
      </w:r>
      <w:r>
        <w:t xml:space="preserve">“</w:t>
      </w:r>
      <w:r>
        <w:t xml:space="preserve">Disputes over rights … can only be resolved from the perspective of hindsight … Precedent today necessarily informs our understanding of past rights.</w:t>
      </w:r>
      <w:r>
        <w:t xml:space="preserve">”</w:t>
      </w:r>
      <w:r>
        <w:t xml:space="preserve"> </w:t>
      </w:r>
      <w:r>
        <w:t xml:space="preserve">This is the theoretical engine of the plurality’s reasoning at [37] and of Gordon J’s at [79]–[81] (precedent is</w:t>
      </w:r>
      <w:r>
        <w:t xml:space="preserve"> </w:t>
      </w:r>
      <w:r>
        <w:t xml:space="preserve">“</w:t>
      </w:r>
      <w:r>
        <w:t xml:space="preserve">the best evidence of the law … but it is not the enacted law</w:t>
      </w:r>
      <w:r>
        <w:t xml:space="preserve">”</w:t>
      </w:r>
      <w:r>
        <w:t xml:space="preserve">). I will cite the page the Court cited, and use it to explain</w:t>
      </w:r>
      <w:r>
        <w:t xml:space="preserve"> </w:t>
      </w:r>
      <w:r>
        <w:rPr>
          <w:iCs/>
          <w:i/>
        </w:rPr>
        <w:t xml:space="preserve">why</w:t>
      </w:r>
      <w:r>
        <w:t xml:space="preserve"> </w:t>
      </w:r>
      <w:r>
        <w:t xml:space="preserve">the officer’s compliance with</w:t>
      </w:r>
      <w:r>
        <w:t xml:space="preserve"> </w:t>
      </w:r>
      <w:r>
        <w:rPr>
          <w:iCs/>
          <w:i/>
        </w:rPr>
        <w:t xml:space="preserve">Al-Kateb</w:t>
      </w:r>
      <w:r>
        <w:t xml:space="preserve"> </w:t>
      </w:r>
      <w:r>
        <w:t xml:space="preserve">was legally irrelevant rather than merely unlucky.</w:t>
      </w:r>
    </w:p>
    <w:p>
      <w:pPr>
        <w:numPr>
          <w:ilvl w:val="1"/>
          <w:numId w:val="1028"/>
        </w:numPr>
        <w:pStyle w:val="Compact"/>
      </w:pPr>
      <w:r>
        <w:rPr>
          <w:rStyle w:val="VerbatimChar"/>
        </w:rPr>
        <w:t xml:space="preserve">Part I (pp 285–300 approx) [2 — confirm]</w:t>
      </w:r>
      <w:r>
        <w:t xml:space="preserve"> </w:t>
      </w:r>
      <w:r>
        <w:t xml:space="preserve">— His account of adjudication as dynamic rather than declaratory-in-the-naive-sense. Useful because it lets me avoid the trap of saying the High Court</w:t>
      </w:r>
      <w:r>
        <w:t xml:space="preserve"> </w:t>
      </w:r>
      <w:r>
        <w:t xml:space="preserve">“</w:t>
      </w:r>
      <w:r>
        <w:t xml:space="preserve">pretended</w:t>
      </w:r>
      <w:r>
        <w:t xml:space="preserve">”</w:t>
      </w:r>
      <w:r>
        <w:t xml:space="preserve"> </w:t>
      </w:r>
      <w:r>
        <w:rPr>
          <w:iCs/>
          <w:i/>
        </w:rPr>
        <w:t xml:space="preserve">NZYQ</w:t>
      </w:r>
      <w:r>
        <w:t xml:space="preserve"> </w:t>
      </w:r>
      <w:r>
        <w:t xml:space="preserve">was always the law: Beswick’s point is that retroactivity follows from the judicial function, not from a fiction. Cross-check against Finnis (source 15) and Beever, who defend the declaratory theory on different grounds.</w:t>
      </w:r>
    </w:p>
    <w:p>
      <w:pPr>
        <w:numPr>
          <w:ilvl w:val="1"/>
          <w:numId w:val="1028"/>
        </w:numPr>
        <w:pStyle w:val="Compact"/>
      </w:pPr>
      <w:r>
        <w:rPr>
          <w:rStyle w:val="VerbatimChar"/>
        </w:rPr>
        <w:t xml:space="preserve">Part II [3 — confirm]</w:t>
      </w:r>
      <w:r>
        <w:t xml:space="preserve"> </w:t>
      </w:r>
      <w:r>
        <w:t xml:space="preserve">— His demolition of the standard rationales for non-retroactivity (reliance, fairness, judicial legitimacy). This is the scholarly version of the plurality’s holding at [39]: to maintain in force what is acknowledged not to be the law</w:t>
      </w:r>
      <w:r>
        <w:t xml:space="preserve"> </w:t>
      </w:r>
      <w:r>
        <w:t xml:space="preserve">“</w:t>
      </w:r>
      <w:r>
        <w:t xml:space="preserve">would be a perversion of judicial power</w:t>
      </w:r>
      <w:r>
        <w:t xml:space="preserve">”</w:t>
      </w:r>
      <w:r>
        <w:t xml:space="preserve"> </w:t>
      </w:r>
      <w:r>
        <w:t xml:space="preserve">(quoting</w:t>
      </w:r>
      <w:r>
        <w:t xml:space="preserve"> </w:t>
      </w:r>
      <w:r>
        <w:rPr>
          <w:iCs/>
          <w:i/>
        </w:rPr>
        <w:t xml:space="preserve">Ha v New South Wales</w:t>
      </w:r>
      <w:r>
        <w:t xml:space="preserve">). Confirm the page before citing.</w:t>
      </w:r>
    </w:p>
    <w:p>
      <w:pPr>
        <w:numPr>
          <w:ilvl w:val="1"/>
          <w:numId w:val="1028"/>
        </w:numPr>
        <w:pStyle w:val="Compact"/>
      </w:pPr>
      <w:r>
        <w:rPr>
          <w:rStyle w:val="VerbatimChar"/>
        </w:rPr>
        <w:t xml:space="preserve">Part II — reliance [4 — confirm]</w:t>
      </w:r>
      <w:r>
        <w:t xml:space="preserve"> </w:t>
      </w:r>
      <w:r>
        <w:t xml:space="preserve">— He concedes reliance arguments are</w:t>
      </w:r>
      <w:r>
        <w:t xml:space="preserve"> </w:t>
      </w:r>
      <w:r>
        <w:t xml:space="preserve">“</w:t>
      </w:r>
      <w:r>
        <w:t xml:space="preserve">compelling</w:t>
      </w:r>
      <w:r>
        <w:t xml:space="preserve">”</w:t>
      </w:r>
      <w:r>
        <w:t xml:space="preserve">. I should quote that concession, because Gordon J at [92] accepts the officer was</w:t>
      </w:r>
      <w:r>
        <w:t xml:space="preserve"> </w:t>
      </w:r>
      <w:r>
        <w:t xml:space="preserve">“</w:t>
      </w:r>
      <w:r>
        <w:t xml:space="preserve">blameless</w:t>
      </w:r>
      <w:r>
        <w:t xml:space="preserve">”</w:t>
      </w:r>
      <w:r>
        <w:t xml:space="preserve"> </w:t>
      </w:r>
      <w:r>
        <w:t xml:space="preserve">and it is stronger to accept the point and answer it than to deny it.</w:t>
      </w:r>
    </w:p>
    <w:p>
      <w:pPr>
        <w:numPr>
          <w:ilvl w:val="1"/>
          <w:numId w:val="1028"/>
        </w:numPr>
        <w:pStyle w:val="Compact"/>
      </w:pPr>
      <w:r>
        <w:rPr>
          <w:rStyle w:val="VerbatimChar"/>
        </w:rPr>
        <w:t xml:space="preserve">Part III — equitable management [5 — confirm]</w:t>
      </w:r>
      <w:r>
        <w:t xml:space="preserve"> </w:t>
      </w:r>
      <w:r>
        <w:t xml:space="preserve">— Laches, shortened recovery periods, and limitation as the right tools;</w:t>
      </w:r>
      <w:r>
        <w:t xml:space="preserve"> </w:t>
      </w:r>
      <w:r>
        <w:t xml:space="preserve">“</w:t>
      </w:r>
      <w:r>
        <w:t xml:space="preserve">equity aids the vigilant, not those who sleep on their rights</w:t>
      </w:r>
      <w:r>
        <w:t xml:space="preserve">”</w:t>
      </w:r>
      <w:r>
        <w:t xml:space="preserve">. This is my answer to the floodgates worry about the roughly 340-person cohort: the law already has devices for managing a wave of stale claims, and none of them requires an immunity. Also flags a real practical limit — limitation periods may defeat claims for detention that ended years ago.</w:t>
      </w:r>
    </w:p>
    <w:p>
      <w:pPr>
        <w:numPr>
          <w:ilvl w:val="1"/>
          <w:numId w:val="1028"/>
        </w:numPr>
        <w:pStyle w:val="Compact"/>
      </w:pPr>
      <w:r>
        <w:rPr>
          <w:rStyle w:val="VerbatimChar"/>
        </w:rPr>
        <w:t xml:space="preserve">Part III — legislative response [6 — confirm]</w:t>
      </w:r>
      <w:r>
        <w:t xml:space="preserve"> </w:t>
      </w:r>
      <w:r>
        <w:t xml:space="preserve">— That legislatures, not courts, should absorb the fiscal consequences of a corrected legal position. Exactly the plurality at [40]–[41] (</w:t>
      </w:r>
      <w:r>
        <w:t xml:space="preserve">“</w:t>
      </w:r>
      <w:r>
        <w:t xml:space="preserve">may to some extent be ameliorated by legislation</w:t>
      </w:r>
      <w:r>
        <w:t xml:space="preserve">”</w:t>
      </w:r>
      <w:r>
        <w:t xml:space="preserve">, citing the</w:t>
      </w:r>
      <w:r>
        <w:t xml:space="preserve"> </w:t>
      </w:r>
      <w:r>
        <w:rPr>
          <w:iCs/>
          <w:i/>
        </w:rPr>
        <w:t xml:space="preserve">Military Justice (Interim Measures) Act (No 2) 2009</w:t>
      </w:r>
      <w:r>
        <w:t xml:space="preserve"> </w:t>
      </w:r>
      <w:r>
        <w:t xml:space="preserve">considered in</w:t>
      </w:r>
      <w:r>
        <w:t xml:space="preserve"> </w:t>
      </w:r>
      <w:r>
        <w:rPr>
          <w:iCs/>
          <w:i/>
        </w:rPr>
        <w:t xml:space="preserve">Haskins</w:t>
      </w:r>
      <w:r>
        <w:t xml:space="preserve">). The symmetry between an American scholar’s prescription and the High Court’s disposition is worth a sentence.</w:t>
      </w:r>
    </w:p>
    <w:p>
      <w:pPr>
        <w:numPr>
          <w:ilvl w:val="1"/>
          <w:numId w:val="1028"/>
        </w:numPr>
        <w:pStyle w:val="Compact"/>
      </w:pPr>
      <w:r>
        <w:rPr>
          <w:rStyle w:val="VerbatimChar"/>
        </w:rPr>
        <w:t xml:space="preserve">Conclusion [7 — confirm]</w:t>
      </w:r>
      <w:r>
        <w:t xml:space="preserve"> </w:t>
      </w:r>
      <w:r>
        <w:t xml:space="preserve">— His overall position. Note the jurisdictional caveat: he is writing about US doctrine (</w:t>
      </w:r>
      <w:r>
        <w:rPr>
          <w:iCs/>
          <w:i/>
        </w:rPr>
        <w:t xml:space="preserve">Chevron Oil</w:t>
      </w:r>
      <w:r>
        <w:t xml:space="preserve">,</w:t>
      </w:r>
      <w:r>
        <w:t xml:space="preserve"> </w:t>
      </w:r>
      <w:r>
        <w:rPr>
          <w:iCs/>
          <w:i/>
        </w:rPr>
        <w:t xml:space="preserve">Harper</w:t>
      </w:r>
      <w:r>
        <w:t xml:space="preserve">,</w:t>
      </w:r>
      <w:r>
        <w:t xml:space="preserve"> </w:t>
      </w:r>
      <w:r>
        <w:rPr>
          <w:iCs/>
          <w:i/>
        </w:rPr>
        <w:t xml:space="preserve">Janus</w:t>
      </w:r>
      <w:r>
        <w:t xml:space="preserve">), where non-retroactivity has a life Australian law denied it in</w:t>
      </w:r>
      <w:r>
        <w:t xml:space="preserve"> </w:t>
      </w:r>
      <w:r>
        <w:rPr>
          <w:iCs/>
          <w:i/>
        </w:rPr>
        <w:t xml:space="preserve">Ha</w:t>
      </w:r>
      <w:r>
        <w:t xml:space="preserve">. So Australia is the jurisdiction that already does what he recommends — which is a neat framing for my strength paragraph.</w:t>
      </w:r>
    </w:p>
    <w:p>
      <w:pPr>
        <w:numPr>
          <w:ilvl w:val="0"/>
          <w:numId w:val="1027"/>
        </w:numPr>
        <w:pStyle w:val="Compact"/>
      </w:pPr>
      <w:r>
        <w:rPr>
          <w:bCs/>
          <w:b/>
        </w:rPr>
        <w:t xml:space="preserve">Best use:</w:t>
      </w:r>
      <w:r>
        <w:t xml:space="preserve"> </w:t>
      </w:r>
      <w:r>
        <w:rPr>
          <w:bCs/>
          <w:b/>
        </w:rPr>
        <w:t xml:space="preserve">S2</w:t>
      </w:r>
      <w:r>
        <w:t xml:space="preserve">, and the theoretical backbone for the retroactivity part of the paper. Pairs with source 11 (the Australian doctrinal history) and source 15 (the jurisprudential defence).</w:t>
      </w:r>
    </w:p>
    <w:p>
      <w:pPr>
        <w:numPr>
          <w:ilvl w:val="0"/>
          <w:numId w:val="1027"/>
        </w:numPr>
        <w:pStyle w:val="Compact"/>
      </w:pPr>
      <w:r>
        <w:rPr>
          <w:bCs/>
          <w:b/>
        </w:rPr>
        <w:t xml:space="preserve">Caveats:</w:t>
      </w:r>
      <w:r>
        <w:t xml:space="preserve"> </w:t>
      </w:r>
      <w:r>
        <w:t xml:space="preserve">A long US article; do not pretend to have read all 78 pages. Only p 286 is a confirmed pinpoint. If you want an Australian equivalent for the same proposition, Matthew Harding and Ian Malkin,</w:t>
      </w:r>
      <w:r>
        <w:t xml:space="preserve"> </w:t>
      </w:r>
      <w:r>
        <w:t xml:space="preserve">‘</w:t>
      </w:r>
      <w:r>
        <w:t xml:space="preserve">Overruling in the High Court of Australia in Common Law Cases</w:t>
      </w:r>
      <w:r>
        <w:t xml:space="preserve">’</w:t>
      </w:r>
      <w:r>
        <w:t xml:space="preserve"> </w:t>
      </w:r>
      <w:r>
        <w:t xml:space="preserve">(2010) 34(2)</w:t>
      </w:r>
      <w:r>
        <w:t xml:space="preserve"> </w:t>
      </w:r>
      <w:r>
        <w:rPr>
          <w:iCs/>
          <w:i/>
        </w:rPr>
        <w:t xml:space="preserve">MULR</w:t>
      </w:r>
      <w:r>
        <w:t xml:space="preserve"> </w:t>
      </w:r>
      <w:r>
        <w:t xml:space="preserve">519 is open access and covers</w:t>
      </w:r>
      <w:r>
        <w:t xml:space="preserve"> </w:t>
      </w:r>
      <w:r>
        <w:rPr>
          <w:iCs/>
          <w:i/>
        </w:rPr>
        <w:t xml:space="preserve">Ha</w:t>
      </w:r>
      <w:r>
        <w:t xml:space="preserve"> </w:t>
      </w:r>
      <w:r>
        <w:t xml:space="preserve">and the rejection of prospective overruling.</w:t>
      </w:r>
    </w:p>
    <w:bookmarkEnd w:id="41"/>
    <w:bookmarkStart w:id="42" w:name="X3f5b46a5d458cea539c56344fd0fbbf225d461c"/>
    <w:p>
      <w:pPr>
        <w:pStyle w:val="Heading3"/>
      </w:pPr>
      <w:r>
        <w:t xml:space="preserve">14. Emily Hammond,</w:t>
      </w:r>
      <w:r>
        <w:t xml:space="preserve"> </w:t>
      </w:r>
      <w:r>
        <w:t xml:space="preserve">‘</w:t>
      </w:r>
      <w:r>
        <w:t xml:space="preserve">Finality and Certainty in the Integrated National System of Chapter III Courts:</w:t>
      </w:r>
      <w:r>
        <w:t xml:space="preserve"> </w:t>
      </w:r>
      <w:r>
        <w:rPr>
          <w:iCs/>
          <w:i/>
        </w:rPr>
        <w:t xml:space="preserve">Judge Vasta v Stradford</w:t>
      </w:r>
      <w:r>
        <w:t xml:space="preserve">’</w:t>
      </w:r>
      <w:r>
        <w:t xml:space="preserve"> </w:t>
      </w:r>
      <w:r>
        <w:t xml:space="preserve">(2024) 46(2)</w:t>
      </w:r>
      <w:r>
        <w:t xml:space="preserve"> </w:t>
      </w:r>
      <w:r>
        <w:rPr>
          <w:iCs/>
          <w:i/>
        </w:rPr>
        <w:t xml:space="preserve">Sydney Law Review</w:t>
      </w:r>
      <w:r>
        <w:t xml:space="preserve"> </w:t>
      </w:r>
      <w:r>
        <w:t xml:space="preserve">227 ◐</w:t>
      </w:r>
    </w:p>
    <w:p>
      <w:pPr>
        <w:numPr>
          <w:ilvl w:val="0"/>
          <w:numId w:val="1029"/>
        </w:numPr>
        <w:pStyle w:val="Compact"/>
      </w:pPr>
      <w:r>
        <w:rPr>
          <w:bCs/>
          <w:b/>
        </w:rPr>
        <w:t xml:space="preserve">Access:</w:t>
      </w:r>
      <w:r>
        <w:t xml:space="preserve"> </w:t>
      </w:r>
      <w:r>
        <w:t xml:space="preserve">Open access, Sydney Law Review (OJS): article view 19236; direct PDF</w:t>
      </w:r>
      <w:r>
        <w:t xml:space="preserve"> </w:t>
      </w:r>
      <w:r>
        <w:rPr>
          <w:rStyle w:val="VerbatimChar"/>
        </w:rPr>
        <w:t xml:space="preserve">openjournals.library.sydney.edu.au/SLR/article/download/19236/16141</w:t>
      </w:r>
      <w:r>
        <w:t xml:space="preserve">. Pages 227–237.</w:t>
      </w:r>
      <w:r>
        <w:t xml:space="preserve"> </w:t>
      </w:r>
      <w:r>
        <w:rPr>
          <w:bCs/>
          <w:b/>
        </w:rPr>
        <w:t xml:space="preserve">Abstract and citation confirmed; full text not read</w:t>
      </w:r>
      <w:r>
        <w:t xml:space="preserve"> </w:t>
      </w:r>
      <w:r>
        <w:t xml:space="preserve">— pinpoints flagged.</w:t>
      </w:r>
    </w:p>
    <w:p>
      <w:pPr>
        <w:numPr>
          <w:ilvl w:val="0"/>
          <w:numId w:val="1029"/>
        </w:numPr>
        <w:pStyle w:val="Compact"/>
      </w:pPr>
      <w:r>
        <w:rPr>
          <w:bCs/>
          <w:b/>
        </w:rPr>
        <w:t xml:space="preserve">What it argues:</w:t>
      </w:r>
      <w:r>
        <w:t xml:space="preserve"> </w:t>
      </w:r>
      <w:r>
        <w:t xml:space="preserve">A</w:t>
      </w:r>
      <w:r>
        <w:t xml:space="preserve"> </w:t>
      </w:r>
      <w:r>
        <w:t xml:space="preserve">“</w:t>
      </w:r>
      <w:r>
        <w:t xml:space="preserve">Before the High Court</w:t>
      </w:r>
      <w:r>
        <w:t xml:space="preserve">”</w:t>
      </w:r>
      <w:r>
        <w:t xml:space="preserve"> </w:t>
      </w:r>
      <w:r>
        <w:t xml:space="preserve">piece on the</w:t>
      </w:r>
      <w:r>
        <w:t xml:space="preserve"> </w:t>
      </w:r>
      <w:r>
        <w:rPr>
          <w:iCs/>
          <w:i/>
        </w:rPr>
        <w:t xml:space="preserve">Stradford</w:t>
      </w:r>
      <w:r>
        <w:t xml:space="preserve"> </w:t>
      </w:r>
      <w:r>
        <w:t xml:space="preserve">appeals. Australian authority draws a distinction between superior and inferior courts: an order affected by jurisdictional error has legal force unless and until set aside if made by a superior court, but lacks legal force from the outset if made by an inferior court. Hammond argues that this distinction —</w:t>
      </w:r>
      <w:r>
        <w:t xml:space="preserve"> </w:t>
      </w:r>
      <w:r>
        <w:t xml:space="preserve">“</w:t>
      </w:r>
      <w:r>
        <w:t xml:space="preserve">recently consigned to pre-1846 history by the United Kingdom Supreme Court</w:t>
      </w:r>
      <w:r>
        <w:t xml:space="preserve">”</w:t>
      </w:r>
      <w:r>
        <w:t xml:space="preserve"> </w:t>
      </w:r>
      <w:r>
        <w:t xml:space="preserve">— does not fit the integrated system of courts established under Ch III, and that the appeals should be allowed on the basis that any purported order of a Ch III court acting as a repository of judicial power has legal force unless and until set aside.</w:t>
      </w:r>
    </w:p>
    <w:p>
      <w:pPr>
        <w:numPr>
          <w:ilvl w:val="0"/>
          <w:numId w:val="1029"/>
        </w:numPr>
        <w:pStyle w:val="Compact"/>
      </w:pPr>
      <w:r>
        <w:rPr>
          <w:bCs/>
          <w:b/>
        </w:rPr>
        <w:t xml:space="preserve">Why it survived screening:</w:t>
      </w:r>
      <w:r>
        <w:t xml:space="preserve"> </w:t>
      </w:r>
      <w:r>
        <w:t xml:space="preserve">The Commonwealth’s whole argument in</w:t>
      </w:r>
      <w:r>
        <w:t xml:space="preserve"> </w:t>
      </w:r>
      <w:r>
        <w:rPr>
          <w:iCs/>
          <w:i/>
        </w:rPr>
        <w:t xml:space="preserve">Abdel-Hady</w:t>
      </w:r>
      <w:r>
        <w:t xml:space="preserve"> </w:t>
      </w:r>
      <w:r>
        <w:t xml:space="preserve">was an analogy to</w:t>
      </w:r>
      <w:r>
        <w:t xml:space="preserve"> </w:t>
      </w:r>
      <w:r>
        <w:rPr>
          <w:iCs/>
          <w:i/>
        </w:rPr>
        <w:t xml:space="preserve">Queensland v Stradford</w:t>
      </w:r>
      <w:r>
        <w:t xml:space="preserve"> </w:t>
      </w:r>
      <w:r>
        <w:t xml:space="preserve">(2025) 99 ALJR 396, and all five sets of reasons deal with it at length ([24]–[25], [42]–[44] plurality; [64]–[77] Gordon J; [160]–[167] Edelman J; [192]–[215] Jagot J). You cannot engage critically with the case without understanding what</w:t>
      </w:r>
      <w:r>
        <w:t xml:space="preserve"> </w:t>
      </w:r>
      <w:r>
        <w:rPr>
          <w:iCs/>
          <w:i/>
        </w:rPr>
        <w:t xml:space="preserve">Stradford</w:t>
      </w:r>
      <w:r>
        <w:t xml:space="preserve"> </w:t>
      </w:r>
      <w:r>
        <w:t xml:space="preserve">actually decided, and this is the accessible scholarly account of it, written before the High Court ruled. It also identifies the operative distinction the plurality uses to reject the analogy: an</w:t>
      </w:r>
      <w:r>
        <w:t xml:space="preserve"> </w:t>
      </w:r>
      <w:r>
        <w:rPr>
          <w:iCs/>
          <w:i/>
        </w:rPr>
        <w:t xml:space="preserve">order</w:t>
      </w:r>
      <w:r>
        <w:t xml:space="preserve"> </w:t>
      </w:r>
      <w:r>
        <w:t xml:space="preserve">has force until set aside;</w:t>
      </w:r>
      <w:r>
        <w:t xml:space="preserve"> </w:t>
      </w:r>
      <w:r>
        <w:rPr>
          <w:iCs/>
          <w:i/>
        </w:rPr>
        <w:t xml:space="preserve">reasons</w:t>
      </w:r>
      <w:r>
        <w:t xml:space="preserve"> </w:t>
      </w:r>
      <w:r>
        <w:t xml:space="preserve">do not.</w:t>
      </w:r>
    </w:p>
    <w:p>
      <w:pPr>
        <w:numPr>
          <w:ilvl w:val="0"/>
          <w:numId w:val="1029"/>
        </w:numPr>
        <w:pStyle w:val="Compact"/>
      </w:pPr>
      <w:r>
        <w:rPr>
          <w:bCs/>
          <w:b/>
        </w:rPr>
        <w:t xml:space="preserve">Annotations</w:t>
      </w:r>
      <w:r>
        <w:t xml:space="preserve"> </w:t>
      </w:r>
      <w:r>
        <w:rPr>
          <w:iCs/>
          <w:i/>
        </w:rPr>
        <w:t xml:space="preserve">(pinpoints unconfirmed)</w:t>
      </w:r>
    </w:p>
    <w:p>
      <w:pPr>
        <w:numPr>
          <w:ilvl w:val="1"/>
          <w:numId w:val="1030"/>
        </w:numPr>
        <w:pStyle w:val="Compact"/>
      </w:pPr>
      <w:r>
        <w:rPr>
          <w:rStyle w:val="VerbatimChar"/>
        </w:rPr>
        <w:t xml:space="preserve">p 227 [1 — confirm]</w:t>
      </w:r>
      <w:r>
        <w:t xml:space="preserve"> </w:t>
      </w:r>
      <w:r>
        <w:t xml:space="preserve">— The core distinction: orders affected by jurisdictional error have legal force</w:t>
      </w:r>
      <w:r>
        <w:t xml:space="preserve"> </w:t>
      </w:r>
      <w:r>
        <w:t xml:space="preserve">“</w:t>
      </w:r>
      <w:r>
        <w:t xml:space="preserve">unless and until set aside</w:t>
      </w:r>
      <w:r>
        <w:t xml:space="preserve">”</w:t>
      </w:r>
      <w:r>
        <w:t xml:space="preserve"> </w:t>
      </w:r>
      <w:r>
        <w:t xml:space="preserve">when made by a superior court. This is the premise of the</w:t>
      </w:r>
      <w:r>
        <w:t xml:space="preserve"> </w:t>
      </w:r>
      <w:r>
        <w:rPr>
          <w:iCs/>
          <w:i/>
        </w:rPr>
        <w:t xml:space="preserve">Stradford</w:t>
      </w:r>
      <w:r>
        <w:t xml:space="preserve"> </w:t>
      </w:r>
      <w:r>
        <w:t xml:space="preserve">protection, and it is precisely why the analogy fails in</w:t>
      </w:r>
      <w:r>
        <w:t xml:space="preserve"> </w:t>
      </w:r>
      <w:r>
        <w:rPr>
          <w:iCs/>
          <w:i/>
        </w:rPr>
        <w:t xml:space="preserve">Abdel-Hady</w:t>
      </w:r>
      <w:r>
        <w:t xml:space="preserve">: Gordon J at [76] says that although orders may be valid until set aside,</w:t>
      </w:r>
      <w:r>
        <w:t xml:space="preserve"> </w:t>
      </w:r>
      <w:r>
        <w:t xml:space="preserve">“</w:t>
      </w:r>
      <w:r>
        <w:t xml:space="preserve">the same is not true of its reasons</w:t>
      </w:r>
      <w:r>
        <w:t xml:space="preserve">”</w:t>
      </w:r>
      <w:r>
        <w:t xml:space="preserve">, quoting Lord Hobhouse in</w:t>
      </w:r>
      <w:r>
        <w:t xml:space="preserve"> </w:t>
      </w:r>
      <w:r>
        <w:rPr>
          <w:iCs/>
          <w:i/>
        </w:rPr>
        <w:t xml:space="preserve">Evans (No 2)</w:t>
      </w:r>
      <w:r>
        <w:t xml:space="preserve"> </w:t>
      </w:r>
      <w:r>
        <w:t xml:space="preserve">that a legal decision is</w:t>
      </w:r>
      <w:r>
        <w:t xml:space="preserve"> </w:t>
      </w:r>
      <w:r>
        <w:t xml:space="preserve">“</w:t>
      </w:r>
      <w:r>
        <w:t xml:space="preserve">no more than evidence of the law</w:t>
      </w:r>
      <w:r>
        <w:t xml:space="preserve">”</w:t>
      </w:r>
      <w:r>
        <w:t xml:space="preserve">.</w:t>
      </w:r>
    </w:p>
    <w:p>
      <w:pPr>
        <w:numPr>
          <w:ilvl w:val="1"/>
          <w:numId w:val="1030"/>
        </w:numPr>
        <w:pStyle w:val="Compact"/>
      </w:pPr>
      <w:r>
        <w:rPr>
          <w:rStyle w:val="VerbatimChar"/>
        </w:rPr>
        <w:t xml:space="preserve">p 227 [2 — confirm]</w:t>
      </w:r>
      <w:r>
        <w:t xml:space="preserve"> </w:t>
      </w:r>
      <w:r>
        <w:t xml:space="preserve">— Her argument that the superior/inferior distinction is out of step with the integrated Ch III system. Adopted by the High Court in</w:t>
      </w:r>
      <w:r>
        <w:t xml:space="preserve"> </w:t>
      </w:r>
      <w:r>
        <w:rPr>
          <w:iCs/>
          <w:i/>
        </w:rPr>
        <w:t xml:space="preserve">Stradford</w:t>
      </w:r>
      <w:r>
        <w:t xml:space="preserve">, and noted by Edelman J in</w:t>
      </w:r>
      <w:r>
        <w:t xml:space="preserve"> </w:t>
      </w:r>
      <w:r>
        <w:rPr>
          <w:iCs/>
          <w:i/>
        </w:rPr>
        <w:t xml:space="preserve">Abdel-Hady</w:t>
      </w:r>
      <w:r>
        <w:t xml:space="preserve"> </w:t>
      </w:r>
      <w:r>
        <w:t xml:space="preserve">at [163] (the</w:t>
      </w:r>
      <w:r>
        <w:t xml:space="preserve"> </w:t>
      </w:r>
      <w:r>
        <w:t xml:space="preserve">“</w:t>
      </w:r>
      <w:r>
        <w:t xml:space="preserve">antique common law distinction</w:t>
      </w:r>
      <w:r>
        <w:t xml:space="preserve">”</w:t>
      </w:r>
      <w:r>
        <w:t xml:space="preserve">, which he and Steward J would abandon). Shows the scholarly argument was accepted — good evidence that academic work moves this Court.</w:t>
      </w:r>
    </w:p>
    <w:p>
      <w:pPr>
        <w:numPr>
          <w:ilvl w:val="1"/>
          <w:numId w:val="1030"/>
        </w:numPr>
        <w:pStyle w:val="Compact"/>
      </w:pPr>
      <w:r>
        <w:rPr>
          <w:rStyle w:val="VerbatimChar"/>
        </w:rPr>
        <w:t xml:space="preserve">pp 228–231 [3 — confirm]</w:t>
      </w:r>
      <w:r>
        <w:t xml:space="preserve"> </w:t>
      </w:r>
      <w:r>
        <w:t xml:space="preserve">— Expect the account of</w:t>
      </w:r>
      <w:r>
        <w:t xml:space="preserve"> </w:t>
      </w:r>
      <w:r>
        <w:rPr>
          <w:iCs/>
          <w:i/>
        </w:rPr>
        <w:t xml:space="preserve">Stradford v Judge Vasta</w:t>
      </w:r>
      <w:r>
        <w:t xml:space="preserve"> </w:t>
      </w:r>
      <w:r>
        <w:t xml:space="preserve">[2023] FCA 1020: Wigney J’s award (about $309,000) against a Federal Circuit Court judge, the Commonwealth and Queensland for false imprisonment. Two uses: it is the high-water mark of the tort reaching even judicial actors; and its reversal marks the boundary. Tort’s reach against the state is not uniform.</w:t>
      </w:r>
    </w:p>
    <w:p>
      <w:pPr>
        <w:numPr>
          <w:ilvl w:val="1"/>
          <w:numId w:val="1030"/>
        </w:numPr>
        <w:pStyle w:val="Compact"/>
      </w:pPr>
      <w:r>
        <w:rPr>
          <w:rStyle w:val="VerbatimChar"/>
        </w:rPr>
        <w:t xml:space="preserve">pp 231–234 [4 — confirm]</w:t>
      </w:r>
      <w:r>
        <w:t xml:space="preserve"> </w:t>
      </w:r>
      <w:r>
        <w:t xml:space="preserve">— Expect the analysis of why officers executing orders are protected: they cannot be expected to investigate validity. The plurality in</w:t>
      </w:r>
      <w:r>
        <w:t xml:space="preserve"> </w:t>
      </w:r>
      <w:r>
        <w:rPr>
          <w:iCs/>
          <w:i/>
        </w:rPr>
        <w:t xml:space="preserve">Abdel-Hady</w:t>
      </w:r>
      <w:r>
        <w:t xml:space="preserve"> </w:t>
      </w:r>
      <w:r>
        <w:t xml:space="preserve">at [42] accepts that rationale and confines it — protection attaches to executing an</w:t>
      </w:r>
      <w:r>
        <w:t xml:space="preserve"> </w:t>
      </w:r>
      <w:r>
        <w:rPr>
          <w:iCs/>
          <w:i/>
        </w:rPr>
        <w:t xml:space="preserve">order or warrant</w:t>
      </w:r>
      <w:r>
        <w:t xml:space="preserve">, not to acting on a court’s</w:t>
      </w:r>
      <w:r>
        <w:t xml:space="preserve"> </w:t>
      </w:r>
      <w:r>
        <w:rPr>
          <w:iCs/>
          <w:i/>
        </w:rPr>
        <w:t xml:space="preserve">reasoning</w:t>
      </w:r>
      <w:r>
        <w:t xml:space="preserve">. That distinction is the doctrinal heart of the case and I will state it in one sentence with this source and [43]–[44].</w:t>
      </w:r>
    </w:p>
    <w:p>
      <w:pPr>
        <w:numPr>
          <w:ilvl w:val="1"/>
          <w:numId w:val="1030"/>
        </w:numPr>
        <w:pStyle w:val="Compact"/>
      </w:pPr>
      <w:r>
        <w:rPr>
          <w:rStyle w:val="VerbatimChar"/>
        </w:rPr>
        <w:t xml:space="preserve">pp 234–237 [5 — confirm]</w:t>
      </w:r>
      <w:r>
        <w:t xml:space="preserve"> </w:t>
      </w:r>
      <w:r>
        <w:t xml:space="preserve">— Expect her conclusion on finality and certainty as the values at stake. Set against Jagot J at [193] and [205]–[208]: the derivative immunity serves</w:t>
      </w:r>
      <w:r>
        <w:t xml:space="preserve"> </w:t>
      </w:r>
      <w:r>
        <w:rPr>
          <w:iCs/>
          <w:i/>
        </w:rPr>
        <w:t xml:space="preserve">judicial independence</w:t>
      </w:r>
      <w:r>
        <w:t xml:space="preserve">, and there is no equivalent institutional imperative for Parliament or the executive ([209]–[210]). That asymmetry is the answer to the Commonwealth’s analogy and the best short explanation of why</w:t>
      </w:r>
      <w:r>
        <w:t xml:space="preserve"> </w:t>
      </w:r>
      <w:r>
        <w:rPr>
          <w:iCs/>
          <w:i/>
        </w:rPr>
        <w:t xml:space="preserve">Abdel-Hady</w:t>
      </w:r>
      <w:r>
        <w:t xml:space="preserve"> </w:t>
      </w:r>
      <w:r>
        <w:t xml:space="preserve">was decided as it was.</w:t>
      </w:r>
    </w:p>
    <w:p>
      <w:pPr>
        <w:numPr>
          <w:ilvl w:val="0"/>
          <w:numId w:val="1029"/>
        </w:numPr>
        <w:pStyle w:val="Compact"/>
      </w:pPr>
      <w:r>
        <w:rPr>
          <w:bCs/>
          <w:b/>
        </w:rPr>
        <w:t xml:space="preserve">Best use:</w:t>
      </w:r>
      <w:r>
        <w:t xml:space="preserve"> </w:t>
      </w:r>
      <w:r>
        <w:rPr>
          <w:bCs/>
          <w:b/>
        </w:rPr>
        <w:t xml:space="preserve">S1/S2</w:t>
      </w:r>
      <w:r>
        <w:t xml:space="preserve"> </w:t>
      </w:r>
      <w:r>
        <w:t xml:space="preserve">— it explains the analogy the Court rejected and why. Choose it over source 11 if your paper is structured around the</w:t>
      </w:r>
      <w:r>
        <w:t xml:space="preserve"> </w:t>
      </w:r>
      <w:r>
        <w:rPr>
          <w:iCs/>
          <w:i/>
        </w:rPr>
        <w:t xml:space="preserve">Stradford</w:t>
      </w:r>
      <w:r>
        <w:t xml:space="preserve"> </w:t>
      </w:r>
      <w:r>
        <w:t xml:space="preserve">argument rather than around retroactivity.</w:t>
      </w:r>
    </w:p>
    <w:p>
      <w:pPr>
        <w:numPr>
          <w:ilvl w:val="0"/>
          <w:numId w:val="1029"/>
        </w:numPr>
        <w:pStyle w:val="Compact"/>
      </w:pPr>
      <w:r>
        <w:rPr>
          <w:bCs/>
          <w:b/>
        </w:rPr>
        <w:t xml:space="preserve">Caveats:</w:t>
      </w:r>
      <w:r>
        <w:t xml:space="preserve"> </w:t>
      </w:r>
      <w:r>
        <w:t xml:space="preserve">Written before the High Court decided</w:t>
      </w:r>
      <w:r>
        <w:t xml:space="preserve"> </w:t>
      </w:r>
      <w:r>
        <w:rPr>
          <w:iCs/>
          <w:i/>
        </w:rPr>
        <w:t xml:space="preserve">Stradford</w:t>
      </w:r>
      <w:r>
        <w:t xml:space="preserve">; it argues for an outcome that the Court then substantially adopted, so describe it as an argument, not as the law. Not read.</w:t>
      </w:r>
    </w:p>
    <w:bookmarkEnd w:id="42"/>
    <w:bookmarkStart w:id="43" w:name="X2bc8e9b7be32e789250d5a28d62ef8eeb8ba45a"/>
    <w:p>
      <w:pPr>
        <w:pStyle w:val="Heading3"/>
      </w:pPr>
      <w:r>
        <w:t xml:space="preserve">15. John Finnis,</w:t>
      </w:r>
      <w:r>
        <w:t xml:space="preserve"> </w:t>
      </w:r>
      <w:r>
        <w:t xml:space="preserve">‘</w:t>
      </w:r>
      <w:r>
        <w:t xml:space="preserve">The Fairy Tale’s Moral</w:t>
      </w:r>
      <w:r>
        <w:t xml:space="preserve">’</w:t>
      </w:r>
      <w:r>
        <w:t xml:space="preserve"> </w:t>
      </w:r>
      <w:r>
        <w:t xml:space="preserve">(1999) 115</w:t>
      </w:r>
      <w:r>
        <w:t xml:space="preserve"> </w:t>
      </w:r>
      <w:r>
        <w:rPr>
          <w:iCs/>
          <w:i/>
        </w:rPr>
        <w:t xml:space="preserve">Law Quarterly Review</w:t>
      </w:r>
      <w:r>
        <w:t xml:space="preserve"> </w:t>
      </w:r>
      <w:r>
        <w:t xml:space="preserve">170 ○</w:t>
      </w:r>
    </w:p>
    <w:p>
      <w:pPr>
        <w:numPr>
          <w:ilvl w:val="0"/>
          <w:numId w:val="1031"/>
        </w:numPr>
        <w:pStyle w:val="Compact"/>
      </w:pPr>
      <w:r>
        <w:rPr>
          <w:bCs/>
          <w:b/>
        </w:rPr>
        <w:t xml:space="preserve">Access:</w:t>
      </w:r>
      <w:r>
        <w:t xml:space="preserve"> </w:t>
      </w:r>
      <w:r>
        <w:t xml:space="preserve">Westlaw UK (Macquarie should have LQR). Also reprinted in Finnis,</w:t>
      </w:r>
      <w:r>
        <w:t xml:space="preserve"> </w:t>
      </w:r>
      <w:r>
        <w:rPr>
          <w:iCs/>
          <w:i/>
        </w:rPr>
        <w:t xml:space="preserve">Philosophy of Law: Collected Essays Volume IV</w:t>
      </w:r>
      <w:r>
        <w:t xml:space="preserve"> </w:t>
      </w:r>
      <w:r>
        <w:t xml:space="preserve">(Oxford University Press, 2011).</w:t>
      </w:r>
      <w:r>
        <w:t xml:space="preserve"> </w:t>
      </w:r>
      <w:r>
        <w:rPr>
          <w:bCs/>
          <w:b/>
        </w:rPr>
        <w:t xml:space="preserve">Not read.</w:t>
      </w:r>
      <w:r>
        <w:t xml:space="preserve"> </w:t>
      </w:r>
      <w:r>
        <w:rPr>
          <w:bCs/>
          <w:b/>
        </w:rPr>
        <w:t xml:space="preserve">The pinpoint 174–175 is confirmed by</w:t>
      </w:r>
      <w:r>
        <w:rPr>
          <w:bCs/>
          <w:b/>
        </w:rPr>
        <w:t xml:space="preserve"> </w:t>
      </w:r>
      <w:r>
        <w:rPr>
          <w:iCs/>
          <w:i/>
          <w:bCs/>
          <w:b/>
        </w:rPr>
        <w:t xml:space="preserve">Abdel-Hady</w:t>
      </w:r>
      <w:r>
        <w:rPr>
          <w:bCs/>
          <w:b/>
        </w:rPr>
        <w:t xml:space="preserve"> </w:t>
      </w:r>
      <w:r>
        <w:rPr>
          <w:bCs/>
          <w:b/>
        </w:rPr>
        <w:t xml:space="preserve">itself at fn 183 (Edelman J at [155]).</w:t>
      </w:r>
    </w:p>
    <w:p>
      <w:pPr>
        <w:numPr>
          <w:ilvl w:val="0"/>
          <w:numId w:val="1031"/>
        </w:numPr>
        <w:pStyle w:val="Compact"/>
      </w:pPr>
      <w:r>
        <w:rPr>
          <w:bCs/>
          <w:b/>
        </w:rPr>
        <w:t xml:space="preserve">What it argues:</w:t>
      </w:r>
      <w:r>
        <w:t xml:space="preserve"> </w:t>
      </w:r>
      <w:r>
        <w:t xml:space="preserve">A short reply to Lord Browne-Wilkinson’s remark in</w:t>
      </w:r>
      <w:r>
        <w:t xml:space="preserve"> </w:t>
      </w:r>
      <w:r>
        <w:rPr>
          <w:iCs/>
          <w:i/>
        </w:rPr>
        <w:t xml:space="preserve">Kleinwort Benson v Lincoln City Council</w:t>
      </w:r>
      <w:r>
        <w:t xml:space="preserve"> </w:t>
      </w:r>
      <w:r>
        <w:t xml:space="preserve">that the declaratory theory of judicial decision — that judges declare rather than make law — is a</w:t>
      </w:r>
      <w:r>
        <w:t xml:space="preserve"> </w:t>
      </w:r>
      <w:r>
        <w:t xml:space="preserve">“</w:t>
      </w:r>
      <w:r>
        <w:t xml:space="preserve">fairy tale</w:t>
      </w:r>
      <w:r>
        <w:t xml:space="preserve">”</w:t>
      </w:r>
      <w:r>
        <w:t xml:space="preserve">. Finnis’s answer is that when a decision is overruled, the rule that replaces it is treated as having been</w:t>
      </w:r>
      <w:r>
        <w:t xml:space="preserve"> </w:t>
      </w:r>
      <w:r>
        <w:t xml:space="preserve">“</w:t>
      </w:r>
      <w:r>
        <w:t xml:space="preserve">at all relevant times legally correct and an authentic legal rule</w:t>
      </w:r>
      <w:r>
        <w:t xml:space="preserve">”</w:t>
      </w:r>
      <w:r>
        <w:t xml:space="preserve">. That is not a fiction but a feature of what it is for a court to decide a dispute about rights that arose in the past.</w:t>
      </w:r>
    </w:p>
    <w:p>
      <w:pPr>
        <w:numPr>
          <w:ilvl w:val="0"/>
          <w:numId w:val="1031"/>
        </w:numPr>
        <w:pStyle w:val="Compact"/>
      </w:pPr>
      <w:r>
        <w:rPr>
          <w:bCs/>
          <w:b/>
        </w:rPr>
        <w:t xml:space="preserve">Why it survived screening:</w:t>
      </w:r>
      <w:r>
        <w:t xml:space="preserve"> </w:t>
      </w:r>
      <w:r>
        <w:t xml:space="preserve">Edelman J’s reasoning at [155]–[158] rests on it. Those paragraphs are where the judgment explains why the officer’s compliance with</w:t>
      </w:r>
      <w:r>
        <w:t xml:space="preserve"> </w:t>
      </w:r>
      <w:r>
        <w:rPr>
          <w:iCs/>
          <w:i/>
        </w:rPr>
        <w:t xml:space="preserve">Al-Kateb</w:t>
      </w:r>
      <w:r>
        <w:t xml:space="preserve"> </w:t>
      </w:r>
      <w:r>
        <w:t xml:space="preserve">could not help him: the norms judges posit are</w:t>
      </w:r>
      <w:r>
        <w:t xml:space="preserve"> </w:t>
      </w:r>
      <w:r>
        <w:t xml:space="preserve">“</w:t>
      </w:r>
      <w:r>
        <w:t xml:space="preserve">not things writ in water</w:t>
      </w:r>
      <w:r>
        <w:t xml:space="preserve">”</w:t>
      </w:r>
      <w:r>
        <w:t xml:space="preserve">, they must be</w:t>
      </w:r>
      <w:r>
        <w:t xml:space="preserve"> </w:t>
      </w:r>
      <w:r>
        <w:t xml:space="preserve">“</w:t>
      </w:r>
      <w:r>
        <w:t xml:space="preserve">weighed carefully and usually followed</w:t>
      </w:r>
      <w:r>
        <w:t xml:space="preserve">”</w:t>
      </w:r>
      <w:r>
        <w:t xml:space="preserve"> </w:t>
      </w:r>
      <w:r>
        <w:t xml:space="preserve">— but they do not bind directly, and the law applicable to the plaintiff was always what</w:t>
      </w:r>
      <w:r>
        <w:t xml:space="preserve"> </w:t>
      </w:r>
      <w:r>
        <w:rPr>
          <w:iCs/>
          <w:i/>
        </w:rPr>
        <w:t xml:space="preserve">NZYQ</w:t>
      </w:r>
      <w:r>
        <w:t xml:space="preserve"> </w:t>
      </w:r>
      <w:r>
        <w:t xml:space="preserve">declared. If you want to write about the retroactivity dilemma, this is the four-page source behind the reasoning, and the Court has already given you the pages.</w:t>
      </w:r>
    </w:p>
    <w:p>
      <w:pPr>
        <w:numPr>
          <w:ilvl w:val="0"/>
          <w:numId w:val="1031"/>
        </w:numPr>
        <w:pStyle w:val="Compact"/>
      </w:pPr>
      <w:r>
        <w:rPr>
          <w:bCs/>
          <w:b/>
        </w:rPr>
        <w:t xml:space="preserve">Annotations</w:t>
      </w:r>
      <w:r>
        <w:t xml:space="preserve"> </w:t>
      </w:r>
      <w:r>
        <w:rPr>
          <w:iCs/>
          <w:i/>
        </w:rPr>
        <w:t xml:space="preserve">(only the 174–175 range is confirmed)</w:t>
      </w:r>
    </w:p>
    <w:p>
      <w:pPr>
        <w:numPr>
          <w:ilvl w:val="1"/>
          <w:numId w:val="1032"/>
        </w:numPr>
        <w:pStyle w:val="Compact"/>
      </w:pPr>
      <w:r>
        <w:rPr>
          <w:rStyle w:val="VerbatimChar"/>
        </w:rPr>
        <w:t xml:space="preserve">pp 174–175 [1]</w:t>
      </w:r>
      <w:r>
        <w:t xml:space="preserve"> </w:t>
      </w:r>
      <w:r>
        <w:t xml:space="preserve">— The proposition the High Court cites it for: on overruling, the replacing rule is assumed</w:t>
      </w:r>
      <w:r>
        <w:t xml:space="preserve"> </w:t>
      </w:r>
      <w:r>
        <w:t xml:space="preserve">“</w:t>
      </w:r>
      <w:r>
        <w:t xml:space="preserve">at all relevant times legally correct and an authentic legal rule</w:t>
      </w:r>
      <w:r>
        <w:t xml:space="preserve">”</w:t>
      </w:r>
      <w:r>
        <w:t xml:space="preserve">. This is the hinge of my whole paper. It is the reason the officer’s diligence was irrelevant, and therefore both the source of the tort’s strength (no good-faith defence) and the source of the officer’s hardship (Gordon J at [92]; Edelman J’s</w:t>
      </w:r>
      <w:r>
        <w:t xml:space="preserve"> </w:t>
      </w:r>
      <w:r>
        <w:t xml:space="preserve">“</w:t>
      </w:r>
      <w:r>
        <w:t xml:space="preserve">almost impossible dilemma</w:t>
      </w:r>
      <w:r>
        <w:t xml:space="preserve">”</w:t>
      </w:r>
      <w:r>
        <w:t xml:space="preserve"> </w:t>
      </w:r>
      <w:r>
        <w:t xml:space="preserve">at [159]).</w:t>
      </w:r>
    </w:p>
    <w:p>
      <w:pPr>
        <w:numPr>
          <w:ilvl w:val="1"/>
          <w:numId w:val="1032"/>
        </w:numPr>
        <w:pStyle w:val="Compact"/>
      </w:pPr>
      <w:r>
        <w:rPr>
          <w:rStyle w:val="VerbatimChar"/>
        </w:rPr>
        <w:t xml:space="preserve">p 170 [2 — confirm]</w:t>
      </w:r>
      <w:r>
        <w:t xml:space="preserve"> </w:t>
      </w:r>
      <w:r>
        <w:t xml:space="preserve">— The</w:t>
      </w:r>
      <w:r>
        <w:t xml:space="preserve"> </w:t>
      </w:r>
      <w:r>
        <w:t xml:space="preserve">“</w:t>
      </w:r>
      <w:r>
        <w:t xml:space="preserve">fairy tale</w:t>
      </w:r>
      <w:r>
        <w:t xml:space="preserve">”</w:t>
      </w:r>
      <w:r>
        <w:t xml:space="preserve"> </w:t>
      </w:r>
      <w:r>
        <w:t xml:space="preserve">framing itself (Lord Browne-Wilkinson in</w:t>
      </w:r>
      <w:r>
        <w:t xml:space="preserve"> </w:t>
      </w:r>
      <w:r>
        <w:rPr>
          <w:iCs/>
          <w:i/>
        </w:rPr>
        <w:t xml:space="preserve">Kleinwort Benson</w:t>
      </w:r>
      <w:r>
        <w:t xml:space="preserve">, drawing on Lord Reid’s 1972 essay). Worth one sentence: even judges who think they make law accept that overruling operates retrospectively — which is why</w:t>
      </w:r>
      <w:r>
        <w:t xml:space="preserve"> </w:t>
      </w:r>
      <w:r>
        <w:rPr>
          <w:iCs/>
          <w:i/>
        </w:rPr>
        <w:t xml:space="preserve">Abdel-Hady</w:t>
      </w:r>
      <w:r>
        <w:t xml:space="preserve"> </w:t>
      </w:r>
      <w:r>
        <w:t xml:space="preserve">did not need to resolve the jurisprudential debate.</w:t>
      </w:r>
    </w:p>
    <w:p>
      <w:pPr>
        <w:numPr>
          <w:ilvl w:val="1"/>
          <w:numId w:val="1032"/>
        </w:numPr>
        <w:pStyle w:val="Compact"/>
      </w:pPr>
      <w:r>
        <w:rPr>
          <w:rStyle w:val="VerbatimChar"/>
        </w:rPr>
        <w:t xml:space="preserve">pp 171–173 [3 — confirm]</w:t>
      </w:r>
      <w:r>
        <w:t xml:space="preserve"> </w:t>
      </w:r>
      <w:r>
        <w:t xml:space="preserve">— Expect his argument that the declaratory theory, properly stated, is about the</w:t>
      </w:r>
      <w:r>
        <w:t xml:space="preserve"> </w:t>
      </w:r>
      <w:r>
        <w:rPr>
          <w:iCs/>
          <w:i/>
        </w:rPr>
        <w:t xml:space="preserve">authority</w:t>
      </w:r>
      <w:r>
        <w:t xml:space="preserve"> </w:t>
      </w:r>
      <w:r>
        <w:t xml:space="preserve">of a rule rather than about judges never changing the law. Edelman J makes the same distinction at [155]: judges do create and retroactively change posited legal norms, but those norms are not themselves</w:t>
      </w:r>
      <w:r>
        <w:t xml:space="preserve"> </w:t>
      </w:r>
      <w:r>
        <w:t xml:space="preserve">“</w:t>
      </w:r>
      <w:r>
        <w:t xml:space="preserve">the common law that binds members of the public</w:t>
      </w:r>
      <w:r>
        <w:t xml:space="preserve">”</w:t>
      </w:r>
      <w:r>
        <w:t xml:space="preserve">. I will use this to avoid the crude version of the argument.</w:t>
      </w:r>
    </w:p>
    <w:p>
      <w:pPr>
        <w:numPr>
          <w:ilvl w:val="1"/>
          <w:numId w:val="1032"/>
        </w:numPr>
        <w:pStyle w:val="Compact"/>
      </w:pPr>
      <w:r>
        <w:rPr>
          <w:rStyle w:val="VerbatimChar"/>
        </w:rPr>
        <w:t xml:space="preserve">p 175 [4 — confirm]</w:t>
      </w:r>
      <w:r>
        <w:t xml:space="preserve"> </w:t>
      </w:r>
      <w:r>
        <w:t xml:space="preserve">— Expect the conclusion. Note the alternative if you cannot get LQR: Allan Beever,</w:t>
      </w:r>
      <w:r>
        <w:t xml:space="preserve"> </w:t>
      </w:r>
      <w:r>
        <w:t xml:space="preserve">‘</w:t>
      </w:r>
      <w:r>
        <w:t xml:space="preserve">The Declaratory Theory of Law</w:t>
      </w:r>
      <w:r>
        <w:t xml:space="preserve">’</w:t>
      </w:r>
      <w:r>
        <w:t xml:space="preserve"> </w:t>
      </w:r>
      <w:r>
        <w:t xml:space="preserve">(2013) 33(3)</w:t>
      </w:r>
      <w:r>
        <w:t xml:space="preserve"> </w:t>
      </w:r>
      <w:r>
        <w:rPr>
          <w:iCs/>
          <w:i/>
        </w:rPr>
        <w:t xml:space="preserve">Oxford Journal of Legal Studies</w:t>
      </w:r>
      <w:r>
        <w:t xml:space="preserve"> </w:t>
      </w:r>
      <w:r>
        <w:t xml:space="preserve">421, also cited at</w:t>
      </w:r>
      <w:r>
        <w:t xml:space="preserve"> </w:t>
      </w:r>
      <w:r>
        <w:rPr>
          <w:iCs/>
          <w:i/>
        </w:rPr>
        <w:t xml:space="preserve">Abdel-Hady</w:t>
      </w:r>
      <w:r>
        <w:t xml:space="preserve"> </w:t>
      </w:r>
      <w:r>
        <w:t xml:space="preserve">fn 186 and more likely to be accessible.</w:t>
      </w:r>
    </w:p>
    <w:p>
      <w:pPr>
        <w:numPr>
          <w:ilvl w:val="0"/>
          <w:numId w:val="1031"/>
        </w:numPr>
        <w:pStyle w:val="Compact"/>
      </w:pPr>
      <w:r>
        <w:rPr>
          <w:bCs/>
          <w:b/>
        </w:rPr>
        <w:t xml:space="preserve">Best use:</w:t>
      </w:r>
      <w:r>
        <w:t xml:space="preserve"> </w:t>
      </w:r>
      <w:r>
        <w:rPr>
          <w:bCs/>
          <w:b/>
        </w:rPr>
        <w:t xml:space="preserve">S2</w:t>
      </w:r>
      <w:r>
        <w:t xml:space="preserve"> </w:t>
      </w:r>
      <w:r>
        <w:t xml:space="preserve">— one precise, well-pinpointed citation in the paragraph explaining why reliance on</w:t>
      </w:r>
      <w:r>
        <w:t xml:space="preserve"> </w:t>
      </w:r>
      <w:r>
        <w:rPr>
          <w:iCs/>
          <w:i/>
        </w:rPr>
        <w:t xml:space="preserve">Al-Kateb</w:t>
      </w:r>
      <w:r>
        <w:t xml:space="preserve"> </w:t>
      </w:r>
      <w:r>
        <w:t xml:space="preserve">was no answer. Do not try to do more with it.</w:t>
      </w:r>
    </w:p>
    <w:p>
      <w:pPr>
        <w:numPr>
          <w:ilvl w:val="0"/>
          <w:numId w:val="1031"/>
        </w:numPr>
        <w:pStyle w:val="Compact"/>
      </w:pPr>
      <w:r>
        <w:rPr>
          <w:bCs/>
          <w:b/>
        </w:rPr>
        <w:t xml:space="preserve">Caveats:</w:t>
      </w:r>
      <w:r>
        <w:t xml:space="preserve"> </w:t>
      </w:r>
      <w:r>
        <w:t xml:space="preserve">Not read. Cite only the confirmed 174–175 range unless you read the article. This is a dense jurisprudence piece; if you cannot get it, use Beever (2013) or Beswick (source 13) instead and lose nothing.</w:t>
      </w:r>
    </w:p>
    <w:bookmarkEnd w:id="43"/>
    <w:bookmarkStart w:id="45" w:name="X5782ccf1ae644fe27e62a73c7187eefed1ddc6d"/>
    <w:p>
      <w:pPr>
        <w:pStyle w:val="Heading3"/>
      </w:pPr>
      <w:r>
        <w:t xml:space="preserve">16. Dan Meagher,</w:t>
      </w:r>
      <w:r>
        <w:t xml:space="preserve"> </w:t>
      </w:r>
      <w:r>
        <w:t xml:space="preserve">‘</w:t>
      </w:r>
      <w:r>
        <w:t xml:space="preserve">The Common Law Principle of Legality in the Age of Rights</w:t>
      </w:r>
      <w:r>
        <w:t xml:space="preserve">’</w:t>
      </w:r>
      <w:r>
        <w:t xml:space="preserve"> </w:t>
      </w:r>
      <w:r>
        <w:t xml:space="preserve">(2011) 35(2)</w:t>
      </w:r>
      <w:r>
        <w:t xml:space="preserve"> </w:t>
      </w:r>
      <w:r>
        <w:rPr>
          <w:iCs/>
          <w:i/>
        </w:rPr>
        <w:t xml:space="preserve">Melbourne University Law Review</w:t>
      </w:r>
      <w:r>
        <w:t xml:space="preserve"> </w:t>
      </w:r>
      <w:r>
        <w:t xml:space="preserve">449 ●</w:t>
      </w:r>
    </w:p>
    <w:p>
      <w:pPr>
        <w:numPr>
          <w:ilvl w:val="0"/>
          <w:numId w:val="1033"/>
        </w:numPr>
        <w:pStyle w:val="Compact"/>
      </w:pPr>
      <w:r>
        <w:rPr>
          <w:bCs/>
          <w:b/>
        </w:rPr>
        <w:t xml:space="preserve">Access:</w:t>
      </w:r>
      <w:r>
        <w:t xml:space="preserve"> </w:t>
      </w:r>
      <w:r>
        <w:t xml:space="preserve">Free PDF from Melbourne Law School (</w:t>
      </w:r>
      <w:r>
        <w:rPr>
          <w:rStyle w:val="VerbatimChar"/>
        </w:rPr>
        <w:t xml:space="preserve">35_2_5.pdf</w:t>
      </w:r>
      <w:r>
        <w:t xml:space="preserve">); also AustLII</w:t>
      </w:r>
      <w:r>
        <w:t xml:space="preserve"> </w:t>
      </w:r>
      <w:r>
        <w:rPr>
          <w:rStyle w:val="VerbatimChar"/>
        </w:rPr>
        <w:t xml:space="preserve">[2011] MelbULawRw 16</w:t>
      </w:r>
      <w:r>
        <w:t xml:space="preserve">. Pages 449–478. Sections: I Introduction (450); II A Brief History (452); III Content and Scope (456) — A What Rights Are Fundamental (456), B Current Scope (460), C Provisional Conclusion (464); IV Methodological Issues (464) — A International Human Rights Norms (464), B Presumption of Consistency (466), C Proportionality (468); V Applied (471) — A Freedom of Speech (471), B Non-Discrimination (475); VI Conclusion (477).</w:t>
      </w:r>
    </w:p>
    <w:p>
      <w:pPr>
        <w:numPr>
          <w:ilvl w:val="0"/>
          <w:numId w:val="1033"/>
        </w:numPr>
        <w:pStyle w:val="Compact"/>
      </w:pPr>
      <w:r>
        <w:rPr>
          <w:bCs/>
          <w:b/>
        </w:rPr>
        <w:t xml:space="preserve">What it argues:</w:t>
      </w:r>
      <w:r>
        <w:t xml:space="preserve"> </w:t>
      </w:r>
      <w:r>
        <w:t xml:space="preserve">Without a statutory bill of rights, common law presumptions are Australia’s principal judicial technique for protecting rights, yet the principle of legality has never been adequately explained. Meagher traces it from</w:t>
      </w:r>
      <w:r>
        <w:t xml:space="preserve"> </w:t>
      </w:r>
      <w:r>
        <w:rPr>
          <w:iCs/>
          <w:i/>
        </w:rPr>
        <w:t xml:space="preserve">Somerset v Stewart</w:t>
      </w:r>
      <w:r>
        <w:t xml:space="preserve"> </w:t>
      </w:r>
      <w:r>
        <w:t xml:space="preserve">and</w:t>
      </w:r>
      <w:r>
        <w:t xml:space="preserve"> </w:t>
      </w:r>
      <w:r>
        <w:rPr>
          <w:iCs/>
          <w:i/>
        </w:rPr>
        <w:t xml:space="preserve">Potter v Minahan</w:t>
      </w:r>
      <w:r>
        <w:t xml:space="preserve"> </w:t>
      </w:r>
      <w:r>
        <w:t xml:space="preserve">to Lord Hoffmann in</w:t>
      </w:r>
      <w:r>
        <w:t xml:space="preserve"> </w:t>
      </w:r>
      <w:r>
        <w:rPr>
          <w:iCs/>
          <w:i/>
        </w:rPr>
        <w:t xml:space="preserve">Simms</w:t>
      </w:r>
      <w:r>
        <w:t xml:space="preserve"> </w:t>
      </w:r>
      <w:r>
        <w:t xml:space="preserve">and Gleeson CJ’s account of it as constitutive of the rule of law. His central structural point is that the principle operates as an all-or-nothing rule: a fundamental right is either protected in full or abrogated in full, with no balancing, and abrogation requires</w:t>
      </w:r>
      <w:r>
        <w:t xml:space="preserve"> </w:t>
      </w:r>
      <w:r>
        <w:t xml:space="preserve">“</w:t>
      </w:r>
      <w:r>
        <w:t xml:space="preserve">unmistakable and unambiguous language</w:t>
      </w:r>
      <w:r>
        <w:t xml:space="preserve">”</w:t>
      </w:r>
      <w:r>
        <w:t xml:space="preserve">. He argues this works while rights have determinate content and breaks down for indeterminate rights such as freedom of speech, and he examines whether proportionality should be imported — which would make the</w:t>
      </w:r>
      <w:r>
        <w:t xml:space="preserve"> </w:t>
      </w:r>
      <w:r>
        <w:t xml:space="preserve">“</w:t>
      </w:r>
      <w:r>
        <w:t xml:space="preserve">common law bill of rights</w:t>
      </w:r>
      <w:r>
        <w:t xml:space="preserve">”</w:t>
      </w:r>
      <w:r>
        <w:t xml:space="preserve"> </w:t>
      </w:r>
      <w:r>
        <w:t xml:space="preserve">function like a statutory one.</w:t>
      </w:r>
    </w:p>
    <w:p>
      <w:pPr>
        <w:numPr>
          <w:ilvl w:val="0"/>
          <w:numId w:val="1033"/>
        </w:numPr>
        <w:pStyle w:val="Compact"/>
      </w:pPr>
      <w:r>
        <w:rPr>
          <w:bCs/>
          <w:b/>
        </w:rPr>
        <w:t xml:space="preserve">Why it survived screening:</w:t>
      </w:r>
      <w:r>
        <w:t xml:space="preserve"> </w:t>
      </w:r>
      <w:r>
        <w:t xml:space="preserve">It gives you the other half of the common law’s rights architecture. The prompt says protection</w:t>
      </w:r>
      <w:r>
        <w:t xml:space="preserve"> </w:t>
      </w:r>
      <w:r>
        <w:t xml:space="preserve">“</w:t>
      </w:r>
      <w:r>
        <w:t xml:space="preserve">falls largely to the common law</w:t>
      </w:r>
      <w:r>
        <w:t xml:space="preserve">”</w:t>
      </w:r>
      <w:r>
        <w:t xml:space="preserve">; the common law protects liberty in two ways — by interpretive presumption</w:t>
      </w:r>
      <w:r>
        <w:t xml:space="preserve"> </w:t>
      </w:r>
      <w:r>
        <w:rPr>
          <w:iCs/>
          <w:i/>
        </w:rPr>
        <w:t xml:space="preserve">before</w:t>
      </w:r>
      <w:r>
        <w:t xml:space="preserve"> </w:t>
      </w:r>
      <w:r>
        <w:t xml:space="preserve">the fact, and by tort remedy</w:t>
      </w:r>
      <w:r>
        <w:t xml:space="preserve"> </w:t>
      </w:r>
      <w:r>
        <w:rPr>
          <w:iCs/>
          <w:i/>
        </w:rPr>
        <w:t xml:space="preserve">after</w:t>
      </w:r>
      <w:r>
        <w:t xml:space="preserve"> </w:t>
      </w:r>
      <w:r>
        <w:t xml:space="preserve">it. Meagher explains why the first failed in</w:t>
      </w:r>
      <w:r>
        <w:t xml:space="preserve"> </w:t>
      </w:r>
      <w:r>
        <w:rPr>
          <w:iCs/>
          <w:i/>
        </w:rPr>
        <w:t xml:space="preserve">Al-Kateb</w:t>
      </w:r>
      <w:r>
        <w:t xml:space="preserve">: the words were clear, and clear words win. That is the cleanest available explanation of why the tort lay dormant for nineteen years and why the correction had to come from constitutional invalidity rather than construction.</w:t>
      </w:r>
    </w:p>
    <w:p>
      <w:pPr>
        <w:numPr>
          <w:ilvl w:val="0"/>
          <w:numId w:val="1033"/>
        </w:numPr>
        <w:pStyle w:val="Compact"/>
      </w:pPr>
      <w:r>
        <w:rPr>
          <w:bCs/>
          <w:b/>
        </w:rPr>
        <w:t xml:space="preserve">Annotations</w:t>
      </w:r>
    </w:p>
    <w:p>
      <w:pPr>
        <w:numPr>
          <w:ilvl w:val="1"/>
          <w:numId w:val="1034"/>
        </w:numPr>
        <w:pStyle w:val="Compact"/>
      </w:pPr>
      <w:r>
        <w:rPr>
          <w:rStyle w:val="VerbatimChar"/>
        </w:rPr>
        <w:t xml:space="preserve">p 450 [1]</w:t>
      </w:r>
      <w:r>
        <w:t xml:space="preserve"> </w:t>
      </w:r>
      <w:r>
        <w:t xml:space="preserve">— Without a statutory bill of rights, common law presumptions</w:t>
      </w:r>
      <w:r>
        <w:t xml:space="preserve"> </w:t>
      </w:r>
      <w:r>
        <w:t xml:space="preserve">“</w:t>
      </w:r>
      <w:r>
        <w:t xml:space="preserve">remain Australia’s chief tools for judicial rights protection</w:t>
      </w:r>
      <w:r>
        <w:t xml:space="preserve">”</w:t>
      </w:r>
      <w:r>
        <w:t xml:space="preserve">. The premise of the essay question, stated by a scholar rather than asserted by me. I will open with this and then distinguish the two common law techniques — presumption and remedy — because the prompt only names the second.</w:t>
      </w:r>
    </w:p>
    <w:p>
      <w:pPr>
        <w:numPr>
          <w:ilvl w:val="1"/>
          <w:numId w:val="1034"/>
        </w:numPr>
        <w:pStyle w:val="Compact"/>
      </w:pPr>
      <w:r>
        <w:rPr>
          <w:rStyle w:val="VerbatimChar"/>
        </w:rPr>
        <w:t xml:space="preserve">p 456 n 53 [2]</w:t>
      </w:r>
      <w:r>
        <w:t xml:space="preserve"> </w:t>
      </w:r>
      <w:r>
        <w:t xml:space="preserve">— Spigelman CJ’s catalogue of rebuttable interpretive presumptions</w:t>
      </w:r>
      <w:r>
        <w:t xml:space="preserve"> </w:t>
      </w:r>
      <w:r>
        <w:t xml:space="preserve">“</w:t>
      </w:r>
      <w:r>
        <w:t xml:space="preserve">taken together constitute a</w:t>
      </w:r>
      <w:r>
        <w:t xml:space="preserve"> </w:t>
      </w:r>
      <w:r>
        <w:t xml:space="preserve">‘</w:t>
      </w:r>
      <w:r>
        <w:t xml:space="preserve">common law bill of rights</w:t>
      </w:r>
      <w:r>
        <w:t xml:space="preserve">’</w:t>
      </w:r>
      <w:r>
        <w:t xml:space="preserve">”</w:t>
      </w:r>
      <w:r>
        <w:t xml:space="preserve">. Use once, for the label; then make the point that a bill of rights composed of rebuttable presumptions is a bill of rights Parliament can amend by drafting.</w:t>
      </w:r>
    </w:p>
    <w:p>
      <w:pPr>
        <w:numPr>
          <w:ilvl w:val="1"/>
          <w:numId w:val="1034"/>
        </w:numPr>
        <w:pStyle w:val="Compact"/>
      </w:pPr>
      <w:r>
        <w:rPr>
          <w:rStyle w:val="VerbatimChar"/>
        </w:rPr>
        <w:t xml:space="preserve">p 454 [3]</w:t>
      </w:r>
      <w:r>
        <w:t xml:space="preserve"> </w:t>
      </w:r>
      <w:r>
        <w:t xml:space="preserve">— Personal liberty as a fundamental common law right, with habeas corpus as its corollary remedy. Pairs exactly with Jagot J at [218]: false imprisonment and habeas corpus as</w:t>
      </w:r>
      <w:r>
        <w:t xml:space="preserve"> </w:t>
      </w:r>
      <w:r>
        <w:t xml:space="preserve">“</w:t>
      </w:r>
      <w:r>
        <w:t xml:space="preserve">two powerful common law restraints on unlawful exercises of state power</w:t>
      </w:r>
      <w:r>
        <w:t xml:space="preserve">”</w:t>
      </w:r>
      <w:r>
        <w:t xml:space="preserve">. Habeas looks forward and releases; the tort looks back and compensates. That distinction is worth a sentence and it shows I understand the architecture.</w:t>
      </w:r>
    </w:p>
    <w:p>
      <w:pPr>
        <w:numPr>
          <w:ilvl w:val="1"/>
          <w:numId w:val="1034"/>
        </w:numPr>
        <w:pStyle w:val="Compact"/>
      </w:pPr>
      <w:r>
        <w:rPr>
          <w:rStyle w:val="VerbatimChar"/>
        </w:rPr>
        <w:t xml:space="preserve">pp 460–461 [4]</w:t>
      </w:r>
      <w:r>
        <w:t xml:space="preserve"> </w:t>
      </w:r>
      <w:r>
        <w:t xml:space="preserve">— Abrogation requires</w:t>
      </w:r>
      <w:r>
        <w:t xml:space="preserve"> </w:t>
      </w:r>
      <w:r>
        <w:t xml:space="preserve">“</w:t>
      </w:r>
      <w:r>
        <w:t xml:space="preserve">unmistakable and unambiguous language</w:t>
      </w:r>
      <w:r>
        <w:t xml:space="preserve">”</w:t>
      </w:r>
      <w:r>
        <w:t xml:space="preserve">;</w:t>
      </w:r>
      <w:r>
        <w:t xml:space="preserve"> </w:t>
      </w:r>
      <w:r>
        <w:t xml:space="preserve">“</w:t>
      </w:r>
      <w:r>
        <w:t xml:space="preserve">express words are required</w:t>
      </w:r>
      <w:r>
        <w:t xml:space="preserve">”</w:t>
      </w:r>
      <w:r>
        <w:t xml:space="preserve">. This is the doctrine that decided</w:t>
      </w:r>
      <w:r>
        <w:t xml:space="preserve"> </w:t>
      </w:r>
      <w:r>
        <w:rPr>
          <w:iCs/>
          <w:i/>
        </w:rPr>
        <w:t xml:space="preserve">Al-Kateb</w:t>
      </w:r>
      <w:r>
        <w:t xml:space="preserve"> </w:t>
      </w:r>
      <w:r>
        <w:t xml:space="preserve">against the plaintiff, and it is also the doctrine the plurality invokes in</w:t>
      </w:r>
      <w:r>
        <w:t xml:space="preserve"> </w:t>
      </w:r>
      <w:r>
        <w:rPr>
          <w:iCs/>
          <w:i/>
        </w:rPr>
        <w:t xml:space="preserve">Abdel-Hady</w:t>
      </w:r>
      <w:r>
        <w:t xml:space="preserve"> </w:t>
      </w:r>
      <w:r>
        <w:t xml:space="preserve">at [35] — statutory authority to commit what would otherwise be a tort</w:t>
      </w:r>
      <w:r>
        <w:t xml:space="preserve"> </w:t>
      </w:r>
      <w:r>
        <w:t xml:space="preserve">“</w:t>
      </w:r>
      <w:r>
        <w:t xml:space="preserve">must be clearly expressed in unmistakable and unambiguous language</w:t>
      </w:r>
      <w:r>
        <w:t xml:space="preserve">”</w:t>
      </w:r>
      <w:r>
        <w:t xml:space="preserve"> </w:t>
      </w:r>
      <w:r>
        <w:t xml:space="preserve">(</w:t>
      </w:r>
      <w:r>
        <w:rPr>
          <w:iCs/>
          <w:i/>
        </w:rPr>
        <w:t xml:space="preserve">Coco v The Queen</w:t>
      </w:r>
      <w:r>
        <w:t xml:space="preserve">). The same rule, doing opposite work in the two cases. That is my best single insight from this source.</w:t>
      </w:r>
    </w:p>
    <w:p>
      <w:pPr>
        <w:numPr>
          <w:ilvl w:val="1"/>
          <w:numId w:val="1034"/>
        </w:numPr>
        <w:pStyle w:val="Compact"/>
      </w:pPr>
      <w:r>
        <w:rPr>
          <w:rStyle w:val="VerbatimChar"/>
        </w:rPr>
        <w:t xml:space="preserve">pp 460–463 [5]</w:t>
      </w:r>
      <w:r>
        <w:t xml:space="preserve"> </w:t>
      </w:r>
      <w:r>
        <w:t xml:space="preserve">— The principle is all-or-nothing: no balancing of the right against competing legislative interests. Two consequences for me. It explains the brittleness — once Parliament speaks clearly, protection collapses to zero. And it mirrors the tort: false imprisonment does not balance the state’s interest in detention against the plaintiff’s liberty; it asks only whether there was authority ([221] Jagot J).</w:t>
      </w:r>
    </w:p>
    <w:p>
      <w:pPr>
        <w:numPr>
          <w:ilvl w:val="1"/>
          <w:numId w:val="1034"/>
        </w:numPr>
        <w:pStyle w:val="Compact"/>
      </w:pPr>
      <w:r>
        <w:rPr>
          <w:rStyle w:val="VerbatimChar"/>
        </w:rPr>
        <w:t xml:space="preserve">pp 462–463 [6]</w:t>
      </w:r>
      <w:r>
        <w:t xml:space="preserve"> </w:t>
      </w:r>
      <w:r>
        <w:t xml:space="preserve">— The method works where a right’s content is non-controversial and is problematic for indeterminate rights. Liberty from physical detention is about as determinate as a right gets, which is why both the presumption and the tort operate crisply here. Useful for scope: I will say my argument is about liberty and does not claim to hold for rights with contested content.</w:t>
      </w:r>
    </w:p>
    <w:p>
      <w:pPr>
        <w:numPr>
          <w:ilvl w:val="1"/>
          <w:numId w:val="1034"/>
        </w:numPr>
        <w:pStyle w:val="Compact"/>
      </w:pPr>
      <w:r>
        <w:rPr>
          <w:rStyle w:val="VerbatimChar"/>
        </w:rPr>
        <w:t xml:space="preserve">p 464 [7]</w:t>
      </w:r>
      <w:r>
        <w:t xml:space="preserve"> </w:t>
      </w:r>
      <w:r>
        <w:t xml:space="preserve">— His provisional conclusion that courts have not explained how rights become fundamental or why balancing never occurs. Honest complication: the</w:t>
      </w:r>
      <w:r>
        <w:t xml:space="preserve"> </w:t>
      </w:r>
      <w:r>
        <w:t xml:space="preserve">“</w:t>
      </w:r>
      <w:r>
        <w:t xml:space="preserve">common law bill of rights</w:t>
      </w:r>
      <w:r>
        <w:t xml:space="preserve">”</w:t>
      </w:r>
      <w:r>
        <w:t xml:space="preserve"> </w:t>
      </w:r>
      <w:r>
        <w:t xml:space="preserve">on which the essay premise rests is under-theorised even on its own terms.</w:t>
      </w:r>
    </w:p>
    <w:p>
      <w:pPr>
        <w:numPr>
          <w:ilvl w:val="1"/>
          <w:numId w:val="1034"/>
        </w:numPr>
        <w:pStyle w:val="Compact"/>
      </w:pPr>
      <w:r>
        <w:rPr>
          <w:rStyle w:val="VerbatimChar"/>
        </w:rPr>
        <w:t xml:space="preserve">pp 468–469 [8]</w:t>
      </w:r>
      <w:r>
        <w:t xml:space="preserve"> </w:t>
      </w:r>
      <w:r>
        <w:t xml:space="preserve">— Importing proportionality would make the common law bill of rights function like a statutory bill of rights; and statutory bills of rights bring declarations of incompatibility and public authority obligations that the common law does not have. This is my bridge to the charter sources (17, 20): the difference between common law and charter protection is institutional, not merely a matter of degree.</w:t>
      </w:r>
    </w:p>
    <w:p>
      <w:pPr>
        <w:numPr>
          <w:ilvl w:val="1"/>
          <w:numId w:val="1034"/>
        </w:numPr>
        <w:pStyle w:val="Compact"/>
      </w:pPr>
      <w:r>
        <w:rPr>
          <w:rStyle w:val="VerbatimChar"/>
        </w:rPr>
        <w:t xml:space="preserve">p 467 n 117 [9]</w:t>
      </w:r>
      <w:r>
        <w:t xml:space="preserve"> </w:t>
      </w:r>
      <w:r>
        <w:t xml:space="preserve">— McHugh J’s scepticism about the presumption of consistency with international law. This is the article’s only substantial engagement with</w:t>
      </w:r>
      <w:r>
        <w:t xml:space="preserve"> </w:t>
      </w:r>
      <w:r>
        <w:rPr>
          <w:iCs/>
          <w:i/>
        </w:rPr>
        <w:t xml:space="preserve">Al-Kateb</w:t>
      </w:r>
      <w:r>
        <w:t xml:space="preserve">, and it is a footnote — so I must not overstate the article’s coverage. I will cite Curtin (source 18) for</w:t>
      </w:r>
      <w:r>
        <w:t xml:space="preserve"> </w:t>
      </w:r>
      <w:r>
        <w:rPr>
          <w:iCs/>
          <w:i/>
        </w:rPr>
        <w:t xml:space="preserve">Al-Kateb</w:t>
      </w:r>
      <w:r>
        <w:t xml:space="preserve"> </w:t>
      </w:r>
      <w:r>
        <w:t xml:space="preserve">and Meagher for the principle.</w:t>
      </w:r>
    </w:p>
    <w:p>
      <w:pPr>
        <w:numPr>
          <w:ilvl w:val="1"/>
          <w:numId w:val="1034"/>
        </w:numPr>
        <w:pStyle w:val="Compact"/>
      </w:pPr>
      <w:r>
        <w:rPr>
          <w:rStyle w:val="VerbatimChar"/>
        </w:rPr>
        <w:t xml:space="preserve">pp 477–478 [10]</w:t>
      </w:r>
      <w:r>
        <w:t xml:space="preserve"> </w:t>
      </w:r>
      <w:r>
        <w:t xml:space="preserve">— His conclusion that the principle remains inadequately explained despite its constitutional significance. My closing use: the common law’s protection of liberty is real but under-theorised at both ends — the presumption Meagher critiques, and the remedy</w:t>
      </w:r>
      <w:r>
        <w:t xml:space="preserve"> </w:t>
      </w:r>
      <w:r>
        <w:rPr>
          <w:iCs/>
          <w:i/>
        </w:rPr>
        <w:t xml:space="preserve">Abdel-Hady</w:t>
      </w:r>
      <w:r>
        <w:t xml:space="preserve"> </w:t>
      </w:r>
      <w:r>
        <w:t xml:space="preserve">asserts without resolving quantum.</w:t>
      </w:r>
    </w:p>
    <w:p>
      <w:pPr>
        <w:numPr>
          <w:ilvl w:val="0"/>
          <w:numId w:val="1033"/>
        </w:numPr>
        <w:pStyle w:val="Compact"/>
      </w:pPr>
      <w:r>
        <w:rPr>
          <w:bCs/>
          <w:b/>
        </w:rPr>
        <w:t xml:space="preserve">Best use:</w:t>
      </w:r>
      <w:r>
        <w:t xml:space="preserve"> </w:t>
      </w:r>
      <w:r>
        <w:rPr>
          <w:bCs/>
          <w:b/>
        </w:rPr>
        <w:t xml:space="preserve">L1</w:t>
      </w:r>
      <w:r>
        <w:t xml:space="preserve"> </w:t>
      </w:r>
      <w:r>
        <w:t xml:space="preserve">and</w:t>
      </w:r>
      <w:r>
        <w:t xml:space="preserve"> </w:t>
      </w:r>
      <w:r>
        <w:rPr>
          <w:bCs/>
          <w:b/>
        </w:rPr>
        <w:t xml:space="preserve">L3</w:t>
      </w:r>
      <w:r>
        <w:t xml:space="preserve"> </w:t>
      </w:r>
      <w:r>
        <w:t xml:space="preserve">— the framing paragraph, and the explanation of why the tort was unavailable before</w:t>
      </w:r>
      <w:r>
        <w:t xml:space="preserve"> </w:t>
      </w:r>
      <w:r>
        <w:rPr>
          <w:iCs/>
          <w:i/>
        </w:rPr>
        <w:t xml:space="preserve">NZYQ</w:t>
      </w:r>
      <w:r>
        <w:t xml:space="preserve">. Pairs with source 18 (</w:t>
      </w:r>
      <w:r>
        <w:rPr>
          <w:iCs/>
          <w:i/>
        </w:rPr>
        <w:t xml:space="preserve">Al-Kateb</w:t>
      </w:r>
      <w:r>
        <w:t xml:space="preserve"> </w:t>
      </w:r>
      <w:r>
        <w:t xml:space="preserve">applied) and source 17 (what a charter adds).</w:t>
      </w:r>
    </w:p>
    <w:p>
      <w:pPr>
        <w:numPr>
          <w:ilvl w:val="0"/>
          <w:numId w:val="1033"/>
        </w:numPr>
        <w:pStyle w:val="Heading2"/>
      </w:pPr>
      <w:bookmarkStart w:id="44" w:name="X6fe690080adc2233ed5fa13923d47c2a3bd32d2"/>
      <w:r>
        <w:rPr>
          <w:bCs/>
          <w:b/>
        </w:rPr>
        <w:t xml:space="preserve">Caveats:</w:t>
      </w:r>
      <w:r>
        <w:t xml:space="preserve"> </w:t>
      </w:r>
      <w:r>
        <w:t xml:space="preserve">The article is mainly about method, proportionality, free speech and non-discrimination;</w:t>
      </w:r>
      <w:r>
        <w:t xml:space="preserve"> </w:t>
      </w:r>
      <w:r>
        <w:rPr>
          <w:bCs/>
          <w:b/>
        </w:rPr>
        <w:t xml:space="preserve">it does not analyse</w:t>
      </w:r>
      <w:r>
        <w:rPr>
          <w:bCs/>
          <w:b/>
        </w:rPr>
        <w:t xml:space="preserve"> </w:t>
      </w:r>
      <w:r>
        <w:rPr>
          <w:iCs/>
          <w:i/>
          <w:bCs/>
          <w:b/>
        </w:rPr>
        <w:t xml:space="preserve">Al-Kateb</w:t>
      </w:r>
      <w:r>
        <w:rPr>
          <w:bCs/>
          <w:b/>
        </w:rPr>
        <w:t xml:space="preserve"> </w:t>
      </w:r>
      <w:r>
        <w:rPr>
          <w:bCs/>
          <w:b/>
        </w:rPr>
        <w:t xml:space="preserve">or immigration detention</w:t>
      </w:r>
      <w:r>
        <w:t xml:space="preserve">. Cite it for the principle and its structure only. Anything you say about</w:t>
      </w:r>
      <w:r>
        <w:t xml:space="preserve"> </w:t>
      </w:r>
      <w:r>
        <w:rPr>
          <w:iCs/>
          <w:i/>
        </w:rPr>
        <w:t xml:space="preserve">Al-Kateb</w:t>
      </w:r>
      <w:r>
        <w:t xml:space="preserve"> </w:t>
      </w:r>
      <w:r>
        <w:t xml:space="preserve">must be sourced to the case or to Curtin.</w:t>
      </w:r>
      <w:bookmarkEnd w:id="44"/>
    </w:p>
    <w:bookmarkEnd w:id="45"/>
    <w:bookmarkEnd w:id="46"/>
    <w:bookmarkStart w:id="52" w:name="X5a6ffaae6f895cf5268f311d69a483dc8b11ed5"/>
    <w:p>
      <w:pPr>
        <w:pStyle w:val="Heading2"/>
      </w:pPr>
      <w:r>
        <w:t xml:space="preserve">Theme group V — No charter: what the common law is standing in for</w:t>
      </w:r>
    </w:p>
    <w:bookmarkStart w:id="47" w:name="X24060c7fcd6f8594f2fc9101193c294452609e0"/>
    <w:p>
      <w:pPr>
        <w:pStyle w:val="Heading3"/>
      </w:pPr>
      <w:r>
        <w:t xml:space="preserve">17. The Hon Justice Mark Moshinsky,</w:t>
      </w:r>
      <w:r>
        <w:t xml:space="preserve"> </w:t>
      </w:r>
      <w:r>
        <w:t xml:space="preserve">‘</w:t>
      </w:r>
      <w:r>
        <w:t xml:space="preserve">Charter Remedies</w:t>
      </w:r>
      <w:r>
        <w:t xml:space="preserve">’</w:t>
      </w:r>
      <w:r>
        <w:t xml:space="preserve"> </w:t>
      </w:r>
      <w:r>
        <w:t xml:space="preserve">in Matthew Groves and Colin Campbell (eds),</w:t>
      </w:r>
      <w:r>
        <w:t xml:space="preserve"> </w:t>
      </w:r>
      <w:r>
        <w:rPr>
          <w:iCs/>
          <w:i/>
        </w:rPr>
        <w:t xml:space="preserve">Australian Charters of Rights a Decade On</w:t>
      </w:r>
      <w:r>
        <w:t xml:space="preserve"> </w:t>
      </w:r>
      <w:r>
        <w:t xml:space="preserve">(Federation Press, 2017) ch 5, 69 ●</w:t>
      </w:r>
    </w:p>
    <w:p>
      <w:pPr>
        <w:numPr>
          <w:ilvl w:val="0"/>
          <w:numId w:val="1035"/>
        </w:numPr>
        <w:pStyle w:val="Compact"/>
      </w:pPr>
      <w:r>
        <w:rPr>
          <w:bCs/>
          <w:b/>
        </w:rPr>
        <w:t xml:space="preserve">Access:</w:t>
      </w:r>
      <w:r>
        <w:t xml:space="preserve"> </w:t>
      </w:r>
      <w:r>
        <w:t xml:space="preserve">Free PDF of the chapter on the Federal Court website (</w:t>
      </w:r>
      <w:r>
        <w:rPr>
          <w:rStyle w:val="VerbatimChar"/>
        </w:rPr>
        <w:t xml:space="preserve">fedcourt.gov.au/__data/assets/pdf_file/0007/44791/Australian-Charters-of-Rights-2017.pdf</w:t>
      </w:r>
      <w:r>
        <w:t xml:space="preserve">). Sections: I Introduction (69); II Legislative History of the Victorian Charter Remedies Provision (70); III Legislative History of the ACT Charter Remedies Provision (73); IV Case Law on the Victorian Provision (76); V The Operation of the ACT Provision (80); VI Recommendations for Reform (81).</w:t>
      </w:r>
    </w:p>
    <w:p>
      <w:pPr>
        <w:numPr>
          <w:ilvl w:val="0"/>
          <w:numId w:val="1035"/>
        </w:numPr>
        <w:pStyle w:val="Compact"/>
      </w:pPr>
      <w:r>
        <w:rPr>
          <w:bCs/>
          <w:b/>
        </w:rPr>
        <w:t xml:space="preserve">What it argues:</w:t>
      </w:r>
      <w:r>
        <w:t xml:space="preserve"> </w:t>
      </w:r>
      <w:r>
        <w:t xml:space="preserve">A close study of the remedies provisions in Australia’s two then-operating charters. Section 39(1) of the</w:t>
      </w:r>
      <w:r>
        <w:t xml:space="preserve"> </w:t>
      </w:r>
      <w:r>
        <w:rPr>
          <w:iCs/>
          <w:i/>
        </w:rPr>
        <w:t xml:space="preserve">Charter of Human Rights and Responsibilities Act 2006</w:t>
      </w:r>
      <w:r>
        <w:t xml:space="preserve"> </w:t>
      </w:r>
      <w:r>
        <w:t xml:space="preserve">(Vic) is</w:t>
      </w:r>
      <w:r>
        <w:t xml:space="preserve"> </w:t>
      </w:r>
      <w:r>
        <w:t xml:space="preserve">“</w:t>
      </w:r>
      <w:r>
        <w:t xml:space="preserve">both conditional and supplementary</w:t>
      </w:r>
      <w:r>
        <w:t xml:space="preserve">”</w:t>
      </w:r>
      <w:r>
        <w:t xml:space="preserve">: a person may raise Charter unlawfulness only if,</w:t>
      </w:r>
      <w:r>
        <w:t xml:space="preserve"> </w:t>
      </w:r>
      <w:r>
        <w:t xml:space="preserve">“</w:t>
      </w:r>
      <w:r>
        <w:t xml:space="preserve">otherwise than because of this Charter</w:t>
      </w:r>
      <w:r>
        <w:t xml:space="preserve">”</w:t>
      </w:r>
      <w:r>
        <w:t xml:space="preserve">, they may already seek relief. The Charter itself creates no new cause of action, and s 39(3) states flatly that</w:t>
      </w:r>
      <w:r>
        <w:t xml:space="preserve"> </w:t>
      </w:r>
      <w:r>
        <w:t xml:space="preserve">“</w:t>
      </w:r>
      <w:r>
        <w:t xml:space="preserve">a person is not entitled to be awarded any damages because of a breach of this Charter</w:t>
      </w:r>
      <w:r>
        <w:t xml:space="preserve">”</w:t>
      </w:r>
      <w:r>
        <w:t xml:space="preserve">, while s 39(4) preserves any right to damages arising apart from the section. The ACT model differs in form — s 40C creates a direct right of action — but reaches the same result: the Supreme Court</w:t>
      </w:r>
      <w:r>
        <w:t xml:space="preserve"> </w:t>
      </w:r>
      <w:r>
        <w:t xml:space="preserve">“</w:t>
      </w:r>
      <w:r>
        <w:t xml:space="preserve">may … grant the relief it considers appropriate except damages</w:t>
      </w:r>
      <w:r>
        <w:t xml:space="preserve">”</w:t>
      </w:r>
      <w:r>
        <w:t xml:space="preserve">. The practical upshot, which he states expressly of the ACT provision, is that</w:t>
      </w:r>
      <w:r>
        <w:t xml:space="preserve"> </w:t>
      </w:r>
      <w:r>
        <w:t xml:space="preserve">“</w:t>
      </w:r>
      <w:r>
        <w:t xml:space="preserve">a person can recover damages in respect of a common law cause of action (for example, trespass) where the element of unlawfulness is supplied by a breach of the Act</w:t>
      </w:r>
      <w:r>
        <w:t xml:space="preserve">”</w:t>
      </w:r>
      <w:r>
        <w:t xml:space="preserve">.</w:t>
      </w:r>
    </w:p>
    <w:p>
      <w:pPr>
        <w:numPr>
          <w:ilvl w:val="0"/>
          <w:numId w:val="1035"/>
        </w:numPr>
        <w:pStyle w:val="Compact"/>
      </w:pPr>
      <w:r>
        <w:rPr>
          <w:bCs/>
          <w:b/>
        </w:rPr>
        <w:t xml:space="preserve">Why it survived screening:</w:t>
      </w:r>
      <w:r>
        <w:t xml:space="preserve"> </w:t>
      </w:r>
      <w:r>
        <w:t xml:space="preserve">This is the source that closes the loop on the prompt’s premise. The obvious response to</w:t>
      </w:r>
      <w:r>
        <w:t xml:space="preserve"> </w:t>
      </w:r>
      <w:r>
        <w:t xml:space="preserve">“</w:t>
      </w:r>
      <w:r>
        <w:t xml:space="preserve">Australia has no charter, so tort must do the work</w:t>
      </w:r>
      <w:r>
        <w:t xml:space="preserve">”</w:t>
      </w:r>
      <w:r>
        <w:t xml:space="preserve"> </w:t>
      </w:r>
      <w:r>
        <w:t xml:space="preserve">is: the jurisdictions that</w:t>
      </w:r>
      <w:r>
        <w:t xml:space="preserve"> </w:t>
      </w:r>
      <w:r>
        <w:rPr>
          <w:iCs/>
          <w:i/>
        </w:rPr>
        <w:t xml:space="preserve">do</w:t>
      </w:r>
      <w:r>
        <w:t xml:space="preserve"> </w:t>
      </w:r>
      <w:r>
        <w:t xml:space="preserve">have charters deliberately left the money remedy to tort. That reframes the whole question — the choice is not between tort and a charter, it is between tort and nothing, because Australian charters were designed to keep compensation in private law. I chose this over Jeremy Gans’s fuller academic critique (</w:t>
      </w:r>
      <w:r>
        <w:t xml:space="preserve">‘</w:t>
      </w:r>
      <w:r>
        <w:t xml:space="preserve">The Charter’s Irremediable Remedies Provision</w:t>
      </w:r>
      <w:r>
        <w:t xml:space="preserve">’</w:t>
      </w:r>
      <w:r>
        <w:t xml:space="preserve"> </w:t>
      </w:r>
      <w:r>
        <w:t xml:space="preserve">(2009) 33(1)</w:t>
      </w:r>
      <w:r>
        <w:t xml:space="preserve"> </w:t>
      </w:r>
      <w:r>
        <w:rPr>
          <w:iCs/>
          <w:i/>
        </w:rPr>
        <w:t xml:space="preserve">MULR</w:t>
      </w:r>
      <w:r>
        <w:t xml:space="preserve"> </w:t>
      </w:r>
      <w:r>
        <w:t xml:space="preserve">105) purely on access: this chapter is free and page-verifiable, Gans is not readable outside a subscription. Read Gans if you can get it.</w:t>
      </w:r>
    </w:p>
    <w:p>
      <w:pPr>
        <w:numPr>
          <w:ilvl w:val="0"/>
          <w:numId w:val="1035"/>
        </w:numPr>
        <w:pStyle w:val="Compact"/>
      </w:pPr>
      <w:r>
        <w:rPr>
          <w:bCs/>
          <w:b/>
        </w:rPr>
        <w:t xml:space="preserve">Annotations</w:t>
      </w:r>
    </w:p>
    <w:p>
      <w:pPr>
        <w:numPr>
          <w:ilvl w:val="1"/>
          <w:numId w:val="1036"/>
        </w:numPr>
        <w:pStyle w:val="Compact"/>
      </w:pPr>
      <w:r>
        <w:rPr>
          <w:rStyle w:val="VerbatimChar"/>
        </w:rPr>
        <w:t xml:space="preserve">p 71 [1]</w:t>
      </w:r>
      <w:r>
        <w:t xml:space="preserve"> </w:t>
      </w:r>
      <w:r>
        <w:t xml:space="preserve">— Section 39(3):</w:t>
      </w:r>
      <w:r>
        <w:t xml:space="preserve"> </w:t>
      </w:r>
      <w:r>
        <w:t xml:space="preserve">“</w:t>
      </w:r>
      <w:r>
        <w:t xml:space="preserve">A person is not entitled to be awarded any damages because of a breach of this Charter.</w:t>
      </w:r>
      <w:r>
        <w:t xml:space="preserve">”</w:t>
      </w:r>
      <w:r>
        <w:t xml:space="preserve"> </w:t>
      </w:r>
      <w:r>
        <w:t xml:space="preserve">The single most useful fact in this source. A jurisdiction that legislated for human rights expressly refused to attach damages to them — so tort is not a stopgap for the absence of a charter; it is the compensatory mechanism even where a charter exists.</w:t>
      </w:r>
    </w:p>
    <w:p>
      <w:pPr>
        <w:numPr>
          <w:ilvl w:val="1"/>
          <w:numId w:val="1036"/>
        </w:numPr>
        <w:pStyle w:val="Compact"/>
      </w:pPr>
      <w:r>
        <w:rPr>
          <w:rStyle w:val="VerbatimChar"/>
        </w:rPr>
        <w:t xml:space="preserve">p 71 [2]</w:t>
      </w:r>
      <w:r>
        <w:t xml:space="preserve"> </w:t>
      </w:r>
      <w:r>
        <w:t xml:space="preserve">— Section 39(4):</w:t>
      </w:r>
      <w:r>
        <w:t xml:space="preserve"> </w:t>
      </w:r>
      <w:r>
        <w:t xml:space="preserve">“</w:t>
      </w:r>
      <w:r>
        <w:t xml:space="preserve">Nothing in this section affects any right a person may have to damages apart from the operation of this section.</w:t>
      </w:r>
      <w:r>
        <w:t xml:space="preserve">”</w:t>
      </w:r>
      <w:r>
        <w:t xml:space="preserve"> </w:t>
      </w:r>
      <w:r>
        <w:t xml:space="preserve">The corollary. Compensation is routed</w:t>
      </w:r>
      <w:r>
        <w:t xml:space="preserve"> </w:t>
      </w:r>
      <w:r>
        <w:rPr>
          <w:iCs/>
          <w:i/>
        </w:rPr>
        <w:t xml:space="preserve">out</w:t>
      </w:r>
      <w:r>
        <w:t xml:space="preserve"> </w:t>
      </w:r>
      <w:r>
        <w:t xml:space="preserve">of the rights instrument and back into the general law, which in a detention case means false imprisonment. Read with</w:t>
      </w:r>
      <w:r>
        <w:t xml:space="preserve"> </w:t>
      </w:r>
      <w:r>
        <w:rPr>
          <w:iCs/>
          <w:i/>
        </w:rPr>
        <w:t xml:space="preserve">Abdel-Hady</w:t>
      </w:r>
      <w:r>
        <w:t xml:space="preserve"> </w:t>
      </w:r>
      <w:r>
        <w:t xml:space="preserve">[16]: the elements of the tort, not any rights instrument, are what produced liability.</w:t>
      </w:r>
    </w:p>
    <w:p>
      <w:pPr>
        <w:numPr>
          <w:ilvl w:val="1"/>
          <w:numId w:val="1036"/>
        </w:numPr>
        <w:pStyle w:val="Compact"/>
      </w:pPr>
      <w:r>
        <w:rPr>
          <w:rStyle w:val="VerbatimChar"/>
        </w:rPr>
        <w:t xml:space="preserve">p 71 [3]</w:t>
      </w:r>
      <w:r>
        <w:t xml:space="preserve"> </w:t>
      </w:r>
      <w:r>
        <w:t xml:space="preserve">— The remedies actually available under s 39(1) where its condition is met: judicial review, a declaration of unlawfulness, injunction, stay, exclusion of evidence. Every one of them is prospective or procedural. None compensates a person already detained for 470 days. That contrast is my clearest statement of why the tort is indispensable rather than merely useful.</w:t>
      </w:r>
    </w:p>
    <w:p>
      <w:pPr>
        <w:numPr>
          <w:ilvl w:val="1"/>
          <w:numId w:val="1036"/>
        </w:numPr>
        <w:pStyle w:val="Compact"/>
      </w:pPr>
      <w:r>
        <w:rPr>
          <w:rStyle w:val="VerbatimChar"/>
        </w:rPr>
        <w:t xml:space="preserve">p 70 [4]</w:t>
      </w:r>
      <w:r>
        <w:t xml:space="preserve"> </w:t>
      </w:r>
      <w:r>
        <w:t xml:space="preserve">— Section 39(1)’s text: relief on</w:t>
      </w:r>
      <w:r>
        <w:t xml:space="preserve"> </w:t>
      </w:r>
      <w:r>
        <w:t xml:space="preserve">“</w:t>
      </w:r>
      <w:r>
        <w:t xml:space="preserve">a ground of unlawfulness arising because of this Charter</w:t>
      </w:r>
      <w:r>
        <w:t xml:space="preserve">”</w:t>
      </w:r>
      <w:r>
        <w:t xml:space="preserve">, available only if relief could be sought</w:t>
      </w:r>
      <w:r>
        <w:t xml:space="preserve"> </w:t>
      </w:r>
      <w:r>
        <w:t xml:space="preserve">“</w:t>
      </w:r>
      <w:r>
        <w:t xml:space="preserve">otherwise than because of this Charter</w:t>
      </w:r>
      <w:r>
        <w:t xml:space="preserve">”</w:t>
      </w:r>
      <w:r>
        <w:t xml:space="preserve">. The</w:t>
      </w:r>
      <w:r>
        <w:t xml:space="preserve"> </w:t>
      </w:r>
      <w:r>
        <w:t xml:space="preserve">“</w:t>
      </w:r>
      <w:r>
        <w:t xml:space="preserve">piggy-back</w:t>
      </w:r>
      <w:r>
        <w:t xml:space="preserve">”</w:t>
      </w:r>
      <w:r>
        <w:t xml:space="preserve"> </w:t>
      </w:r>
      <w:r>
        <w:t xml:space="preserve">structure. I will use the word once, in quotation marks, with this pinpoint.</w:t>
      </w:r>
    </w:p>
    <w:p>
      <w:pPr>
        <w:numPr>
          <w:ilvl w:val="1"/>
          <w:numId w:val="1036"/>
        </w:numPr>
        <w:pStyle w:val="Compact"/>
      </w:pPr>
      <w:r>
        <w:rPr>
          <w:rStyle w:val="VerbatimChar"/>
        </w:rPr>
        <w:t xml:space="preserve">p 73 [5]</w:t>
      </w:r>
      <w:r>
        <w:t xml:space="preserve"> </w:t>
      </w:r>
      <w:r>
        <w:t xml:space="preserve">— ACT</w:t>
      </w:r>
      <w:r>
        <w:t xml:space="preserve"> </w:t>
      </w:r>
      <w:r>
        <w:rPr>
          <w:iCs/>
          <w:i/>
        </w:rPr>
        <w:t xml:space="preserve">Human Rights Act 2004</w:t>
      </w:r>
      <w:r>
        <w:t xml:space="preserve"> </w:t>
      </w:r>
      <w:r>
        <w:t xml:space="preserve">s 40C(4): the Supreme Court may grant appropriate relief</w:t>
      </w:r>
      <w:r>
        <w:t xml:space="preserve"> </w:t>
      </w:r>
      <w:r>
        <w:t xml:space="preserve">“</w:t>
      </w:r>
      <w:r>
        <w:t xml:space="preserve">except damages</w:t>
      </w:r>
      <w:r>
        <w:t xml:space="preserve">”</w:t>
      </w:r>
      <w:r>
        <w:t xml:space="preserve">; s 40C(5) preserves existing damages rights. Two charters, two drafting techniques, one result. Strengthens the argument from a single jurisdiction into a pattern.</w:t>
      </w:r>
    </w:p>
    <w:p>
      <w:pPr>
        <w:numPr>
          <w:ilvl w:val="1"/>
          <w:numId w:val="1036"/>
        </w:numPr>
        <w:pStyle w:val="Compact"/>
      </w:pPr>
      <w:r>
        <w:rPr>
          <w:rStyle w:val="VerbatimChar"/>
        </w:rPr>
        <w:t xml:space="preserve">p 80 [6]</w:t>
      </w:r>
      <w:r>
        <w:t xml:space="preserve"> </w:t>
      </w:r>
      <w:r>
        <w:t xml:space="preserve">— The key sentence:</w:t>
      </w:r>
      <w:r>
        <w:t xml:space="preserve"> </w:t>
      </w:r>
      <w:r>
        <w:t xml:space="preserve">“</w:t>
      </w:r>
      <w:r>
        <w:t xml:space="preserve">a person can recover damages in respect of a common law cause of action (for example, trespass) where the element of unlawfulness is supplied by a breach of the Act.</w:t>
      </w:r>
      <w:r>
        <w:t xml:space="preserve">”</w:t>
      </w:r>
      <w:r>
        <w:t xml:space="preserve"> </w:t>
      </w:r>
      <w:r>
        <w:t xml:space="preserve">This is the architecture in one line — the charter supplies unlawfulness, the tort supplies the remedy. It is also, structurally, exactly what happened in</w:t>
      </w:r>
      <w:r>
        <w:t xml:space="preserve"> </w:t>
      </w:r>
      <w:r>
        <w:rPr>
          <w:iCs/>
          <w:i/>
        </w:rPr>
        <w:t xml:space="preserve">Abdel-Hady</w:t>
      </w:r>
      <w:r>
        <w:t xml:space="preserve">: the Constitution (via</w:t>
      </w:r>
      <w:r>
        <w:t xml:space="preserve"> </w:t>
      </w:r>
      <w:r>
        <w:rPr>
          <w:iCs/>
          <w:i/>
        </w:rPr>
        <w:t xml:space="preserve">NZYQ</w:t>
      </w:r>
      <w:r>
        <w:t xml:space="preserve">) supplied the unlawfulness, and false imprisonment supplied the remedy. I will draw that parallel explicitly; it is the most original point I can make from this source.</w:t>
      </w:r>
    </w:p>
    <w:p>
      <w:pPr>
        <w:numPr>
          <w:ilvl w:val="1"/>
          <w:numId w:val="1036"/>
        </w:numPr>
        <w:pStyle w:val="Compact"/>
      </w:pPr>
      <w:r>
        <w:rPr>
          <w:rStyle w:val="VerbatimChar"/>
        </w:rPr>
        <w:t xml:space="preserve">pp 76–80 [7]</w:t>
      </w:r>
      <w:r>
        <w:t xml:space="preserve"> </w:t>
      </w:r>
      <w:r>
        <w:t xml:space="preserve">— The Victorian case law on s 39(1) and its difficulties, including the conclusion that the Charter</w:t>
      </w:r>
      <w:r>
        <w:t xml:space="preserve"> </w:t>
      </w:r>
      <w:r>
        <w:t xml:space="preserve">“</w:t>
      </w:r>
      <w:r>
        <w:t xml:space="preserve">does not create a new remedy</w:t>
      </w:r>
      <w:r>
        <w:t xml:space="preserve">”</w:t>
      </w:r>
      <w:r>
        <w:t xml:space="preserve"> </w:t>
      </w:r>
      <w:r>
        <w:t xml:space="preserve">and that there is</w:t>
      </w:r>
      <w:r>
        <w:t xml:space="preserve"> </w:t>
      </w:r>
      <w:r>
        <w:t xml:space="preserve">“</w:t>
      </w:r>
      <w:r>
        <w:t xml:space="preserve">no new cause of action for breach of any Charter right</w:t>
      </w:r>
      <w:r>
        <w:t xml:space="preserve">”</w:t>
      </w:r>
      <w:r>
        <w:t xml:space="preserve">. Use for one sentence to show the point is settled in practice, not just in text.</w:t>
      </w:r>
    </w:p>
    <w:p>
      <w:pPr>
        <w:numPr>
          <w:ilvl w:val="1"/>
          <w:numId w:val="1036"/>
        </w:numPr>
        <w:pStyle w:val="Compact"/>
      </w:pPr>
      <w:r>
        <w:rPr>
          <w:rStyle w:val="VerbatimChar"/>
        </w:rPr>
        <w:t xml:space="preserve">p 81 [8]</w:t>
      </w:r>
      <w:r>
        <w:t xml:space="preserve"> </w:t>
      </w:r>
      <w:r>
        <w:t xml:space="preserve">— His recommendations for reform of the Victorian provision. Worth a clause: the remedial gap is recognised by a sitting Federal Court judge as needing fixing, which is a respectable authority for the proposition that the current position is deficient rather than merely different.</w:t>
      </w:r>
    </w:p>
    <w:p>
      <w:pPr>
        <w:numPr>
          <w:ilvl w:val="1"/>
          <w:numId w:val="1036"/>
        </w:numPr>
        <w:pStyle w:val="Compact"/>
      </w:pPr>
      <w:r>
        <w:rPr>
          <w:rStyle w:val="VerbatimChar"/>
        </w:rPr>
        <w:t xml:space="preserve">p 69 [9]</w:t>
      </w:r>
      <w:r>
        <w:t xml:space="preserve"> </w:t>
      </w:r>
      <w:r>
        <w:t xml:space="preserve">— Introduction framing. Use if I need a single citation for the proposition that remedies were the most contested and least satisfactory part of the Australian charter model.</w:t>
      </w:r>
    </w:p>
    <w:p>
      <w:pPr>
        <w:numPr>
          <w:ilvl w:val="0"/>
          <w:numId w:val="1035"/>
        </w:numPr>
        <w:pStyle w:val="Compact"/>
      </w:pPr>
      <w:r>
        <w:rPr>
          <w:bCs/>
          <w:b/>
        </w:rPr>
        <w:t xml:space="preserve">Best use:</w:t>
      </w:r>
      <w:r>
        <w:t xml:space="preserve"> </w:t>
      </w:r>
      <w:r>
        <w:rPr>
          <w:bCs/>
          <w:b/>
        </w:rPr>
        <w:t xml:space="preserve">L3</w:t>
      </w:r>
      <w:r>
        <w:t xml:space="preserve">, and it is the source that makes my thesis non-obvious: tort is not filling a gap a charter would fill, because Australian charters were built to leave the gap. Pairs with source 20 (charters that do award damages still under-deliver) and source 3 (tort filling a</w:t>
      </w:r>
      <w:r>
        <w:t xml:space="preserve"> </w:t>
      </w:r>
      <w:r>
        <w:t xml:space="preserve">“</w:t>
      </w:r>
      <w:r>
        <w:t xml:space="preserve">void</w:t>
      </w:r>
      <w:r>
        <w:t xml:space="preserve">”</w:t>
      </w:r>
      <w:r>
        <w:t xml:space="preserve">).</w:t>
      </w:r>
    </w:p>
    <w:p>
      <w:pPr>
        <w:numPr>
          <w:ilvl w:val="0"/>
          <w:numId w:val="1035"/>
        </w:numPr>
        <w:pStyle w:val="Compact"/>
      </w:pPr>
      <w:r>
        <w:rPr>
          <w:bCs/>
          <w:b/>
        </w:rPr>
        <w:t xml:space="preserve">Caveats:</w:t>
      </w:r>
      <w:r>
        <w:t xml:space="preserve"> </w:t>
      </w:r>
      <w:r>
        <w:t xml:space="preserve">2017, so it predates the</w:t>
      </w:r>
      <w:r>
        <w:t xml:space="preserve"> </w:t>
      </w:r>
      <w:r>
        <w:rPr>
          <w:iCs/>
          <w:i/>
        </w:rPr>
        <w:t xml:space="preserve">Human Rights Act 2019</w:t>
      </w:r>
      <w:r>
        <w:t xml:space="preserve"> </w:t>
      </w:r>
      <w:r>
        <w:t xml:space="preserve">(Qld), whose s 59(3) takes the Victorian approach — check the current provision yourself if you mention Queensland, because this chapter does not discuss it. The author is a judge writing in an edited scholarly collection; that is a good-quality secondary source, but describe it accurately (</w:t>
      </w:r>
      <w:r>
        <w:t xml:space="preserve">“</w:t>
      </w:r>
      <w:r>
        <w:t xml:space="preserve">Moshinsky J, writing in Groves and Campbell’s collection</w:t>
      </w:r>
      <w:r>
        <w:t xml:space="preserve">”</w:t>
      </w:r>
      <w:r>
        <w:t xml:space="preserve">) rather than treating it as judicial authority.</w:t>
      </w:r>
    </w:p>
    <w:bookmarkEnd w:id="47"/>
    <w:bookmarkStart w:id="48" w:name="Xc4427278eea5cb31feb98b5832c47c18b6f52f7"/>
    <w:p>
      <w:pPr>
        <w:pStyle w:val="Heading3"/>
      </w:pPr>
      <w:r>
        <w:t xml:space="preserve">18. Juliet Curtin,</w:t>
      </w:r>
      <w:r>
        <w:t xml:space="preserve"> </w:t>
      </w:r>
      <w:r>
        <w:t xml:space="preserve">‘</w:t>
      </w:r>
      <w:r>
        <w:t xml:space="preserve">“</w:t>
      </w:r>
      <w:r>
        <w:t xml:space="preserve">Never Say Never</w:t>
      </w:r>
      <w:r>
        <w:t xml:space="preserve">”</w:t>
      </w:r>
      <w:r>
        <w:t xml:space="preserve">:</w:t>
      </w:r>
      <w:r>
        <w:t xml:space="preserve"> </w:t>
      </w:r>
      <w:r>
        <w:rPr>
          <w:iCs/>
          <w:i/>
        </w:rPr>
        <w:t xml:space="preserve">Al-Kateb v Godwin</w:t>
      </w:r>
      <w:r>
        <w:t xml:space="preserve">’</w:t>
      </w:r>
      <w:r>
        <w:t xml:space="preserve"> </w:t>
      </w:r>
      <w:r>
        <w:t xml:space="preserve">(2005) 27(2)</w:t>
      </w:r>
      <w:r>
        <w:t xml:space="preserve"> </w:t>
      </w:r>
      <w:r>
        <w:rPr>
          <w:iCs/>
          <w:i/>
        </w:rPr>
        <w:t xml:space="preserve">Sydney Law Review</w:t>
      </w:r>
      <w:r>
        <w:t xml:space="preserve"> </w:t>
      </w:r>
      <w:r>
        <w:t xml:space="preserve">355 ◐</w:t>
      </w:r>
    </w:p>
    <w:p>
      <w:pPr>
        <w:numPr>
          <w:ilvl w:val="0"/>
          <w:numId w:val="1037"/>
        </w:numPr>
        <w:pStyle w:val="Compact"/>
      </w:pPr>
      <w:r>
        <w:rPr>
          <w:bCs/>
          <w:b/>
        </w:rPr>
        <w:t xml:space="preserve">Access:</w:t>
      </w:r>
      <w:r>
        <w:t xml:space="preserve"> </w:t>
      </w:r>
      <w:r>
        <w:t xml:space="preserve">AustLII</w:t>
      </w:r>
      <w:r>
        <w:t xml:space="preserve"> </w:t>
      </w:r>
      <w:r>
        <w:rPr>
          <w:rStyle w:val="VerbatimChar"/>
        </w:rPr>
        <w:t xml:space="preserve">[2005] SydLawRw 16</w:t>
      </w:r>
      <w:r>
        <w:t xml:space="preserve">; Sydney Law Review archive.</w:t>
      </w:r>
      <w:r>
        <w:t xml:space="preserve"> </w:t>
      </w:r>
      <w:r>
        <w:rPr>
          <w:bCs/>
          <w:b/>
        </w:rPr>
        <w:t xml:space="preserve">Read in HTML, which does not carry page markers</w:t>
      </w:r>
      <w:r>
        <w:t xml:space="preserve">, so I confirmed the citation, the section structure and the content but</w:t>
      </w:r>
      <w:r>
        <w:t xml:space="preserve"> </w:t>
      </w:r>
      <w:r>
        <w:rPr>
          <w:bCs/>
          <w:b/>
        </w:rPr>
        <w:t xml:space="preserve">could not fix page numbers beyond the 355 start.</w:t>
      </w:r>
      <w:r>
        <w:t xml:space="preserve"> </w:t>
      </w:r>
      <w:r>
        <w:t xml:space="preserve">Every pinpoint below is</w:t>
      </w:r>
      <w:r>
        <w:t xml:space="preserve"> </w:t>
      </w:r>
      <w:r>
        <w:rPr>
          <w:rStyle w:val="VerbatimChar"/>
        </w:rPr>
        <w:t xml:space="preserve">[p ? — confirm]</w:t>
      </w:r>
      <w:r>
        <w:t xml:space="preserve">; locate them in the PDF, which will be paginated from 355 (a case note of roughly ten pages).</w:t>
      </w:r>
    </w:p>
    <w:p>
      <w:pPr>
        <w:numPr>
          <w:ilvl w:val="0"/>
          <w:numId w:val="1037"/>
        </w:numPr>
        <w:pStyle w:val="Compact"/>
      </w:pPr>
      <w:r>
        <w:rPr>
          <w:bCs/>
          <w:b/>
        </w:rPr>
        <w:t xml:space="preserve">What it argues:</w:t>
      </w:r>
      <w:r>
        <w:t xml:space="preserve"> </w:t>
      </w:r>
      <w:r>
        <w:t xml:space="preserve">A case note on</w:t>
      </w:r>
      <w:r>
        <w:t xml:space="preserve"> </w:t>
      </w:r>
      <w:r>
        <w:rPr>
          <w:iCs/>
          <w:i/>
        </w:rPr>
        <w:t xml:space="preserve">Al-Kateb</w:t>
      </w:r>
      <w:r>
        <w:t xml:space="preserve">. The majority held that ss 189, 196 and 198 of the</w:t>
      </w:r>
      <w:r>
        <w:t xml:space="preserve"> </w:t>
      </w:r>
      <w:r>
        <w:rPr>
          <w:iCs/>
          <w:i/>
        </w:rPr>
        <w:t xml:space="preserve">Migration Act</w:t>
      </w:r>
      <w:r>
        <w:t xml:space="preserve"> </w:t>
      </w:r>
      <w:r>
        <w:t xml:space="preserve">required continuing detention of an unlawful non-citizen even where removal had become impracticable, and that so applied the provisions did not contravene Ch III. Curtin’s criticism runs on two tracks. On construction, the majority found</w:t>
      </w:r>
      <w:r>
        <w:t xml:space="preserve"> </w:t>
      </w:r>
      <w:r>
        <w:t xml:space="preserve">“</w:t>
      </w:r>
      <w:r>
        <w:t xml:space="preserve">the words of the three sections are too clear</w:t>
      </w:r>
      <w:r>
        <w:t xml:space="preserve">”</w:t>
      </w:r>
      <w:r>
        <w:t xml:space="preserve"> </w:t>
      </w:r>
      <w:r>
        <w:t xml:space="preserve">to admit a purposive limitation, while Gleeson CJ in dissent applied the settled principle that courts</w:t>
      </w:r>
      <w:r>
        <w:t xml:space="preserve"> </w:t>
      </w:r>
      <w:r>
        <w:t xml:space="preserve">“</w:t>
      </w:r>
      <w:r>
        <w:t xml:space="preserve">do not impute to the legislature an intention to abrogate fundamental rights</w:t>
      </w:r>
      <w:r>
        <w:t xml:space="preserve">”</w:t>
      </w:r>
      <w:r>
        <w:t xml:space="preserve"> </w:t>
      </w:r>
      <w:r>
        <w:t xml:space="preserve">without</w:t>
      </w:r>
      <w:r>
        <w:t xml:space="preserve"> </w:t>
      </w:r>
      <w:r>
        <w:t xml:space="preserve">“</w:t>
      </w:r>
      <w:r>
        <w:t xml:space="preserve">unmistakable and unambiguous language</w:t>
      </w:r>
      <w:r>
        <w:t xml:space="preserve">”</w:t>
      </w:r>
      <w:r>
        <w:t xml:space="preserve"> </w:t>
      </w:r>
      <w:r>
        <w:t xml:space="preserve">— and lost, because the majority read the text as clear enough to displace the presumption. On the constitutional question, McHugh J recharacterised the detention as a law</w:t>
      </w:r>
      <w:r>
        <w:t xml:space="preserve"> </w:t>
      </w:r>
      <w:r>
        <w:t xml:space="preserve">“</w:t>
      </w:r>
      <w:r>
        <w:t xml:space="preserve">with respect to</w:t>
      </w:r>
      <w:r>
        <w:t xml:space="preserve">”</w:t>
      </w:r>
      <w:r>
        <w:t xml:space="preserve"> </w:t>
      </w:r>
      <w:r>
        <w:t xml:space="preserve">the aliens power rather than incidental to removal, which avoided the Ch III constraint, while Gummow J answered that the Executive cannot unilaterally determine when the purpose of removal has expired and that</w:t>
      </w:r>
      <w:r>
        <w:t xml:space="preserve"> </w:t>
      </w:r>
      <w:r>
        <w:t xml:space="preserve">“</w:t>
      </w:r>
      <w:r>
        <w:t xml:space="preserve">there is often no clear line between punitive and non-punitive detention</w:t>
      </w:r>
      <w:r>
        <w:t xml:space="preserve">”</w:t>
      </w:r>
      <w:r>
        <w:t xml:space="preserve">. She also records McHugh J’s insistence that it is</w:t>
      </w:r>
      <w:r>
        <w:t xml:space="preserve"> </w:t>
      </w:r>
      <w:r>
        <w:t xml:space="preserve">“</w:t>
      </w:r>
      <w:r>
        <w:t xml:space="preserve">not for courts … to determine whether the course taken by Parliament is unjust or contrary to human rights</w:t>
      </w:r>
      <w:r>
        <w:t xml:space="preserve">”</w:t>
      </w:r>
      <w:r>
        <w:t xml:space="preserve">, his dismissal of international law reliance as</w:t>
      </w:r>
      <w:r>
        <w:t xml:space="preserve"> </w:t>
      </w:r>
      <w:r>
        <w:t xml:space="preserve">“</w:t>
      </w:r>
      <w:r>
        <w:t xml:space="preserve">heretical</w:t>
      </w:r>
      <w:r>
        <w:t xml:space="preserve">”</w:t>
      </w:r>
      <w:r>
        <w:t xml:space="preserve">, and Kirby J’s contrary view.</w:t>
      </w:r>
    </w:p>
    <w:p>
      <w:pPr>
        <w:numPr>
          <w:ilvl w:val="0"/>
          <w:numId w:val="1037"/>
        </w:numPr>
        <w:pStyle w:val="Compact"/>
      </w:pPr>
      <w:r>
        <w:rPr>
          <w:bCs/>
          <w:b/>
        </w:rPr>
        <w:t xml:space="preserve">Why it survived screening:</w:t>
      </w:r>
      <w:r>
        <w:t xml:space="preserve"> </w:t>
      </w:r>
      <w:r>
        <w:t xml:space="preserve">Every claim you make about the</w:t>
      </w:r>
      <w:r>
        <w:t xml:space="preserve"> </w:t>
      </w:r>
      <w:r>
        <w:rPr>
          <w:iCs/>
          <w:i/>
        </w:rPr>
        <w:t xml:space="preserve">limits</w:t>
      </w:r>
      <w:r>
        <w:t xml:space="preserve"> </w:t>
      </w:r>
      <w:r>
        <w:t xml:space="preserve">of tort law in this essay depends on understanding why the same detention was lawful in 2004 and unlawful in 2026. Curtin explains the 2004 reasoning from inside, and she does so in the terms the essay needs: clear words defeating the liberty presumption, and a Court declining to be the institution that protects rights. It is also the source that makes McHugh J’s</w:t>
      </w:r>
      <w:r>
        <w:t xml:space="preserve"> </w:t>
      </w:r>
      <w:r>
        <w:t xml:space="preserve">“</w:t>
      </w:r>
      <w:r>
        <w:t xml:space="preserve">no bill of rights</w:t>
      </w:r>
      <w:r>
        <w:t xml:space="preserve">”</w:t>
      </w:r>
      <w:r>
        <w:t xml:space="preserve"> </w:t>
      </w:r>
      <w:r>
        <w:t xml:space="preserve">theme citable.</w:t>
      </w:r>
    </w:p>
    <w:p>
      <w:pPr>
        <w:numPr>
          <w:ilvl w:val="0"/>
          <w:numId w:val="1037"/>
        </w:numPr>
        <w:pStyle w:val="Compact"/>
      </w:pPr>
      <w:r>
        <w:rPr>
          <w:bCs/>
          <w:b/>
        </w:rPr>
        <w:t xml:space="preserve">Annotations</w:t>
      </w:r>
      <w:r>
        <w:t xml:space="preserve"> </w:t>
      </w:r>
      <w:r>
        <w:rPr>
          <w:iCs/>
          <w:i/>
        </w:rPr>
        <w:t xml:space="preserve">(pages unconfirmed)</w:t>
      </w:r>
    </w:p>
    <w:p>
      <w:pPr>
        <w:numPr>
          <w:ilvl w:val="1"/>
          <w:numId w:val="1038"/>
        </w:numPr>
        <w:pStyle w:val="Compact"/>
      </w:pPr>
      <w:r>
        <w:rPr>
          <w:rStyle w:val="VerbatimChar"/>
        </w:rPr>
        <w:t xml:space="preserve">[1 — confirm]</w:t>
      </w:r>
      <w:r>
        <w:t xml:space="preserve"> </w:t>
      </w:r>
      <w:r>
        <w:t xml:space="preserve">— The majority’s construction:</w:t>
      </w:r>
      <w:r>
        <w:t xml:space="preserve"> </w:t>
      </w:r>
      <w:r>
        <w:t xml:space="preserve">“</w:t>
      </w:r>
      <w:r>
        <w:t xml:space="preserve">the words of the three sections are too clear</w:t>
      </w:r>
      <w:r>
        <w:t xml:space="preserve">”</w:t>
      </w:r>
      <w:r>
        <w:t xml:space="preserve"> </w:t>
      </w:r>
      <w:r>
        <w:t xml:space="preserve">to permit a purposive limitation. This is the sentence that made the tort unavailable. Where a statute clearly authorises detention, false imprisonment has a complete answer (Rock and Weeks, source 8, p 1161). Nineteen years of lawful indefinite detention followed from a question of construction.</w:t>
      </w:r>
    </w:p>
    <w:p>
      <w:pPr>
        <w:numPr>
          <w:ilvl w:val="1"/>
          <w:numId w:val="1038"/>
        </w:numPr>
        <w:pStyle w:val="Compact"/>
      </w:pPr>
      <w:r>
        <w:rPr>
          <w:rStyle w:val="VerbatimChar"/>
        </w:rPr>
        <w:t xml:space="preserve">[2 — confirm]</w:t>
      </w:r>
      <w:r>
        <w:t xml:space="preserve"> </w:t>
      </w:r>
      <w:r>
        <w:t xml:space="preserve">— Gleeson CJ’s dissent invoking the presumption against abrogating fundamental rights absent</w:t>
      </w:r>
      <w:r>
        <w:t xml:space="preserve"> </w:t>
      </w:r>
      <w:r>
        <w:t xml:space="preserve">“</w:t>
      </w:r>
      <w:r>
        <w:t xml:space="preserve">unmistakable and unambiguous language</w:t>
      </w:r>
      <w:r>
        <w:t xml:space="preserve">”</w:t>
      </w:r>
      <w:r>
        <w:t xml:space="preserve">, and Curtin’s point that the majority</w:t>
      </w:r>
      <w:r>
        <w:t xml:space="preserve"> </w:t>
      </w:r>
      <w:r>
        <w:t xml:space="preserve">“</w:t>
      </w:r>
      <w:r>
        <w:t xml:space="preserve">privileged an interpretation that flowed against the presumption</w:t>
      </w:r>
      <w:r>
        <w:t xml:space="preserve">”</w:t>
      </w:r>
      <w:r>
        <w:t xml:space="preserve">. Read with Meagher (source 16) at 460–461: the principle of legality is a real protection that a sufficiently clear statute simply defeats. My strongest evidence that common law protection of liberty is contingent on drafting.</w:t>
      </w:r>
    </w:p>
    <w:p>
      <w:pPr>
        <w:numPr>
          <w:ilvl w:val="1"/>
          <w:numId w:val="1038"/>
        </w:numPr>
        <w:pStyle w:val="Compact"/>
      </w:pPr>
      <w:r>
        <w:rPr>
          <w:rStyle w:val="VerbatimChar"/>
        </w:rPr>
        <w:t xml:space="preserve">[3 — confirm]</w:t>
      </w:r>
      <w:r>
        <w:t xml:space="preserve"> </w:t>
      </w:r>
      <w:r>
        <w:t xml:space="preserve">— McHugh J’s recharacterisation of the detention as a law</w:t>
      </w:r>
      <w:r>
        <w:t xml:space="preserve"> </w:t>
      </w:r>
      <w:r>
        <w:t xml:space="preserve">“</w:t>
      </w:r>
      <w:r>
        <w:t xml:space="preserve">with respect to</w:t>
      </w:r>
      <w:r>
        <w:t xml:space="preserve">”</w:t>
      </w:r>
      <w:r>
        <w:t xml:space="preserve"> </w:t>
      </w:r>
      <w:r>
        <w:t xml:space="preserve">the aliens power, escaping the Ch III limit; Hayne J’s</w:t>
      </w:r>
      <w:r>
        <w:t xml:space="preserve"> </w:t>
      </w:r>
      <w:r>
        <w:t xml:space="preserve">“</w:t>
      </w:r>
      <w:r>
        <w:t xml:space="preserve">segregation from the community by detention in the meantime</w:t>
      </w:r>
      <w:r>
        <w:t xml:space="preserve">”</w:t>
      </w:r>
      <w:r>
        <w:t xml:space="preserve">. This is the holding</w:t>
      </w:r>
      <w:r>
        <w:t xml:space="preserve"> </w:t>
      </w:r>
      <w:r>
        <w:rPr>
          <w:iCs/>
          <w:i/>
        </w:rPr>
        <w:t xml:space="preserve">NZYQ</w:t>
      </w:r>
      <w:r>
        <w:t xml:space="preserve"> </w:t>
      </w:r>
      <w:r>
        <w:t xml:space="preserve">overruled, and therefore the precise legal fact that converted Abdel-Hady’s detention into a tort ([4]–[5], [54]).</w:t>
      </w:r>
    </w:p>
    <w:p>
      <w:pPr>
        <w:numPr>
          <w:ilvl w:val="1"/>
          <w:numId w:val="1038"/>
        </w:numPr>
        <w:pStyle w:val="Compact"/>
      </w:pPr>
      <w:r>
        <w:rPr>
          <w:rStyle w:val="VerbatimChar"/>
        </w:rPr>
        <w:t xml:space="preserve">[4 — confirm]</w:t>
      </w:r>
      <w:r>
        <w:t xml:space="preserve"> </w:t>
      </w:r>
      <w:r>
        <w:t xml:space="preserve">— Gummow J:</w:t>
      </w:r>
      <w:r>
        <w:t xml:space="preserve"> </w:t>
      </w:r>
      <w:r>
        <w:t xml:space="preserve">“</w:t>
      </w:r>
      <w:r>
        <w:t xml:space="preserve">there is often no clear line between punitive and non-punitive detention</w:t>
      </w:r>
      <w:r>
        <w:t xml:space="preserve">”</w:t>
      </w:r>
      <w:r>
        <w:t xml:space="preserve">. The dissent that became the law — first in</w:t>
      </w:r>
      <w:r>
        <w:t xml:space="preserve"> </w:t>
      </w:r>
      <w:r>
        <w:rPr>
          <w:iCs/>
          <w:i/>
        </w:rPr>
        <w:t xml:space="preserve">NZYQ</w:t>
      </w:r>
      <w:r>
        <w:t xml:space="preserve">, then in</w:t>
      </w:r>
      <w:r>
        <w:t xml:space="preserve"> </w:t>
      </w:r>
      <w:r>
        <w:rPr>
          <w:iCs/>
          <w:i/>
        </w:rPr>
        <w:t xml:space="preserve">YBFZ</w:t>
      </w:r>
      <w:r>
        <w:t xml:space="preserve"> </w:t>
      </w:r>
      <w:r>
        <w:t xml:space="preserve">on curfews and monitoring. Useful for showing that the liberty protection in this area is judicially constructed and reversible, in both directions.</w:t>
      </w:r>
    </w:p>
    <w:p>
      <w:pPr>
        <w:numPr>
          <w:ilvl w:val="1"/>
          <w:numId w:val="1038"/>
        </w:numPr>
        <w:pStyle w:val="Compact"/>
      </w:pPr>
      <w:r>
        <w:rPr>
          <w:rStyle w:val="VerbatimChar"/>
        </w:rPr>
        <w:t xml:space="preserve">[5 — confirm]</w:t>
      </w:r>
      <w:r>
        <w:t xml:space="preserve"> </w:t>
      </w:r>
      <w:r>
        <w:t xml:space="preserve">— McHugh J:</w:t>
      </w:r>
      <w:r>
        <w:t xml:space="preserve"> </w:t>
      </w:r>
      <w:r>
        <w:t xml:space="preserve">“</w:t>
      </w:r>
      <w:r>
        <w:t xml:space="preserve">It is not for courts … to determine whether the course taken by Parliament is unjust or contrary to human rights</w:t>
      </w:r>
      <w:r>
        <w:t xml:space="preserve">”</w:t>
      </w:r>
      <w:r>
        <w:t xml:space="preserve">, and his description of reliance on international law as</w:t>
      </w:r>
      <w:r>
        <w:t xml:space="preserve"> </w:t>
      </w:r>
      <w:r>
        <w:t xml:space="preserve">“</w:t>
      </w:r>
      <w:r>
        <w:t xml:space="preserve">heretical</w:t>
      </w:r>
      <w:r>
        <w:t xml:space="preserve">”</w:t>
      </w:r>
      <w:r>
        <w:t xml:space="preserve">. The clearest statement of the institutional position the essay premise assumes. Contrast</w:t>
      </w:r>
      <w:r>
        <w:t xml:space="preserve"> </w:t>
      </w:r>
      <w:r>
        <w:rPr>
          <w:iCs/>
          <w:i/>
        </w:rPr>
        <w:t xml:space="preserve">Abdel-Hady</w:t>
      </w:r>
      <w:r>
        <w:t xml:space="preserve"> </w:t>
      </w:r>
      <w:r>
        <w:t xml:space="preserve">[7], where the same Court holds that no development of the common law may be inconsistent with constitutional principle — the Court will not create rights, but it will enforce limits.</w:t>
      </w:r>
    </w:p>
    <w:p>
      <w:pPr>
        <w:numPr>
          <w:ilvl w:val="1"/>
          <w:numId w:val="1038"/>
        </w:numPr>
        <w:pStyle w:val="Compact"/>
      </w:pPr>
      <w:r>
        <w:rPr>
          <w:rStyle w:val="VerbatimChar"/>
        </w:rPr>
        <w:t xml:space="preserve">[6 — confirm]</w:t>
      </w:r>
      <w:r>
        <w:t xml:space="preserve"> </w:t>
      </w:r>
      <w:r>
        <w:t xml:space="preserve">— Kirby J’s view that the Constitution should be read so far as possible commensurately with international law, and his criticism of the majority’s</w:t>
      </w:r>
      <w:r>
        <w:t xml:space="preserve"> </w:t>
      </w:r>
      <w:r>
        <w:t xml:space="preserve">“</w:t>
      </w:r>
      <w:r>
        <w:t xml:space="preserve">juridical introspection</w:t>
      </w:r>
      <w:r>
        <w:t xml:space="preserve">”</w:t>
      </w:r>
      <w:r>
        <w:t xml:space="preserve">. One sentence at most; the international-law debate is a detour from my question unless I use it to make the</w:t>
      </w:r>
      <w:r>
        <w:t xml:space="preserve"> </w:t>
      </w:r>
      <w:r>
        <w:t xml:space="preserve">“</w:t>
      </w:r>
      <w:r>
        <w:t xml:space="preserve">no charter</w:t>
      </w:r>
      <w:r>
        <w:t xml:space="preserve">”</w:t>
      </w:r>
      <w:r>
        <w:t xml:space="preserve"> </w:t>
      </w:r>
      <w:r>
        <w:t xml:space="preserve">point.</w:t>
      </w:r>
    </w:p>
    <w:p>
      <w:pPr>
        <w:numPr>
          <w:ilvl w:val="1"/>
          <w:numId w:val="1038"/>
        </w:numPr>
        <w:pStyle w:val="Compact"/>
      </w:pPr>
      <w:r>
        <w:rPr>
          <w:rStyle w:val="VerbatimChar"/>
        </w:rPr>
        <w:t xml:space="preserve">[7 — confirm]</w:t>
      </w:r>
      <w:r>
        <w:t xml:space="preserve"> </w:t>
      </w:r>
      <w:r>
        <w:t xml:space="preserve">— Her record of the UN Human Rights Committee’s findings that detention under s 196 was</w:t>
      </w:r>
      <w:r>
        <w:t xml:space="preserve"> </w:t>
      </w:r>
      <w:r>
        <w:t xml:space="preserve">“</w:t>
      </w:r>
      <w:r>
        <w:t xml:space="preserve">arbitrary</w:t>
      </w:r>
      <w:r>
        <w:t xml:space="preserve">”</w:t>
      </w:r>
      <w:r>
        <w:t xml:space="preserve"> </w:t>
      </w:r>
      <w:r>
        <w:t xml:space="preserve">within art 9 of the ICCPR. This is the limit that survives</w:t>
      </w:r>
      <w:r>
        <w:t xml:space="preserve"> </w:t>
      </w:r>
      <w:r>
        <w:rPr>
          <w:iCs/>
          <w:i/>
        </w:rPr>
        <w:t xml:space="preserve">Abdel-Hady</w:t>
      </w:r>
      <w:r>
        <w:t xml:space="preserve"> </w:t>
      </w:r>
      <w:r>
        <w:t xml:space="preserve">entirely: the tort responds to unlawful detention, not to arbitrary-but-lawful detention.</w:t>
      </w:r>
      <w:r>
        <w:t xml:space="preserve"> </w:t>
      </w:r>
      <w:r>
        <w:rPr>
          <w:iCs/>
          <w:i/>
        </w:rPr>
        <w:t xml:space="preserve">ASF17 v Commonwealth</w:t>
      </w:r>
      <w:r>
        <w:t xml:space="preserve"> </w:t>
      </w:r>
      <w:r>
        <w:t xml:space="preserve">(2024) is the modern illustration. Probably my second-best limit point after damages.</w:t>
      </w:r>
    </w:p>
    <w:p>
      <w:pPr>
        <w:numPr>
          <w:ilvl w:val="1"/>
          <w:numId w:val="1038"/>
        </w:numPr>
        <w:pStyle w:val="Compact"/>
      </w:pPr>
      <w:r>
        <w:rPr>
          <w:rStyle w:val="VerbatimChar"/>
        </w:rPr>
        <w:t xml:space="preserve">[8 — confirm]</w:t>
      </w:r>
      <w:r>
        <w:t xml:space="preserve"> </w:t>
      </w:r>
      <w:r>
        <w:t xml:space="preserve">— Curtin’s characterisation of the majority’s approach as</w:t>
      </w:r>
      <w:r>
        <w:t xml:space="preserve"> </w:t>
      </w:r>
      <w:r>
        <w:t xml:space="preserve">“</w:t>
      </w:r>
      <w:r>
        <w:t xml:space="preserve">literal and reactive</w:t>
      </w:r>
      <w:r>
        <w:t xml:space="preserve">”</w:t>
      </w:r>
      <w:r>
        <w:t xml:space="preserve">, privileging</w:t>
      </w:r>
      <w:r>
        <w:t xml:space="preserve"> </w:t>
      </w:r>
      <w:r>
        <w:t xml:space="preserve">“</w:t>
      </w:r>
      <w:r>
        <w:t xml:space="preserve">text over context</w:t>
      </w:r>
      <w:r>
        <w:t xml:space="preserve">”</w:t>
      </w:r>
      <w:r>
        <w:t xml:space="preserve">. Use with care — it is her evaluation, and I should mark it as contested rather than adopt it as fact.</w:t>
      </w:r>
    </w:p>
    <w:p>
      <w:pPr>
        <w:numPr>
          <w:ilvl w:val="1"/>
          <w:numId w:val="1038"/>
        </w:numPr>
        <w:pStyle w:val="Compact"/>
      </w:pPr>
      <w:r>
        <w:rPr>
          <w:rStyle w:val="VerbatimChar"/>
        </w:rPr>
        <w:t xml:space="preserve">[9 — confirm]</w:t>
      </w:r>
      <w:r>
        <w:t xml:space="preserve"> </w:t>
      </w:r>
      <w:r>
        <w:t xml:space="preserve">— Her conclusion (the title’s</w:t>
      </w:r>
      <w:r>
        <w:t xml:space="preserve"> </w:t>
      </w:r>
      <w:r>
        <w:t xml:space="preserve">“</w:t>
      </w:r>
      <w:r>
        <w:t xml:space="preserve">never say never</w:t>
      </w:r>
      <w:r>
        <w:t xml:space="preserve">”</w:t>
      </w:r>
      <w:r>
        <w:t xml:space="preserve"> </w:t>
      </w:r>
      <w:r>
        <w:t xml:space="preserve">suggests she anticipated the position might change). If she does foreshadow reconsideration, that is a satisfying frame: the tort’s availability in 2026 depended on a possibility a commentator identified in 2005 and the Court took nineteen years to act on.</w:t>
      </w:r>
    </w:p>
    <w:p>
      <w:pPr>
        <w:numPr>
          <w:ilvl w:val="0"/>
          <w:numId w:val="1037"/>
        </w:numPr>
        <w:pStyle w:val="Compact"/>
      </w:pPr>
      <w:r>
        <w:rPr>
          <w:bCs/>
          <w:b/>
        </w:rPr>
        <w:t xml:space="preserve">Best use:</w:t>
      </w:r>
      <w:r>
        <w:t xml:space="preserve"> </w:t>
      </w:r>
      <w:r>
        <w:rPr>
          <w:bCs/>
          <w:b/>
        </w:rPr>
        <w:t xml:space="preserve">L1</w:t>
      </w:r>
      <w:r>
        <w:t xml:space="preserve"> </w:t>
      </w:r>
      <w:r>
        <w:t xml:space="preserve">— the historical demonstration that the tort’s protection is derivative. Pairs with source 16 (the principle it failed to apply) and source 19 (what happened after the correction).</w:t>
      </w:r>
    </w:p>
    <w:p>
      <w:pPr>
        <w:numPr>
          <w:ilvl w:val="0"/>
          <w:numId w:val="1037"/>
        </w:numPr>
        <w:pStyle w:val="Compact"/>
      </w:pPr>
      <w:r>
        <w:rPr>
          <w:bCs/>
          <w:b/>
        </w:rPr>
        <w:t xml:space="preserve">Caveats:</w:t>
      </w:r>
      <w:r>
        <w:t xml:space="preserve"> </w:t>
      </w:r>
      <w:r>
        <w:t xml:space="preserve">Page numbers unconfirmed — this is the most important verification task on the list, because a case note’s pinpoints are easy to get wrong and easy for a marker to check. It is a 2005 case note, so its predictions and its account of the law are of their time; cite it for the</w:t>
      </w:r>
      <w:r>
        <w:t xml:space="preserve"> </w:t>
      </w:r>
      <w:r>
        <w:rPr>
          <w:iCs/>
          <w:i/>
        </w:rPr>
        <w:t xml:space="preserve">Al-Kateb</w:t>
      </w:r>
      <w:r>
        <w:t xml:space="preserve"> </w:t>
      </w:r>
      <w:r>
        <w:t xml:space="preserve">reasoning and its critique, not for the current law.</w:t>
      </w:r>
    </w:p>
    <w:bookmarkEnd w:id="48"/>
    <w:bookmarkStart w:id="49" w:name="Xab3ee98c8ad0b8584cc3cc65c73671281e49099"/>
    <w:p>
      <w:pPr>
        <w:pStyle w:val="Heading3"/>
      </w:pPr>
      <w:r>
        <w:t xml:space="preserve">19. Tamara Tulich, Mary Anne Kenny and Sarah Murray,</w:t>
      </w:r>
      <w:r>
        <w:t xml:space="preserve"> </w:t>
      </w:r>
      <w:r>
        <w:t xml:space="preserve">‘</w:t>
      </w:r>
      <w:r>
        <w:t xml:space="preserve">The Changing Landscape of Immigration Detention in Australia: Preventive</w:t>
      </w:r>
      <w:r>
        <w:t xml:space="preserve"> </w:t>
      </w:r>
      <w:r>
        <w:t xml:space="preserve">“</w:t>
      </w:r>
      <w:r>
        <w:t xml:space="preserve">Crimmigration</w:t>
      </w:r>
      <w:r>
        <w:t xml:space="preserve">”</w:t>
      </w:r>
      <w:r>
        <w:t xml:space="preserve"> </w:t>
      </w:r>
      <w:r>
        <w:t xml:space="preserve">and the Legislative Response to</w:t>
      </w:r>
      <w:r>
        <w:t xml:space="preserve"> </w:t>
      </w:r>
      <w:r>
        <w:rPr>
          <w:iCs/>
          <w:i/>
        </w:rPr>
        <w:t xml:space="preserve">NZYQ</w:t>
      </w:r>
      <w:r>
        <w:t xml:space="preserve">’</w:t>
      </w:r>
      <w:r>
        <w:t xml:space="preserve"> </w:t>
      </w:r>
      <w:r>
        <w:t xml:space="preserve">(2026) 38(1)</w:t>
      </w:r>
      <w:r>
        <w:t xml:space="preserve"> </w:t>
      </w:r>
      <w:r>
        <w:rPr>
          <w:iCs/>
          <w:i/>
        </w:rPr>
        <w:t xml:space="preserve">International Journal of Refugee Law</w:t>
      </w:r>
      <w:r>
        <w:t xml:space="preserve"> </w:t>
      </w:r>
      <w:r>
        <w:t xml:space="preserve">25 ●</w:t>
      </w:r>
    </w:p>
    <w:p>
      <w:pPr>
        <w:numPr>
          <w:ilvl w:val="0"/>
          <w:numId w:val="1039"/>
        </w:numPr>
        <w:pStyle w:val="Compact"/>
      </w:pPr>
      <w:r>
        <w:rPr>
          <w:bCs/>
          <w:b/>
        </w:rPr>
        <w:t xml:space="preserve">Access:</w:t>
      </w:r>
      <w:r>
        <w:t xml:space="preserve"> </w:t>
      </w:r>
      <w:r>
        <w:t xml:space="preserve">Oxford University Press (</w:t>
      </w:r>
      <w:r>
        <w:rPr>
          <w:rStyle w:val="VerbatimChar"/>
        </w:rPr>
        <w:t xml:space="preserve">doi.org/10.1093/ijrl/eeaf053</w:t>
      </w:r>
      <w:r>
        <w:t xml:space="preserve">); Macquarie Library should have IJRL. Pages 25–45. Sections: 1 Introduction; 2 Preventive</w:t>
      </w:r>
      <w:r>
        <w:t xml:space="preserve"> </w:t>
      </w:r>
      <w:r>
        <w:t xml:space="preserve">‘</w:t>
      </w:r>
      <w:r>
        <w:t xml:space="preserve">Crimmigration</w:t>
      </w:r>
      <w:r>
        <w:t xml:space="preserve">’</w:t>
      </w:r>
      <w:r>
        <w:t xml:space="preserve"> </w:t>
      </w:r>
      <w:r>
        <w:t xml:space="preserve">and International Refugee Law (27); 3 Immigration Detention in Australia,</w:t>
      </w:r>
      <w:r>
        <w:t xml:space="preserve"> </w:t>
      </w:r>
      <w:r>
        <w:rPr>
          <w:iCs/>
          <w:i/>
        </w:rPr>
        <w:t xml:space="preserve">Al-Kateb</w:t>
      </w:r>
      <w:r>
        <w:t xml:space="preserve"> </w:t>
      </w:r>
      <w:r>
        <w:t xml:space="preserve">to</w:t>
      </w:r>
      <w:r>
        <w:t xml:space="preserve"> </w:t>
      </w:r>
      <w:r>
        <w:rPr>
          <w:iCs/>
          <w:i/>
        </w:rPr>
        <w:t xml:space="preserve">NZYQ</w:t>
      </w:r>
      <w:r>
        <w:t xml:space="preserve"> </w:t>
      </w:r>
      <w:r>
        <w:t xml:space="preserve">and</w:t>
      </w:r>
      <w:r>
        <w:t xml:space="preserve"> </w:t>
      </w:r>
      <w:r>
        <w:rPr>
          <w:iCs/>
          <w:i/>
        </w:rPr>
        <w:t xml:space="preserve">ASF17</w:t>
      </w:r>
      <w:r>
        <w:t xml:space="preserve"> </w:t>
      </w:r>
      <w:r>
        <w:t xml:space="preserve">(31); 4 The Legislative Response to</w:t>
      </w:r>
      <w:r>
        <w:t xml:space="preserve"> </w:t>
      </w:r>
      <w:r>
        <w:rPr>
          <w:iCs/>
          <w:i/>
        </w:rPr>
        <w:t xml:space="preserve">NZYQ</w:t>
      </w:r>
      <w:r>
        <w:t xml:space="preserve"> </w:t>
      </w:r>
      <w:r>
        <w:t xml:space="preserve">(33) — 4.1 A Bespoke Bridging Visa Regime, 4.2 Community Safety Orders, 4.3 Expanding powers to send people offshore and the duty to cooperate with removal (37); 5 New Frontiers in Preventive</w:t>
      </w:r>
      <w:r>
        <w:t xml:space="preserve"> </w:t>
      </w:r>
      <w:r>
        <w:t xml:space="preserve">‘</w:t>
      </w:r>
      <w:r>
        <w:t xml:space="preserve">Crimmigration</w:t>
      </w:r>
      <w:r>
        <w:t xml:space="preserve">’</w:t>
      </w:r>
      <w:r>
        <w:t xml:space="preserve"> </w:t>
      </w:r>
      <w:r>
        <w:t xml:space="preserve">(42); 6 Conclusion.</w:t>
      </w:r>
    </w:p>
    <w:p>
      <w:pPr>
        <w:numPr>
          <w:ilvl w:val="0"/>
          <w:numId w:val="1039"/>
        </w:numPr>
        <w:pStyle w:val="Compact"/>
      </w:pPr>
      <w:r>
        <w:rPr>
          <w:bCs/>
          <w:b/>
        </w:rPr>
        <w:t xml:space="preserve">What it argues:</w:t>
      </w:r>
      <w:r>
        <w:t xml:space="preserve"> </w:t>
      </w:r>
      <w:r>
        <w:t xml:space="preserve">Australia is in a long contest between courts, executive and Parliament over migration control, and</w:t>
      </w:r>
      <w:r>
        <w:t xml:space="preserve"> </w:t>
      </w:r>
      <w:r>
        <w:t xml:space="preserve">“</w:t>
      </w:r>
      <w:r>
        <w:t xml:space="preserve">in the absence of a constitutionally entrenched Bill of Rights, asylum seekers have relied on administrative law and fragmented constitutional arguments to contest the limits of immigration detention</w:t>
      </w:r>
      <w:r>
        <w:t xml:space="preserve">”</w:t>
      </w:r>
      <w:r>
        <w:t xml:space="preserve">.</w:t>
      </w:r>
      <w:r>
        <w:t xml:space="preserve"> </w:t>
      </w:r>
      <w:r>
        <w:rPr>
          <w:iCs/>
          <w:i/>
        </w:rPr>
        <w:t xml:space="preserve">NZYQ</w:t>
      </w:r>
      <w:r>
        <w:t xml:space="preserve"> </w:t>
      </w:r>
      <w:r>
        <w:t xml:space="preserve">released about 300 detainees; the legislative response was</w:t>
      </w:r>
      <w:r>
        <w:t xml:space="preserve"> </w:t>
      </w:r>
      <w:r>
        <w:t xml:space="preserve">“</w:t>
      </w:r>
      <w:r>
        <w:t xml:space="preserve">swift and intemperate</w:t>
      </w:r>
      <w:r>
        <w:t xml:space="preserve">”</w:t>
      </w:r>
      <w:r>
        <w:t xml:space="preserve">. A bespoke bridging visa regime imposed curfews and electronic monitoring, backed by new offences carrying a mandatory minimum of twelve months’ imprisonment. In</w:t>
      </w:r>
      <w:r>
        <w:t xml:space="preserve"> </w:t>
      </w:r>
      <w:r>
        <w:rPr>
          <w:iCs/>
          <w:i/>
        </w:rPr>
        <w:t xml:space="preserve">YBFZ</w:t>
      </w:r>
      <w:r>
        <w:t xml:space="preserve"> </w:t>
      </w:r>
      <w:r>
        <w:t xml:space="preserve">the High Court held the curfew and monitoring conditions invalid as</w:t>
      </w:r>
      <w:r>
        <w:t xml:space="preserve"> </w:t>
      </w:r>
      <w:r>
        <w:t xml:space="preserve">“</w:t>
      </w:r>
      <w:r>
        <w:t xml:space="preserve">extra-judicial collective punishment</w:t>
      </w:r>
      <w:r>
        <w:t xml:space="preserve">”</w:t>
      </w:r>
      <w:r>
        <w:t xml:space="preserve"> </w:t>
      </w:r>
      <w:r>
        <w:t xml:space="preserve">interfering with</w:t>
      </w:r>
      <w:r>
        <w:t xml:space="preserve"> </w:t>
      </w:r>
      <w:r>
        <w:t xml:space="preserve">“</w:t>
      </w:r>
      <w:r>
        <w:t xml:space="preserve">liberty or bodily integrity</w:t>
      </w:r>
      <w:r>
        <w:t xml:space="preserve">”</w:t>
      </w:r>
      <w:r>
        <w:t xml:space="preserve">; within under a month the government introduced a replacement Bill. Further legislation created a duty to cooperate with removal, criminalised non-compliance with a mandatory minimum of twelve months, and authorised removal to third countries — and, critically,</w:t>
      </w:r>
      <w:r>
        <w:t xml:space="preserve"> </w:t>
      </w:r>
      <w:r>
        <w:t xml:space="preserve">“</w:t>
      </w:r>
      <w:r>
        <w:t xml:space="preserve">excludes civil liability for the removal and treatment of individuals in third countries, effectively giving the government immunity</w:t>
      </w:r>
      <w:r>
        <w:t xml:space="preserve">”</w:t>
      </w:r>
      <w:r>
        <w:t xml:space="preserve">. The first use of that power was an arrangement with Nauru announced on 16 February 2025.</w:t>
      </w:r>
    </w:p>
    <w:p>
      <w:pPr>
        <w:numPr>
          <w:ilvl w:val="0"/>
          <w:numId w:val="1039"/>
        </w:numPr>
        <w:pStyle w:val="Compact"/>
      </w:pPr>
      <w:r>
        <w:rPr>
          <w:bCs/>
          <w:b/>
        </w:rPr>
        <w:t xml:space="preserve">Why it survived screening:</w:t>
      </w:r>
      <w:r>
        <w:t xml:space="preserve"> </w:t>
      </w:r>
      <w:r>
        <w:t xml:space="preserve">It is the only source on the list that shows what happens</w:t>
      </w:r>
      <w:r>
        <w:t xml:space="preserve"> </w:t>
      </w:r>
      <w:r>
        <w:rPr>
          <w:iCs/>
          <w:i/>
        </w:rPr>
        <w:t xml:space="preserve">after</w:t>
      </w:r>
      <w:r>
        <w:t xml:space="preserve"> </w:t>
      </w:r>
      <w:r>
        <w:t xml:space="preserve">a liberty victory, and it contains the single most damaging fact for any triumphalist reading of</w:t>
      </w:r>
      <w:r>
        <w:t xml:space="preserve"> </w:t>
      </w:r>
      <w:r>
        <w:rPr>
          <w:iCs/>
          <w:i/>
        </w:rPr>
        <w:t xml:space="preserve">Abdel-Hady</w:t>
      </w:r>
      <w:r>
        <w:t xml:space="preserve">: Parliament has already legislated to exclude civil liability in the successor regime. The High Court in</w:t>
      </w:r>
      <w:r>
        <w:t xml:space="preserve"> </w:t>
      </w:r>
      <w:r>
        <w:rPr>
          <w:iCs/>
          <w:i/>
        </w:rPr>
        <w:t xml:space="preserve">Abdel-Hady</w:t>
      </w:r>
      <w:r>
        <w:t xml:space="preserve"> </w:t>
      </w:r>
      <w:r>
        <w:t xml:space="preserve">said the officer’s hardship</w:t>
      </w:r>
      <w:r>
        <w:t xml:space="preserve"> </w:t>
      </w:r>
      <w:r>
        <w:t xml:space="preserve">“</w:t>
      </w:r>
      <w:r>
        <w:t xml:space="preserve">may to some extent be ameliorated by legislation</w:t>
      </w:r>
      <w:r>
        <w:t xml:space="preserve">”</w:t>
      </w:r>
      <w:r>
        <w:t xml:space="preserve"> </w:t>
      </w:r>
      <w:r>
        <w:t xml:space="preserve">([41]). This article shows Parliament using that same power in the opposite direction — to remove the plaintiff’s remedy rather than the officer’s exposure. Recent, peer-reviewed, and squarely about the same statutory scheme.</w:t>
      </w:r>
    </w:p>
    <w:p>
      <w:pPr>
        <w:numPr>
          <w:ilvl w:val="0"/>
          <w:numId w:val="1039"/>
        </w:numPr>
        <w:pStyle w:val="Compact"/>
      </w:pPr>
      <w:r>
        <w:rPr>
          <w:bCs/>
          <w:b/>
        </w:rPr>
        <w:t xml:space="preserve">Annotations</w:t>
      </w:r>
    </w:p>
    <w:p>
      <w:pPr>
        <w:numPr>
          <w:ilvl w:val="1"/>
          <w:numId w:val="1040"/>
        </w:numPr>
        <w:pStyle w:val="Compact"/>
      </w:pPr>
      <w:r>
        <w:rPr>
          <w:rStyle w:val="VerbatimChar"/>
        </w:rPr>
        <w:t xml:space="preserve">p 25 [1]</w:t>
      </w:r>
      <w:r>
        <w:t xml:space="preserve"> </w:t>
      </w:r>
      <w:r>
        <w:t xml:space="preserve">—</w:t>
      </w:r>
      <w:r>
        <w:t xml:space="preserve"> </w:t>
      </w:r>
      <w:r>
        <w:t xml:space="preserve">“</w:t>
      </w:r>
      <w:r>
        <w:t xml:space="preserve">In the absence of a constitutionally entrenched Bill of Rights, asylum seekers have relied on administrative law and fragmented constitutional arguments to contest the limits of immigration detention.</w:t>
      </w:r>
      <w:r>
        <w:t xml:space="preserve">”</w:t>
      </w:r>
      <w:r>
        <w:t xml:space="preserve"> </w:t>
      </w:r>
      <w:r>
        <w:t xml:space="preserve">The essay premise, from a 2026 peer-reviewed source.</w:t>
      </w:r>
      <w:r>
        <w:t xml:space="preserve"> </w:t>
      </w:r>
      <w:r>
        <w:t xml:space="preserve">“</w:t>
      </w:r>
      <w:r>
        <w:t xml:space="preserve">Fragmented</w:t>
      </w:r>
      <w:r>
        <w:t xml:space="preserve">”</w:t>
      </w:r>
      <w:r>
        <w:t xml:space="preserve"> </w:t>
      </w:r>
      <w:r>
        <w:t xml:space="preserve">is the word I want:</w:t>
      </w:r>
      <w:r>
        <w:t xml:space="preserve"> </w:t>
      </w:r>
      <w:r>
        <w:rPr>
          <w:iCs/>
          <w:i/>
        </w:rPr>
        <w:t xml:space="preserve">Abdel-Hady</w:t>
      </w:r>
      <w:r>
        <w:t xml:space="preserve"> </w:t>
      </w:r>
      <w:r>
        <w:t xml:space="preserve">is one fragment.</w:t>
      </w:r>
    </w:p>
    <w:p>
      <w:pPr>
        <w:numPr>
          <w:ilvl w:val="1"/>
          <w:numId w:val="1040"/>
        </w:numPr>
        <w:pStyle w:val="Compact"/>
      </w:pPr>
      <w:r>
        <w:rPr>
          <w:rStyle w:val="VerbatimChar"/>
        </w:rPr>
        <w:t xml:space="preserve">p 32 [2]</w:t>
      </w:r>
      <w:r>
        <w:t xml:space="preserve"> </w:t>
      </w:r>
      <w:r>
        <w:t xml:space="preserve">—</w:t>
      </w:r>
      <w:r>
        <w:t xml:space="preserve"> </w:t>
      </w:r>
      <w:r>
        <w:t xml:space="preserve">“</w:t>
      </w:r>
      <w:r>
        <w:t xml:space="preserve">The Constitution does not contain a Bill of Rights. That was the choice of the framers … Chapter III, accordingly, does not embody any conception of free-standing rights.</w:t>
      </w:r>
      <w:r>
        <w:t xml:space="preserve">”</w:t>
      </w:r>
      <w:r>
        <w:t xml:space="preserve"> </w:t>
      </w:r>
      <w:r>
        <w:t xml:space="preserve">Decisive for my framing. The liberty protection in</w:t>
      </w:r>
      <w:r>
        <w:t xml:space="preserve"> </w:t>
      </w:r>
      <w:r>
        <w:rPr>
          <w:iCs/>
          <w:i/>
        </w:rPr>
        <w:t xml:space="preserve">NZYQ</w:t>
      </w:r>
      <w:r>
        <w:t xml:space="preserve"> </w:t>
      </w:r>
      <w:r>
        <w:t xml:space="preserve">and</w:t>
      </w:r>
      <w:r>
        <w:t xml:space="preserve"> </w:t>
      </w:r>
      <w:r>
        <w:rPr>
          <w:iCs/>
          <w:i/>
        </w:rPr>
        <w:t xml:space="preserve">Abdel-Hady</w:t>
      </w:r>
      <w:r>
        <w:t xml:space="preserve"> </w:t>
      </w:r>
      <w:r>
        <w:t xml:space="preserve">is a by-product of the separation of judicial power, not a right. It follows that the tort enforces a structural limit on power, not a human right — which is a more precise thesis than the prompt’s own language and shows critical engagement.</w:t>
      </w:r>
    </w:p>
    <w:p>
      <w:pPr>
        <w:numPr>
          <w:ilvl w:val="1"/>
          <w:numId w:val="1040"/>
        </w:numPr>
        <w:pStyle w:val="Compact"/>
      </w:pPr>
      <w:r>
        <w:rPr>
          <w:rStyle w:val="VerbatimChar"/>
        </w:rPr>
        <w:t xml:space="preserve">p 34 [3]</w:t>
      </w:r>
      <w:r>
        <w:t xml:space="preserve"> </w:t>
      </w:r>
      <w:r>
        <w:t xml:space="preserve">— The first response: new offences with</w:t>
      </w:r>
      <w:r>
        <w:t xml:space="preserve"> </w:t>
      </w:r>
      <w:r>
        <w:t xml:space="preserve">“</w:t>
      </w:r>
      <w:r>
        <w:t xml:space="preserve">a mandatory minimum sentence of 12 months’ imprisonment</w:t>
      </w:r>
      <w:r>
        <w:t xml:space="preserve">”</w:t>
      </w:r>
      <w:r>
        <w:t xml:space="preserve"> </w:t>
      </w:r>
      <w:r>
        <w:t xml:space="preserve">for breach of Bridging Visa R conditions, and monitoring and curfew conditions that</w:t>
      </w:r>
      <w:r>
        <w:t xml:space="preserve"> </w:t>
      </w:r>
      <w:r>
        <w:t xml:space="preserve">“</w:t>
      </w:r>
      <w:r>
        <w:t xml:space="preserve">must be imposed unless the Minister is satisfied that the visa holder</w:t>
      </w:r>
      <w:r>
        <w:t xml:space="preserve"> </w:t>
      </w:r>
      <w:r>
        <w:t xml:space="preserve">‘</w:t>
      </w:r>
      <w:r>
        <w:t xml:space="preserve">does not pose a risk to the community</w:t>
      </w:r>
      <w:r>
        <w:t xml:space="preserve">’</w:t>
      </w:r>
      <w:r>
        <w:t xml:space="preserve">”</w:t>
      </w:r>
      <w:r>
        <w:t xml:space="preserve">. The people</w:t>
      </w:r>
      <w:r>
        <w:t xml:space="preserve"> </w:t>
      </w:r>
      <w:r>
        <w:rPr>
          <w:iCs/>
          <w:i/>
        </w:rPr>
        <w:t xml:space="preserve">NZYQ</w:t>
      </w:r>
      <w:r>
        <w:t xml:space="preserve"> </w:t>
      </w:r>
      <w:r>
        <w:t xml:space="preserve">freed were re-subjected to control by another route. Deprivation of liberty was relocated, not ended.</w:t>
      </w:r>
    </w:p>
    <w:p>
      <w:pPr>
        <w:numPr>
          <w:ilvl w:val="1"/>
          <w:numId w:val="1040"/>
        </w:numPr>
        <w:pStyle w:val="Compact"/>
      </w:pPr>
      <w:r>
        <w:rPr>
          <w:rStyle w:val="VerbatimChar"/>
        </w:rPr>
        <w:t xml:space="preserve">p 35 [4]</w:t>
      </w:r>
      <w:r>
        <w:t xml:space="preserve"> </w:t>
      </w:r>
      <w:r>
        <w:t xml:space="preserve">— Figures as at July 2025: 90 people (25 per cent) under electronic monitoring, 45 (13 per cent) under curfews. Concrete, current, and citable — better than my adjectives.</w:t>
      </w:r>
    </w:p>
    <w:p>
      <w:pPr>
        <w:numPr>
          <w:ilvl w:val="1"/>
          <w:numId w:val="1040"/>
        </w:numPr>
        <w:pStyle w:val="Compact"/>
      </w:pPr>
      <w:r>
        <w:rPr>
          <w:rStyle w:val="VerbatimChar"/>
        </w:rPr>
        <w:t xml:space="preserve">pp 35–36 [5]</w:t>
      </w:r>
      <w:r>
        <w:t xml:space="preserve"> </w:t>
      </w:r>
      <w:r>
        <w:t xml:space="preserve">—</w:t>
      </w:r>
      <w:r>
        <w:t xml:space="preserve"> </w:t>
      </w:r>
      <w:r>
        <w:rPr>
          <w:iCs/>
          <w:i/>
        </w:rPr>
        <w:t xml:space="preserve">YBFZ</w:t>
      </w:r>
      <w:r>
        <w:t xml:space="preserve">: the conditions were invalid, amounting to</w:t>
      </w:r>
      <w:r>
        <w:t xml:space="preserve"> </w:t>
      </w:r>
      <w:r>
        <w:t xml:space="preserve">“</w:t>
      </w:r>
      <w:r>
        <w:t xml:space="preserve">extra-judicial collective punishment</w:t>
      </w:r>
      <w:r>
        <w:t xml:space="preserve">”</w:t>
      </w:r>
      <w:r>
        <w:t xml:space="preserve"> </w:t>
      </w:r>
      <w:r>
        <w:t xml:space="preserve">interfering with</w:t>
      </w:r>
      <w:r>
        <w:t xml:space="preserve"> </w:t>
      </w:r>
      <w:r>
        <w:t xml:space="preserve">“</w:t>
      </w:r>
      <w:r>
        <w:t xml:space="preserve">liberty or bodily integrity</w:t>
      </w:r>
      <w:r>
        <w:t xml:space="preserve">”</w:t>
      </w:r>
      <w:r>
        <w:t xml:space="preserve">. So the Court corrected the response too — a genuine strength of the Ch III mechanism. But note what did</w:t>
      </w:r>
      <w:r>
        <w:t xml:space="preserve"> </w:t>
      </w:r>
      <w:r>
        <w:rPr>
          <w:iCs/>
          <w:i/>
        </w:rPr>
        <w:t xml:space="preserve">not</w:t>
      </w:r>
      <w:r>
        <w:t xml:space="preserve"> </w:t>
      </w:r>
      <w:r>
        <w:t xml:space="preserve">follow: no damages for those monitored in the interim, because there is no nominate tort for being made to wear an ankle bracelet under an invalid visa condition. Rock and Weeks (source 8, p 1161) explains why. This is my best illustration of the gap between constitutional invalidity and tortious remedy.</w:t>
      </w:r>
    </w:p>
    <w:p>
      <w:pPr>
        <w:numPr>
          <w:ilvl w:val="1"/>
          <w:numId w:val="1040"/>
        </w:numPr>
        <w:pStyle w:val="Compact"/>
      </w:pPr>
      <w:r>
        <w:rPr>
          <w:rStyle w:val="VerbatimChar"/>
        </w:rPr>
        <w:t xml:space="preserve">p 36 [6]</w:t>
      </w:r>
      <w:r>
        <w:t xml:space="preserve"> </w:t>
      </w:r>
      <w:r>
        <w:t xml:space="preserve">— The replacement Bill introduced</w:t>
      </w:r>
      <w:r>
        <w:t xml:space="preserve"> </w:t>
      </w:r>
      <w:r>
        <w:t xml:space="preserve">“</w:t>
      </w:r>
      <w:r>
        <w:t xml:space="preserve">within under a month</w:t>
      </w:r>
      <w:r>
        <w:t xml:space="preserve">”</w:t>
      </w:r>
      <w:r>
        <w:t xml:space="preserve">, permitting conditions</w:t>
      </w:r>
      <w:r>
        <w:t xml:space="preserve"> </w:t>
      </w:r>
      <w:r>
        <w:t xml:space="preserve">“</w:t>
      </w:r>
      <w:r>
        <w:t xml:space="preserve">reasonably necessary</w:t>
      </w:r>
      <w:r>
        <w:t xml:space="preserve">”</w:t>
      </w:r>
      <w:r>
        <w:t xml:space="preserve"> </w:t>
      </w:r>
      <w:r>
        <w:t xml:space="preserve">and adapted to</w:t>
      </w:r>
      <w:r>
        <w:t xml:space="preserve"> </w:t>
      </w:r>
      <w:r>
        <w:t xml:space="preserve">“</w:t>
      </w:r>
      <w:r>
        <w:t xml:space="preserve">protecting any part of the Australian community from serious harm</w:t>
      </w:r>
      <w:r>
        <w:t xml:space="preserve">”</w:t>
      </w:r>
      <w:r>
        <w:t xml:space="preserve">. The speed is the point: judicial correction is slow and specific, legislative response is fast and general.</w:t>
      </w:r>
    </w:p>
    <w:p>
      <w:pPr>
        <w:numPr>
          <w:ilvl w:val="1"/>
          <w:numId w:val="1040"/>
        </w:numPr>
        <w:pStyle w:val="Compact"/>
      </w:pPr>
      <w:r>
        <w:rPr>
          <w:rStyle w:val="VerbatimChar"/>
        </w:rPr>
        <w:t xml:space="preserve">p 37 [7]</w:t>
      </w:r>
      <w:r>
        <w:t xml:space="preserve"> </w:t>
      </w:r>
      <w:r>
        <w:t xml:space="preserve">— The duty to cooperate with removal: non-compliance without reasonable excuse is a criminal offence with a mandatory minimum of twelve months and a maximum of five years. Read with</w:t>
      </w:r>
      <w:r>
        <w:t xml:space="preserve"> </w:t>
      </w:r>
      <w:r>
        <w:rPr>
          <w:iCs/>
          <w:i/>
        </w:rPr>
        <w:t xml:space="preserve">ASF17</w:t>
      </w:r>
      <w:r>
        <w:t xml:space="preserve"> </w:t>
      </w:r>
      <w:r>
        <w:t xml:space="preserve">— where detention remains lawful because the detainee</w:t>
      </w:r>
      <w:r>
        <w:t xml:space="preserve"> </w:t>
      </w:r>
      <w:r>
        <w:t xml:space="preserve">“</w:t>
      </w:r>
      <w:r>
        <w:t xml:space="preserve">chooses</w:t>
      </w:r>
      <w:r>
        <w:t xml:space="preserve">”</w:t>
      </w:r>
      <w:r>
        <w:t xml:space="preserve"> </w:t>
      </w:r>
      <w:r>
        <w:t xml:space="preserve">not to cooperate — this shows the constitutional limit, and therefore the tort, stops well short of protecting liberty in substance.</w:t>
      </w:r>
    </w:p>
    <w:p>
      <w:pPr>
        <w:numPr>
          <w:ilvl w:val="1"/>
          <w:numId w:val="1040"/>
        </w:numPr>
        <w:pStyle w:val="Compact"/>
      </w:pPr>
      <w:r>
        <w:rPr>
          <w:rStyle w:val="VerbatimChar"/>
        </w:rPr>
        <w:t xml:space="preserve">p 38 [8]</w:t>
      </w:r>
      <w:r>
        <w:t xml:space="preserve"> </w:t>
      </w:r>
      <w:r>
        <w:t xml:space="preserve">—</w:t>
      </w:r>
      <w:r>
        <w:t xml:space="preserve"> </w:t>
      </w:r>
      <w:r>
        <w:rPr>
          <w:bCs/>
          <w:b/>
        </w:rPr>
        <w:t xml:space="preserve">The key finding:</w:t>
      </w:r>
      <w:r>
        <w:t xml:space="preserve"> </w:t>
      </w:r>
      <w:r>
        <w:t xml:space="preserve">the third-country removal legislation</w:t>
      </w:r>
      <w:r>
        <w:t xml:space="preserve"> </w:t>
      </w:r>
      <w:r>
        <w:t xml:space="preserve">“</w:t>
      </w:r>
      <w:r>
        <w:t xml:space="preserve">excludes civil liability for the removal and treatment of individuals in third countries, effectively giving the government immunity</w:t>
      </w:r>
      <w:r>
        <w:t xml:space="preserve">”</w:t>
      </w:r>
      <w:r>
        <w:t xml:space="preserve">. This is the paragraph my conclusion turns on. The common law refused an immunity in</w:t>
      </w:r>
      <w:r>
        <w:t xml:space="preserve"> </w:t>
      </w:r>
      <w:r>
        <w:rPr>
          <w:iCs/>
          <w:i/>
        </w:rPr>
        <w:t xml:space="preserve">Abdel-Hady</w:t>
      </w:r>
      <w:r>
        <w:t xml:space="preserve">; Parliament granted itself one by statute for the successor regime. The tort’s protection lasts exactly as long as Parliament allows.</w:t>
      </w:r>
    </w:p>
    <w:p>
      <w:pPr>
        <w:numPr>
          <w:ilvl w:val="1"/>
          <w:numId w:val="1040"/>
        </w:numPr>
        <w:pStyle w:val="Compact"/>
      </w:pPr>
      <w:r>
        <w:rPr>
          <w:rStyle w:val="VerbatimChar"/>
        </w:rPr>
        <w:t xml:space="preserve">p 39 [9]</w:t>
      </w:r>
      <w:r>
        <w:t xml:space="preserve"> </w:t>
      </w:r>
      <w:r>
        <w:t xml:space="preserve">— First use of the power: an agreement with Nauru to</w:t>
      </w:r>
      <w:r>
        <w:t xml:space="preserve"> </w:t>
      </w:r>
      <w:r>
        <w:t xml:space="preserve">“</w:t>
      </w:r>
      <w:r>
        <w:t xml:space="preserve">resettle</w:t>
      </w:r>
      <w:r>
        <w:t xml:space="preserve">”</w:t>
      </w:r>
      <w:r>
        <w:t xml:space="preserve"> </w:t>
      </w:r>
      <w:r>
        <w:t xml:space="preserve">three non-citizens, announced 16 February 2025. One clause, for concreteness.</w:t>
      </w:r>
    </w:p>
    <w:p>
      <w:pPr>
        <w:numPr>
          <w:ilvl w:val="1"/>
          <w:numId w:val="1040"/>
        </w:numPr>
        <w:pStyle w:val="Compact"/>
      </w:pPr>
      <w:r>
        <w:rPr>
          <w:rStyle w:val="VerbatimChar"/>
        </w:rPr>
        <w:t xml:space="preserve">p 40 [10]</w:t>
      </w:r>
      <w:r>
        <w:t xml:space="preserve"> </w:t>
      </w:r>
      <w:r>
        <w:t xml:space="preserve">— Their concern that</w:t>
      </w:r>
      <w:r>
        <w:t xml:space="preserve"> </w:t>
      </w:r>
      <w:r>
        <w:t xml:space="preserve">“</w:t>
      </w:r>
      <w:r>
        <w:t xml:space="preserve">the absence of a clear pathway to permanency, together with delegation of future status decisions to Nauruan authorities, may leave individuals in prolonged legal limbo</w:t>
      </w:r>
      <w:r>
        <w:t xml:space="preserve">”</w:t>
      </w:r>
      <w:r>
        <w:t xml:space="preserve">. Also raises the jurisdictional problem: once the detainer is a foreign state or a contractor abroad, even a strict tort struggles to find a defendant.</w:t>
      </w:r>
    </w:p>
    <w:p>
      <w:pPr>
        <w:numPr>
          <w:ilvl w:val="1"/>
          <w:numId w:val="1040"/>
        </w:numPr>
        <w:pStyle w:val="Compact"/>
      </w:pPr>
      <w:r>
        <w:rPr>
          <w:rStyle w:val="VerbatimChar"/>
        </w:rPr>
        <w:t xml:space="preserve">p 43 [11]</w:t>
      </w:r>
      <w:r>
        <w:t xml:space="preserve"> </w:t>
      </w:r>
      <w:r>
        <w:t xml:space="preserve">—</w:t>
      </w:r>
      <w:r>
        <w:t xml:space="preserve"> </w:t>
      </w:r>
      <w:r>
        <w:t xml:space="preserve">“</w:t>
      </w:r>
      <w:r>
        <w:t xml:space="preserve">Enemy crimmigration</w:t>
      </w:r>
      <w:r>
        <w:t xml:space="preserve">”</w:t>
      </w:r>
      <w:r>
        <w:t xml:space="preserve">: non-citizen offenders treated as</w:t>
      </w:r>
      <w:r>
        <w:t xml:space="preserve"> </w:t>
      </w:r>
      <w:r>
        <w:t xml:space="preserve">“</w:t>
      </w:r>
      <w:r>
        <w:t xml:space="preserve">existential risks, irredeemable risks, that can only be controlled through extraordinary measures outside the criminal justice framework</w:t>
      </w:r>
      <w:r>
        <w:t xml:space="preserve">”</w:t>
      </w:r>
      <w:r>
        <w:t xml:space="preserve">. Explains the political economy that makes legislative rerouting predictable rather than accidental — and therefore why a court-and-tort model of rights protection is structurally on the back foot.</w:t>
      </w:r>
    </w:p>
    <w:p>
      <w:pPr>
        <w:numPr>
          <w:ilvl w:val="1"/>
          <w:numId w:val="1040"/>
        </w:numPr>
        <w:pStyle w:val="Compact"/>
      </w:pPr>
      <w:r>
        <w:rPr>
          <w:rStyle w:val="VerbatimChar"/>
        </w:rPr>
        <w:t xml:space="preserve">p 43 [12]</w:t>
      </w:r>
      <w:r>
        <w:t xml:space="preserve"> </w:t>
      </w:r>
      <w:r>
        <w:t xml:space="preserve">— Their argument that prevention in this context blurs</w:t>
      </w:r>
      <w:r>
        <w:t xml:space="preserve"> </w:t>
      </w:r>
      <w:r>
        <w:t xml:space="preserve">“</w:t>
      </w:r>
      <w:r>
        <w:t xml:space="preserve">the lines between crime control, security, counter-terrorism, and immigration laws</w:t>
      </w:r>
      <w:r>
        <w:t xml:space="preserve">”</w:t>
      </w:r>
      <w:r>
        <w:t xml:space="preserve">. Background; probably a footnote rather than text, given 1,500 words.</w:t>
      </w:r>
    </w:p>
    <w:p>
      <w:pPr>
        <w:numPr>
          <w:ilvl w:val="0"/>
          <w:numId w:val="1039"/>
        </w:numPr>
        <w:pStyle w:val="Compact"/>
      </w:pPr>
      <w:r>
        <w:rPr>
          <w:bCs/>
          <w:b/>
        </w:rPr>
        <w:t xml:space="preserve">Best use:</w:t>
      </w:r>
      <w:r>
        <w:t xml:space="preserve"> </w:t>
      </w:r>
      <w:r>
        <w:rPr>
          <w:bCs/>
          <w:b/>
        </w:rPr>
        <w:t xml:space="preserve">L3</w:t>
      </w:r>
      <w:r>
        <w:t xml:space="preserve">, and the strongest single limit in the paper (note 8). Pairs with source 8 (why invalidity does not yield damages) and source 16 (why clear words defeat the common law).</w:t>
      </w:r>
    </w:p>
    <w:p>
      <w:pPr>
        <w:numPr>
          <w:ilvl w:val="0"/>
          <w:numId w:val="1039"/>
        </w:numPr>
        <w:pStyle w:val="Compact"/>
      </w:pPr>
      <w:r>
        <w:rPr>
          <w:bCs/>
          <w:b/>
        </w:rPr>
        <w:t xml:space="preserve">Caveats:</w:t>
      </w:r>
      <w:r>
        <w:t xml:space="preserve"> </w:t>
      </w:r>
      <w:r>
        <w:t xml:space="preserve">A refugee-law article, not a torts article: it does not discuss</w:t>
      </w:r>
      <w:r>
        <w:t xml:space="preserve"> </w:t>
      </w:r>
      <w:r>
        <w:rPr>
          <w:iCs/>
          <w:i/>
        </w:rPr>
        <w:t xml:space="preserve">Abdel-Hady</w:t>
      </w:r>
      <w:r>
        <w:t xml:space="preserve"> </w:t>
      </w:r>
      <w:r>
        <w:t xml:space="preserve">or false imprisonment. Every link to the tort is yours. Also confirm the statutory names and dates against the legislation itself if you cite the provisions, since primary sources do not count towards your four and are safer for the detail.</w:t>
      </w:r>
    </w:p>
    <w:bookmarkEnd w:id="49"/>
    <w:bookmarkStart w:id="51" w:name="X87ed19b0c0d9b30080bfd1a29c34f66b00d7bc8"/>
    <w:p>
      <w:pPr>
        <w:pStyle w:val="Heading3"/>
      </w:pPr>
      <w:r>
        <w:t xml:space="preserve">20. Kent Roach,</w:t>
      </w:r>
      <w:r>
        <w:t xml:space="preserve"> </w:t>
      </w:r>
      <w:r>
        <w:t xml:space="preserve">‘</w:t>
      </w:r>
      <w:r>
        <w:t xml:space="preserve">The Disappointing Remedy? Damages as a Remedy for Violations of Human Rights</w:t>
      </w:r>
      <w:r>
        <w:t xml:space="preserve">’</w:t>
      </w:r>
      <w:r>
        <w:t xml:space="preserve"> </w:t>
      </w:r>
      <w:r>
        <w:t xml:space="preserve">(2019) 69 (Supp 1)</w:t>
      </w:r>
      <w:r>
        <w:t xml:space="preserve"> </w:t>
      </w:r>
      <w:r>
        <w:rPr>
          <w:iCs/>
          <w:i/>
        </w:rPr>
        <w:t xml:space="preserve">University of Toronto Law Journal</w:t>
      </w:r>
      <w:r>
        <w:t xml:space="preserve"> </w:t>
      </w:r>
      <w:r>
        <w:t xml:space="preserve">33 ○</w:t>
      </w:r>
    </w:p>
    <w:p>
      <w:pPr>
        <w:numPr>
          <w:ilvl w:val="0"/>
          <w:numId w:val="1041"/>
        </w:numPr>
        <w:pStyle w:val="Compact"/>
      </w:pPr>
      <w:r>
        <w:rPr>
          <w:bCs/>
          <w:b/>
        </w:rPr>
        <w:t xml:space="preserve">Access:</w:t>
      </w:r>
      <w:r>
        <w:t xml:space="preserve"> </w:t>
      </w:r>
      <w:r>
        <w:t xml:space="preserve">University of Toronto Press (</w:t>
      </w:r>
      <w:r>
        <w:rPr>
          <w:rStyle w:val="VerbatimChar"/>
        </w:rPr>
        <w:t xml:space="preserve">doi.org/10.3138/utlj.69.s1.002</w:t>
      </w:r>
      <w:r>
        <w:t xml:space="preserve">); check Macquarie’s access.</w:t>
      </w:r>
      <w:r>
        <w:t xml:space="preserve"> </w:t>
      </w:r>
      <w:r>
        <w:rPr>
          <w:bCs/>
          <w:b/>
        </w:rPr>
        <w:t xml:space="preserve">Not read</w:t>
      </w:r>
      <w:r>
        <w:t xml:space="preserve"> </w:t>
      </w:r>
      <w:r>
        <w:t xml:space="preserve">— the publisher page returned an access error from here. Citation and DOI are from the publisher record;</w:t>
      </w:r>
      <w:r>
        <w:t xml:space="preserve"> </w:t>
      </w:r>
      <w:r>
        <w:rPr>
          <w:bCs/>
          <w:b/>
        </w:rPr>
        <w:t xml:space="preserve">the start page 33 is unconfirmed.</w:t>
      </w:r>
      <w:r>
        <w:t xml:space="preserve"> </w:t>
      </w:r>
      <w:r>
        <w:t xml:space="preserve">All pinpoints flagged.</w:t>
      </w:r>
    </w:p>
    <w:p>
      <w:pPr>
        <w:numPr>
          <w:ilvl w:val="0"/>
          <w:numId w:val="1041"/>
        </w:numPr>
        <w:pStyle w:val="Compact"/>
      </w:pPr>
      <w:r>
        <w:rPr>
          <w:bCs/>
          <w:b/>
        </w:rPr>
        <w:t xml:space="preserve">What it argues:</w:t>
      </w:r>
      <w:r>
        <w:t xml:space="preserve"> </w:t>
      </w:r>
      <w:r>
        <w:t xml:space="preserve">A comparative assessment of damages as a human rights remedy across jurisdictions with entrenched or statutory rights — Canada’s Charter damages after</w:t>
      </w:r>
      <w:r>
        <w:t xml:space="preserve"> </w:t>
      </w:r>
      <w:r>
        <w:rPr>
          <w:iCs/>
          <w:i/>
        </w:rPr>
        <w:t xml:space="preserve">Vancouver (City) v Ward</w:t>
      </w:r>
      <w:r>
        <w:t xml:space="preserve">, the</w:t>
      </w:r>
      <w:r>
        <w:t xml:space="preserve"> </w:t>
      </w:r>
      <w:r>
        <w:rPr>
          <w:iCs/>
          <w:i/>
        </w:rPr>
        <w:t xml:space="preserve">Mackin</w:t>
      </w:r>
      <w:r>
        <w:t xml:space="preserve"> </w:t>
      </w:r>
      <w:r>
        <w:t xml:space="preserve">immunity for acts under legislation later held unconstitutional, the United Kingdom’s</w:t>
      </w:r>
      <w:r>
        <w:t xml:space="preserve"> </w:t>
      </w:r>
      <w:r>
        <w:rPr>
          <w:iCs/>
          <w:i/>
        </w:rPr>
        <w:t xml:space="preserve">Human Rights Act</w:t>
      </w:r>
      <w:r>
        <w:t xml:space="preserve"> </w:t>
      </w:r>
      <w:r>
        <w:t xml:space="preserve">s 8</w:t>
      </w:r>
      <w:r>
        <w:t xml:space="preserve"> </w:t>
      </w:r>
      <w:r>
        <w:t xml:space="preserve">“</w:t>
      </w:r>
      <w:r>
        <w:t xml:space="preserve">just satisfaction</w:t>
      </w:r>
      <w:r>
        <w:t xml:space="preserve">”</w:t>
      </w:r>
      <w:r>
        <w:t xml:space="preserve"> </w:t>
      </w:r>
      <w:r>
        <w:t xml:space="preserve">awards, New Zealand’s</w:t>
      </w:r>
      <w:r>
        <w:t xml:space="preserve"> </w:t>
      </w:r>
      <w:r>
        <w:rPr>
          <w:iCs/>
          <w:i/>
        </w:rPr>
        <w:t xml:space="preserve">Baigent</w:t>
      </w:r>
      <w:r>
        <w:t xml:space="preserve"> </w:t>
      </w:r>
      <w:r>
        <w:t xml:space="preserve">compensation and its retreat in</w:t>
      </w:r>
      <w:r>
        <w:t xml:space="preserve"> </w:t>
      </w:r>
      <w:r>
        <w:rPr>
          <w:iCs/>
          <w:i/>
        </w:rPr>
        <w:t xml:space="preserve">Taunoa</w:t>
      </w:r>
      <w:r>
        <w:t xml:space="preserve">, and the United States’ qualified immunity. Roach’s thesis, signalled by the title, is that damages have under-delivered as a human rights remedy: immunities, thresholds and low quantum have kept awards small and rare even where the right to seek them is constitutionally guaranteed.</w:t>
      </w:r>
    </w:p>
    <w:p>
      <w:pPr>
        <w:numPr>
          <w:ilvl w:val="0"/>
          <w:numId w:val="1041"/>
        </w:numPr>
        <w:pStyle w:val="Compact"/>
      </w:pPr>
      <w:r>
        <w:rPr>
          <w:bCs/>
          <w:b/>
        </w:rPr>
        <w:t xml:space="preserve">Why it survived screening:</w:t>
      </w:r>
      <w:r>
        <w:t xml:space="preserve"> </w:t>
      </w:r>
      <w:r>
        <w:t xml:space="preserve">It answers the obvious objection to a limits-focused paper —</w:t>
      </w:r>
      <w:r>
        <w:t xml:space="preserve"> </w:t>
      </w:r>
      <w:r>
        <w:t xml:space="preserve">“</w:t>
      </w:r>
      <w:r>
        <w:t xml:space="preserve">then Australia should get a charter</w:t>
      </w:r>
      <w:r>
        <w:t xml:space="preserve">”</w:t>
      </w:r>
      <w:r>
        <w:t xml:space="preserve">. Roach’s comparative evidence is that charter damages regimes are hedged by exactly the immunities the High Court refused in</w:t>
      </w:r>
      <w:r>
        <w:t xml:space="preserve"> </w:t>
      </w:r>
      <w:r>
        <w:rPr>
          <w:iCs/>
          <w:i/>
        </w:rPr>
        <w:t xml:space="preserve">Abdel-Hady</w:t>
      </w:r>
      <w:r>
        <w:t xml:space="preserve">. That lets you make a genuinely interesting claim: on the liability question, Australian tort law protects liberty</w:t>
      </w:r>
      <w:r>
        <w:t xml:space="preserve"> </w:t>
      </w:r>
      <w:r>
        <w:rPr>
          <w:iCs/>
          <w:i/>
        </w:rPr>
        <w:t xml:space="preserve">more</w:t>
      </w:r>
      <w:r>
        <w:t xml:space="preserve"> </w:t>
      </w:r>
      <w:r>
        <w:t xml:space="preserve">strongly than the Canadian Charter or US constitutional-tort model does, because it admits no good-faith defence — while on the remedy question it may protect less, because of</w:t>
      </w:r>
      <w:r>
        <w:t xml:space="preserve"> </w:t>
      </w:r>
      <w:r>
        <w:rPr>
          <w:iCs/>
          <w:i/>
        </w:rPr>
        <w:t xml:space="preserve">Lewis</w:t>
      </w:r>
      <w:r>
        <w:t xml:space="preserve">. Strength and limit from one comparative source.</w:t>
      </w:r>
    </w:p>
    <w:p>
      <w:pPr>
        <w:numPr>
          <w:ilvl w:val="0"/>
          <w:numId w:val="1041"/>
        </w:numPr>
        <w:pStyle w:val="Compact"/>
      </w:pPr>
      <w:r>
        <w:rPr>
          <w:bCs/>
          <w:b/>
        </w:rPr>
        <w:t xml:space="preserve">Annotations</w:t>
      </w:r>
      <w:r>
        <w:t xml:space="preserve"> </w:t>
      </w:r>
      <w:r>
        <w:rPr>
          <w:iCs/>
          <w:i/>
        </w:rPr>
        <w:t xml:space="preserve">(all unconfirmed — locate in the PDF)</w:t>
      </w:r>
    </w:p>
    <w:p>
      <w:pPr>
        <w:numPr>
          <w:ilvl w:val="1"/>
          <w:numId w:val="1042"/>
        </w:numPr>
        <w:pStyle w:val="Compact"/>
      </w:pPr>
      <w:r>
        <w:rPr>
          <w:rStyle w:val="VerbatimChar"/>
        </w:rPr>
        <w:t xml:space="preserve">p 33 [1 — confirm]</w:t>
      </w:r>
      <w:r>
        <w:t xml:space="preserve"> </w:t>
      </w:r>
      <w:r>
        <w:t xml:space="preserve">— The title thesis: damages have disappointed as a human rights remedy. My frame for the comparative paragraph — the problem the essay identifies in Australian tort law is not solved by importing a rights instrument.</w:t>
      </w:r>
    </w:p>
    <w:p>
      <w:pPr>
        <w:numPr>
          <w:ilvl w:val="1"/>
          <w:numId w:val="1042"/>
        </w:numPr>
        <w:pStyle w:val="Compact"/>
      </w:pPr>
      <w:r>
        <w:rPr>
          <w:iCs/>
          <w:i/>
        </w:rPr>
        <w:t xml:space="preserve">Section on Canada</w:t>
      </w:r>
      <w:r>
        <w:t xml:space="preserve"> </w:t>
      </w:r>
      <w:r>
        <w:rPr>
          <w:rStyle w:val="VerbatimChar"/>
        </w:rPr>
        <w:t xml:space="preserve">[2 — confirm]</w:t>
      </w:r>
      <w:r>
        <w:t xml:space="preserve"> </w:t>
      </w:r>
      <w:r>
        <w:t xml:space="preserve">—</w:t>
      </w:r>
      <w:r>
        <w:t xml:space="preserve"> </w:t>
      </w:r>
      <w:r>
        <w:rPr>
          <w:iCs/>
          <w:i/>
        </w:rPr>
        <w:t xml:space="preserve">Ward</w:t>
      </w:r>
      <w:r>
        <w:t xml:space="preserve">: Charter damages serve compensation, vindication and deterrence, subject to countervailing</w:t>
      </w:r>
      <w:r>
        <w:t xml:space="preserve"> </w:t>
      </w:r>
      <w:r>
        <w:t xml:space="preserve">“</w:t>
      </w:r>
      <w:r>
        <w:t xml:space="preserve">good governance</w:t>
      </w:r>
      <w:r>
        <w:t xml:space="preserve">”</w:t>
      </w:r>
      <w:r>
        <w:t xml:space="preserve"> </w:t>
      </w:r>
      <w:r>
        <w:t xml:space="preserve">factors. Note the contrast with</w:t>
      </w:r>
      <w:r>
        <w:t xml:space="preserve"> </w:t>
      </w:r>
      <w:r>
        <w:rPr>
          <w:iCs/>
          <w:i/>
        </w:rPr>
        <w:t xml:space="preserve">Abdel-Hady</w:t>
      </w:r>
      <w:r>
        <w:t xml:space="preserve">: the plurality at [47]–[48] rejects the Canadian qualified immunity precisely because it depends on a power to limit the retroactive effect of a declaration of invalidity, which Australian law denies (</w:t>
      </w:r>
      <w:r>
        <w:rPr>
          <w:iCs/>
          <w:i/>
        </w:rPr>
        <w:t xml:space="preserve">Ha</w:t>
      </w:r>
      <w:r>
        <w:t xml:space="preserve">). So the Canadian remedy is more generous in form and more hedged in operation.</w:t>
      </w:r>
    </w:p>
    <w:p>
      <w:pPr>
        <w:numPr>
          <w:ilvl w:val="1"/>
          <w:numId w:val="1042"/>
        </w:numPr>
        <w:pStyle w:val="Compact"/>
      </w:pPr>
      <w:r>
        <w:rPr>
          <w:iCs/>
          <w:i/>
        </w:rPr>
        <w:t xml:space="preserve">Section on Canada</w:t>
      </w:r>
      <w:r>
        <w:t xml:space="preserve"> </w:t>
      </w:r>
      <w:r>
        <w:rPr>
          <w:rStyle w:val="VerbatimChar"/>
        </w:rPr>
        <w:t xml:space="preserve">[3 — confirm]</w:t>
      </w:r>
      <w:r>
        <w:t xml:space="preserve"> </w:t>
      </w:r>
      <w:r>
        <w:t xml:space="preserve">— The</w:t>
      </w:r>
      <w:r>
        <w:t xml:space="preserve"> </w:t>
      </w:r>
      <w:r>
        <w:rPr>
          <w:iCs/>
          <w:i/>
        </w:rPr>
        <w:t xml:space="preserve">Mackin</w:t>
      </w:r>
      <w:r>
        <w:t xml:space="preserve"> </w:t>
      </w:r>
      <w:r>
        <w:t xml:space="preserve">principle: damages for acts under legislation later held unconstitutional only where conduct is</w:t>
      </w:r>
      <w:r>
        <w:t xml:space="preserve"> </w:t>
      </w:r>
      <w:r>
        <w:t xml:space="preserve">“</w:t>
      </w:r>
      <w:r>
        <w:t xml:space="preserve">clearly wrong, in bad faith or an abuse of power</w:t>
      </w:r>
      <w:r>
        <w:t xml:space="preserve">”</w:t>
      </w:r>
      <w:r>
        <w:t xml:space="preserve">. This is the rule the Commonwealth asked the High Court to adopt in substance, and Gordon J rejected it at [116]–[117] as</w:t>
      </w:r>
      <w:r>
        <w:t xml:space="preserve"> </w:t>
      </w:r>
      <w:r>
        <w:t xml:space="preserve">“</w:t>
      </w:r>
      <w:r>
        <w:t xml:space="preserve">contrary to both principle and authority</w:t>
      </w:r>
      <w:r>
        <w:t xml:space="preserve">”</w:t>
      </w:r>
      <w:r>
        <w:t xml:space="preserve">. Citing Roach lets me say the Australian position is the</w:t>
      </w:r>
      <w:r>
        <w:t xml:space="preserve"> </w:t>
      </w:r>
      <w:r>
        <w:rPr>
          <w:iCs/>
          <w:i/>
        </w:rPr>
        <w:t xml:space="preserve">more</w:t>
      </w:r>
      <w:r>
        <w:t xml:space="preserve"> </w:t>
      </w:r>
      <w:r>
        <w:t xml:space="preserve">protective of the two — which is the least obvious point in my paper.</w:t>
      </w:r>
    </w:p>
    <w:p>
      <w:pPr>
        <w:numPr>
          <w:ilvl w:val="1"/>
          <w:numId w:val="1042"/>
        </w:numPr>
        <w:pStyle w:val="Compact"/>
      </w:pPr>
      <w:r>
        <w:rPr>
          <w:iCs/>
          <w:i/>
        </w:rPr>
        <w:t xml:space="preserve">Section on the UK</w:t>
      </w:r>
      <w:r>
        <w:t xml:space="preserve"> </w:t>
      </w:r>
      <w:r>
        <w:rPr>
          <w:rStyle w:val="VerbatimChar"/>
        </w:rPr>
        <w:t xml:space="preserve">[4 — confirm]</w:t>
      </w:r>
      <w:r>
        <w:t xml:space="preserve"> </w:t>
      </w:r>
      <w:r>
        <w:t xml:space="preserve">— HRA s 8 damages on a</w:t>
      </w:r>
      <w:r>
        <w:t xml:space="preserve"> </w:t>
      </w:r>
      <w:r>
        <w:t xml:space="preserve">“</w:t>
      </w:r>
      <w:r>
        <w:t xml:space="preserve">just satisfaction</w:t>
      </w:r>
      <w:r>
        <w:t xml:space="preserve">”</w:t>
      </w:r>
      <w:r>
        <w:t xml:space="preserve"> </w:t>
      </w:r>
      <w:r>
        <w:t xml:space="preserve">measure, restrained by</w:t>
      </w:r>
      <w:r>
        <w:t xml:space="preserve"> </w:t>
      </w:r>
      <w:r>
        <w:rPr>
          <w:iCs/>
          <w:i/>
        </w:rPr>
        <w:t xml:space="preserve">Anufrijeva</w:t>
      </w:r>
      <w:r>
        <w:t xml:space="preserve"> </w:t>
      </w:r>
      <w:r>
        <w:t xml:space="preserve">and</w:t>
      </w:r>
      <w:r>
        <w:t xml:space="preserve"> </w:t>
      </w:r>
      <w:r>
        <w:rPr>
          <w:iCs/>
          <w:i/>
        </w:rPr>
        <w:t xml:space="preserve">Greenfield</w:t>
      </w:r>
      <w:r>
        <w:t xml:space="preserve">. Compare Varuhas (source 2), who argues the tort measure is more generous than the HRA measure. Two authors reaching the same conclusion from opposite directions is worth a sentence.</w:t>
      </w:r>
    </w:p>
    <w:p>
      <w:pPr>
        <w:numPr>
          <w:ilvl w:val="1"/>
          <w:numId w:val="1042"/>
        </w:numPr>
        <w:pStyle w:val="Compact"/>
      </w:pPr>
      <w:r>
        <w:rPr>
          <w:iCs/>
          <w:i/>
        </w:rPr>
        <w:t xml:space="preserve">Section on New Zealand</w:t>
      </w:r>
      <w:r>
        <w:t xml:space="preserve"> </w:t>
      </w:r>
      <w:r>
        <w:rPr>
          <w:rStyle w:val="VerbatimChar"/>
        </w:rPr>
        <w:t xml:space="preserve">[5 — confirm]</w:t>
      </w:r>
      <w:r>
        <w:t xml:space="preserve"> </w:t>
      </w:r>
      <w:r>
        <w:t xml:space="preserve">—</w:t>
      </w:r>
      <w:r>
        <w:t xml:space="preserve"> </w:t>
      </w:r>
      <w:r>
        <w:rPr>
          <w:iCs/>
          <w:i/>
        </w:rPr>
        <w:t xml:space="preserve">Baigent</w:t>
      </w:r>
      <w:r>
        <w:t xml:space="preserve"> </w:t>
      </w:r>
      <w:r>
        <w:t xml:space="preserve">compensation and its narrowing in</w:t>
      </w:r>
      <w:r>
        <w:t xml:space="preserve"> </w:t>
      </w:r>
      <w:r>
        <w:rPr>
          <w:iCs/>
          <w:i/>
        </w:rPr>
        <w:t xml:space="preserve">Taunoa</w:t>
      </w:r>
      <w:r>
        <w:t xml:space="preserve">. A statutory bill of rights produced a remedy that then drifted toward a weaker public-law model. Evidence that remedial generosity is not secured by enactment.</w:t>
      </w:r>
    </w:p>
    <w:p>
      <w:pPr>
        <w:numPr>
          <w:ilvl w:val="1"/>
          <w:numId w:val="1042"/>
        </w:numPr>
        <w:pStyle w:val="Compact"/>
      </w:pPr>
      <w:r>
        <w:rPr>
          <w:iCs/>
          <w:i/>
        </w:rPr>
        <w:t xml:space="preserve">Section on the US</w:t>
      </w:r>
      <w:r>
        <w:t xml:space="preserve"> </w:t>
      </w:r>
      <w:r>
        <w:rPr>
          <w:rStyle w:val="VerbatimChar"/>
        </w:rPr>
        <w:t xml:space="preserve">[6 — confirm]</w:t>
      </w:r>
      <w:r>
        <w:t xml:space="preserve"> </w:t>
      </w:r>
      <w:r>
        <w:t xml:space="preserve">— Qualified immunity as the paradigm of a hedged constitutional remedy. Read with Edelman J at [168]–[179], who refuses to transplant it and calls</w:t>
      </w:r>
      <w:r>
        <w:t xml:space="preserve"> </w:t>
      </w:r>
      <w:r>
        <w:rPr>
          <w:iCs/>
          <w:i/>
        </w:rPr>
        <w:t xml:space="preserve">Pierson v Ray</w:t>
      </w:r>
      <w:r>
        <w:t xml:space="preserve"> </w:t>
      </w:r>
      <w:r>
        <w:t xml:space="preserve">“</w:t>
      </w:r>
      <w:r>
        <w:t xml:space="preserve">controversial</w:t>
      </w:r>
      <w:r>
        <w:t xml:space="preserve">”</w:t>
      </w:r>
      <w:r>
        <w:t xml:space="preserve">, relying on Baude’s demonstration that its common law pedigree was invented. If I want a second comparative source, Baude,</w:t>
      </w:r>
      <w:r>
        <w:t xml:space="preserve"> </w:t>
      </w:r>
      <w:r>
        <w:t xml:space="preserve">‘</w:t>
      </w:r>
      <w:r>
        <w:t xml:space="preserve">Is Qualified Immunity Unlawful?</w:t>
      </w:r>
      <w:r>
        <w:t xml:space="preserve">’</w:t>
      </w:r>
      <w:r>
        <w:t xml:space="preserve"> </w:t>
      </w:r>
      <w:r>
        <w:t xml:space="preserve">(2018) 106</w:t>
      </w:r>
      <w:r>
        <w:t xml:space="preserve"> </w:t>
      </w:r>
      <w:r>
        <w:rPr>
          <w:iCs/>
          <w:i/>
        </w:rPr>
        <w:t xml:space="preserve">California Law Review</w:t>
      </w:r>
      <w:r>
        <w:t xml:space="preserve"> </w:t>
      </w:r>
      <w:r>
        <w:t xml:space="preserve">45 is open access — but the convenor warned that US comparisons get complicated fast, so I would use one sentence or none.</w:t>
      </w:r>
    </w:p>
    <w:p>
      <w:pPr>
        <w:numPr>
          <w:ilvl w:val="1"/>
          <w:numId w:val="1042"/>
        </w:numPr>
        <w:pStyle w:val="Compact"/>
      </w:pPr>
      <w:r>
        <w:rPr>
          <w:iCs/>
          <w:i/>
        </w:rPr>
        <w:t xml:space="preserve">Conclusion</w:t>
      </w:r>
      <w:r>
        <w:t xml:space="preserve"> </w:t>
      </w:r>
      <w:r>
        <w:rPr>
          <w:rStyle w:val="VerbatimChar"/>
        </w:rPr>
        <w:t xml:space="preserve">[7 — confirm]</w:t>
      </w:r>
      <w:r>
        <w:t xml:space="preserve"> </w:t>
      </w:r>
      <w:r>
        <w:t xml:space="preserve">— Expect a conclusion about quantum, access to justice and institutional design. My final sentence: whether liberty is effectively protected turns less on whether the right is written down than on what a court will pay for its breach and who can afford to ask.</w:t>
      </w:r>
    </w:p>
    <w:p>
      <w:pPr>
        <w:numPr>
          <w:ilvl w:val="0"/>
          <w:numId w:val="1041"/>
        </w:numPr>
        <w:pStyle w:val="Compact"/>
      </w:pPr>
      <w:r>
        <w:rPr>
          <w:bCs/>
          <w:b/>
        </w:rPr>
        <w:t xml:space="preserve">Best use:</w:t>
      </w:r>
      <w:r>
        <w:t xml:space="preserve"> </w:t>
      </w:r>
      <w:r>
        <w:rPr>
          <w:bCs/>
          <w:b/>
        </w:rPr>
        <w:t xml:space="preserve">L2/L3</w:t>
      </w:r>
      <w:r>
        <w:t xml:space="preserve"> </w:t>
      </w:r>
      <w:r>
        <w:t xml:space="preserve">— the comparative closing move. Use it, or Baude, or neither; do not use both.</w:t>
      </w:r>
    </w:p>
    <w:p>
      <w:pPr>
        <w:numPr>
          <w:ilvl w:val="0"/>
          <w:numId w:val="1041"/>
        </w:numPr>
        <w:pStyle w:val="Heading2"/>
      </w:pPr>
      <w:bookmarkStart w:id="50" w:name="X1ea13723aaa509e605659fba5901afeafc1bce4"/>
      <w:r>
        <w:rPr>
          <w:bCs/>
          <w:b/>
        </w:rPr>
        <w:t xml:space="preserve">Caveats:</w:t>
      </w:r>
      <w:r>
        <w:t xml:space="preserve"> </w:t>
      </w:r>
      <w:r>
        <w:t xml:space="preserve">Not read; start page unconfirmed; supplement issue (69 Supp 1), so check the citation format carefully. If Macquarie does not have UTLJ, substitute Roach’s</w:t>
      </w:r>
      <w:r>
        <w:t xml:space="preserve"> </w:t>
      </w:r>
      <w:r>
        <w:rPr>
          <w:iCs/>
          <w:i/>
        </w:rPr>
        <w:t xml:space="preserve">Remedies for Human Rights Violations</w:t>
      </w:r>
      <w:r>
        <w:t xml:space="preserve"> </w:t>
      </w:r>
      <w:r>
        <w:t xml:space="preserve">(Cambridge University Press, 2021) or drop the comparative point — it is the most cuttable of the four themes.</w:t>
      </w:r>
      <w:bookmarkEnd w:id="50"/>
    </w:p>
    <w:bookmarkEnd w:id="51"/>
    <w:bookmarkEnd w:id="52"/>
    <w:bookmarkEnd w:id="53"/>
    <w:bookmarkStart w:id="54" w:name="part-b-reserve-bench"/>
    <w:p>
      <w:pPr>
        <w:pStyle w:val="Heading1"/>
      </w:pPr>
      <w:r>
        <w:t xml:space="preserve">Part B — Reserve bench</w:t>
      </w:r>
    </w:p>
    <w:p>
      <w:pPr>
        <w:pStyle w:val="FirstParagraph"/>
      </w:pPr>
      <w:r>
        <w:t xml:space="preserve">Ten sources cut in the last round. Swap one in if a final-20 item proves unobtainable, or if your argument turns in a different direction.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Why it might suit you better</w:t>
            </w:r>
          </w:p>
        </w:tc>
      </w:tr>
      <w:tr>
        <w:tc>
          <w:tcPr/>
          <w:p>
            <w:pPr>
              <w:pStyle w:val="Compact"/>
              <w:jc w:val="left"/>
            </w:pPr>
            <w:r>
              <w:t xml:space="preserve">Jeremy Gans,</w:t>
            </w:r>
            <w:r>
              <w:t xml:space="preserve"> </w:t>
            </w:r>
            <w:r>
              <w:t xml:space="preserve">‘</w:t>
            </w:r>
            <w:r>
              <w:t xml:space="preserve">The Charter’s Irremediable Remedies Provision</w:t>
            </w:r>
            <w:r>
              <w:t xml:space="preserve">’</w:t>
            </w:r>
            <w:r>
              <w:t xml:space="preserve"> </w:t>
            </w:r>
            <w:r>
              <w:t xml:space="preserve">(2009) 33(1)</w:t>
            </w:r>
            <w:r>
              <w:t xml:space="preserve"> </w:t>
            </w:r>
            <w:r>
              <w:rPr>
                <w:iCs/>
                <w:i/>
              </w:rPr>
              <w:t xml:space="preserve">MULR</w:t>
            </w:r>
            <w:r>
              <w:t xml:space="preserve"> </w:t>
            </w:r>
            <w:r>
              <w:t xml:space="preserve">105</w:t>
            </w:r>
          </w:p>
        </w:tc>
        <w:tc>
          <w:tcPr/>
          <w:p>
            <w:pPr>
              <w:pStyle w:val="Compact"/>
              <w:jc w:val="left"/>
            </w:pPr>
            <w:r>
              <w:t xml:space="preserve">The full academic critique of Victorian Charter s 39 —</w:t>
            </w:r>
            <w:r>
              <w:t xml:space="preserve"> </w:t>
            </w:r>
            <w:r>
              <w:t xml:space="preserve">“</w:t>
            </w:r>
            <w:r>
              <w:t xml:space="preserve">entirely unique to Victoria</w:t>
            </w:r>
            <w:r>
              <w:t xml:space="preserve">”</w:t>
            </w:r>
            <w:r>
              <w:t xml:space="preserve"> </w:t>
            </w:r>
            <w:r>
              <w:t xml:space="preserve">and</w:t>
            </w:r>
            <w:r>
              <w:t xml:space="preserve"> </w:t>
            </w:r>
            <w:r>
              <w:t xml:space="preserve">“</w:t>
            </w:r>
            <w:r>
              <w:t xml:space="preserve">entirely unsatisfactory</w:t>
            </w:r>
            <w:r>
              <w:t xml:space="preserve">”</w:t>
            </w:r>
            <w:r>
              <w:t xml:space="preserve">. Better than source 17 on the law’s incoherence; worse on access (paywalled; SSRN 1476162 abstract only).</w:t>
            </w:r>
          </w:p>
        </w:tc>
      </w:tr>
      <w:tr>
        <w:tc>
          <w:tcPr/>
          <w:p>
            <w:pPr>
              <w:pStyle w:val="Compact"/>
              <w:jc w:val="left"/>
            </w:pPr>
            <w:r>
              <w:t xml:space="preserve">Jeffrey Steven Gordon,</w:t>
            </w:r>
            <w:r>
              <w:t xml:space="preserve"> </w:t>
            </w:r>
            <w:r>
              <w:t xml:space="preserve">‘</w:t>
            </w:r>
            <w:r>
              <w:t xml:space="preserve">Imprisonment and the Separation of Judicial Power: A Defence of a Categorical Immunity from Non-Criminal Detention</w:t>
            </w:r>
            <w:r>
              <w:t xml:space="preserve">’</w:t>
            </w:r>
            <w:r>
              <w:t xml:space="preserve"> </w:t>
            </w:r>
            <w:r>
              <w:t xml:space="preserve">(2012) 36(1)</w:t>
            </w:r>
            <w:r>
              <w:t xml:space="preserve"> </w:t>
            </w:r>
            <w:r>
              <w:rPr>
                <w:iCs/>
                <w:i/>
              </w:rPr>
              <w:t xml:space="preserve">MULR</w:t>
            </w:r>
            <w:r>
              <w:t xml:space="preserve"> </w:t>
            </w:r>
            <w:r>
              <w:t xml:space="preserve">41</w:t>
            </w:r>
          </w:p>
        </w:tc>
        <w:tc>
          <w:tcPr/>
          <w:p>
            <w:pPr>
              <w:pStyle w:val="Compact"/>
              <w:jc w:val="left"/>
            </w:pPr>
            <w:r>
              <w:t xml:space="preserve">Open PDF. The best account of Ch III as a categorical immunity from non-criminal detention — the constitutional premise on which the tort’s availability depended. Use if your paper is about</w:t>
            </w:r>
            <w:r>
              <w:t xml:space="preserve"> </w:t>
            </w:r>
            <w:r>
              <w:rPr>
                <w:iCs/>
                <w:i/>
              </w:rPr>
              <w:t xml:space="preserve">why</w:t>
            </w:r>
            <w:r>
              <w:t xml:space="preserve"> </w:t>
            </w:r>
            <w:r>
              <w:t xml:space="preserve">the detention was unlawful rather than about the tort.</w:t>
            </w:r>
          </w:p>
        </w:tc>
      </w:tr>
      <w:tr>
        <w:tc>
          <w:tcPr/>
          <w:p>
            <w:pPr>
              <w:pStyle w:val="Compact"/>
              <w:jc w:val="left"/>
            </w:pPr>
            <w:r>
              <w:t xml:space="preserve">Carol Harlow,</w:t>
            </w:r>
            <w:r>
              <w:t xml:space="preserve"> </w:t>
            </w:r>
            <w:r>
              <w:rPr>
                <w:iCs/>
                <w:i/>
              </w:rPr>
              <w:t xml:space="preserve">State Liability: Tort Law and Beyond</w:t>
            </w:r>
            <w:r>
              <w:t xml:space="preserve"> </w:t>
            </w:r>
            <w:r>
              <w:t xml:space="preserve">(Oxford University Press, 2004)</w:t>
            </w:r>
          </w:p>
        </w:tc>
        <w:tc>
          <w:tcPr/>
          <w:p>
            <w:pPr>
              <w:pStyle w:val="Compact"/>
              <w:jc w:val="left"/>
            </w:pPr>
            <w:r>
              <w:t xml:space="preserve">The sceptic: tort is a blunt, uneven and expensive instrument of state accountability, and administrative compensation schemes do it better. The single best counter-voice to the Diceyan celebration in the judgment.</w:t>
            </w:r>
          </w:p>
        </w:tc>
      </w:tr>
      <w:tr>
        <w:tc>
          <w:tcPr/>
          <w:p>
            <w:pPr>
              <w:pStyle w:val="Compact"/>
              <w:jc w:val="left"/>
            </w:pPr>
            <w:r>
              <w:t xml:space="preserve">Mark Aronson,</w:t>
            </w:r>
            <w:r>
              <w:t xml:space="preserve"> </w:t>
            </w:r>
            <w:r>
              <w:t xml:space="preserve">‘</w:t>
            </w:r>
            <w:r>
              <w:t xml:space="preserve">Misfeasance in Public Office: A Very Peculiar Tort</w:t>
            </w:r>
            <w:r>
              <w:t xml:space="preserve">’</w:t>
            </w:r>
            <w:r>
              <w:t xml:space="preserve"> </w:t>
            </w:r>
            <w:r>
              <w:t xml:space="preserve">(2011) 35(1)</w:t>
            </w:r>
            <w:r>
              <w:t xml:space="preserve"> </w:t>
            </w:r>
            <w:r>
              <w:rPr>
                <w:iCs/>
                <w:i/>
              </w:rPr>
              <w:t xml:space="preserve">MULR</w:t>
            </w:r>
            <w:r>
              <w:t xml:space="preserve"> </w:t>
            </w:r>
            <w:r>
              <w:t xml:space="preserve">1</w:t>
            </w:r>
          </w:p>
        </w:tc>
        <w:tc>
          <w:tcPr/>
          <w:p>
            <w:pPr>
              <w:pStyle w:val="Compact"/>
              <w:jc w:val="left"/>
            </w:pPr>
            <w:r>
              <w:t xml:space="preserve">Open PDF. Australia’s only purpose-built public-power tort requires bad faith. The contrast that shows why strict false imprisonment is the more effective rights instrument.</w:t>
            </w:r>
          </w:p>
        </w:tc>
      </w:tr>
      <w:tr>
        <w:tc>
          <w:tcPr/>
          <w:p>
            <w:pPr>
              <w:pStyle w:val="Compact"/>
              <w:jc w:val="left"/>
            </w:pPr>
            <w:r>
              <w:t xml:space="preserve">Matthew Harding and Ian Malkin,</w:t>
            </w:r>
            <w:r>
              <w:t xml:space="preserve"> </w:t>
            </w:r>
            <w:r>
              <w:t xml:space="preserve">‘</w:t>
            </w:r>
            <w:r>
              <w:t xml:space="preserve">Overruling in the High Court of Australia in Common Law Cases</w:t>
            </w:r>
            <w:r>
              <w:t xml:space="preserve">’</w:t>
            </w:r>
            <w:r>
              <w:t xml:space="preserve"> </w:t>
            </w:r>
            <w:r>
              <w:t xml:space="preserve">(2010) 34(2)</w:t>
            </w:r>
            <w:r>
              <w:t xml:space="preserve"> </w:t>
            </w:r>
            <w:r>
              <w:rPr>
                <w:iCs/>
                <w:i/>
              </w:rPr>
              <w:t xml:space="preserve">MULR</w:t>
            </w:r>
            <w:r>
              <w:t xml:space="preserve"> </w:t>
            </w:r>
            <w:r>
              <w:t xml:space="preserve">519</w:t>
            </w:r>
          </w:p>
        </w:tc>
        <w:tc>
          <w:tcPr/>
          <w:p>
            <w:pPr>
              <w:pStyle w:val="Compact"/>
              <w:jc w:val="left"/>
            </w:pPr>
            <w:r>
              <w:t xml:space="preserve">Open PDF. The Australian treatment of overruling and the rejection of prospective overruling in</w:t>
            </w:r>
            <w:r>
              <w:t xml:space="preserve"> </w:t>
            </w:r>
            <w:r>
              <w:rPr>
                <w:iCs/>
                <w:i/>
              </w:rPr>
              <w:t xml:space="preserve">Ha</w:t>
            </w:r>
            <w:r>
              <w:t xml:space="preserve">. A readable domestic substitute for Beswick or Finnis.</w:t>
            </w:r>
          </w:p>
        </w:tc>
      </w:tr>
      <w:tr>
        <w:tc>
          <w:tcPr/>
          <w:p>
            <w:pPr>
              <w:pStyle w:val="Compact"/>
              <w:jc w:val="left"/>
            </w:pPr>
            <w:r>
              <w:t xml:space="preserve">Simon Allison and John Minas,</w:t>
            </w:r>
            <w:r>
              <w:t xml:space="preserve"> </w:t>
            </w:r>
            <w:r>
              <w:t xml:space="preserve">‘</w:t>
            </w:r>
            <w:r>
              <w:t xml:space="preserve">Liability for False Imprisonment and Judicial Immunity in Australia’s Federal Court System</w:t>
            </w:r>
            <w:r>
              <w:t xml:space="preserve">’</w:t>
            </w:r>
            <w:r>
              <w:t xml:space="preserve"> </w:t>
            </w:r>
            <w:r>
              <w:t xml:space="preserve">(2024) 83(1)</w:t>
            </w:r>
            <w:r>
              <w:t xml:space="preserve"> </w:t>
            </w:r>
            <w:r>
              <w:rPr>
                <w:iCs/>
                <w:i/>
              </w:rPr>
              <w:t xml:space="preserve">Cambridge Law Journal</w:t>
            </w:r>
            <w:r>
              <w:t xml:space="preserve"> </w:t>
            </w:r>
            <w:r>
              <w:t xml:space="preserve">33</w:t>
            </w:r>
          </w:p>
        </w:tc>
        <w:tc>
          <w:tcPr/>
          <w:p>
            <w:pPr>
              <w:pStyle w:val="Compact"/>
              <w:jc w:val="left"/>
            </w:pPr>
            <w:r>
              <w:t xml:space="preserve">Case comment on</w:t>
            </w:r>
            <w:r>
              <w:t xml:space="preserve"> </w:t>
            </w:r>
            <w:r>
              <w:rPr>
                <w:iCs/>
                <w:i/>
              </w:rPr>
              <w:t xml:space="preserve">Stradford v Judge Vasta</w:t>
            </w:r>
            <w:r>
              <w:t xml:space="preserve"> </w:t>
            </w:r>
            <w:r>
              <w:t xml:space="preserve">at first instance, treating the award as meaningful accountability. Pair with source 14 for the immunity story.</w:t>
            </w:r>
          </w:p>
        </w:tc>
      </w:tr>
      <w:tr>
        <w:tc>
          <w:tcPr/>
          <w:p>
            <w:pPr>
              <w:pStyle w:val="Compact"/>
              <w:jc w:val="left"/>
            </w:pPr>
            <w:r>
              <w:t xml:space="preserve">Stevie Martin,</w:t>
            </w:r>
            <w:r>
              <w:t xml:space="preserve"> </w:t>
            </w:r>
            <w:r>
              <w:t xml:space="preserve">‘</w:t>
            </w:r>
            <w:r>
              <w:t xml:space="preserve">False Imprisonment vis-à-vis Deprivation of Liberty: Smashing the Ossuary</w:t>
            </w:r>
            <w:r>
              <w:t xml:space="preserve">’</w:t>
            </w:r>
            <w:r>
              <w:t xml:space="preserve"> </w:t>
            </w:r>
            <w:r>
              <w:t xml:space="preserve">(2020) 79(2)</w:t>
            </w:r>
            <w:r>
              <w:t xml:space="preserve"> </w:t>
            </w:r>
            <w:r>
              <w:rPr>
                <w:iCs/>
                <w:i/>
              </w:rPr>
              <w:t xml:space="preserve">Cambridge Law Journal</w:t>
            </w:r>
            <w:r>
              <w:t xml:space="preserve"> </w:t>
            </w:r>
            <w:r>
              <w:t xml:space="preserve">211</w:t>
            </w:r>
          </w:p>
        </w:tc>
        <w:tc>
          <w:tcPr/>
          <w:p>
            <w:pPr>
              <w:pStyle w:val="Compact"/>
              <w:jc w:val="left"/>
            </w:pPr>
            <w:r>
              <w:t xml:space="preserve">On</w:t>
            </w:r>
            <w:r>
              <w:t xml:space="preserve"> </w:t>
            </w:r>
            <w:r>
              <w:rPr>
                <w:iCs/>
                <w:i/>
              </w:rPr>
              <w:t xml:space="preserve">R (Jalloh)</w:t>
            </w:r>
            <w:r>
              <w:t xml:space="preserve">: the common law tort is broader and stricter than art 5 ECHR. The cleanest evidence that a rights instrument is not automatically more protective than a tort.</w:t>
            </w:r>
          </w:p>
        </w:tc>
      </w:tr>
      <w:tr>
        <w:tc>
          <w:tcPr/>
          <w:p>
            <w:pPr>
              <w:pStyle w:val="Compact"/>
              <w:jc w:val="left"/>
            </w:pPr>
            <w:r>
              <w:t xml:space="preserve">James Goudkamp,</w:t>
            </w:r>
            <w:r>
              <w:t xml:space="preserve"> </w:t>
            </w:r>
            <w:r>
              <w:rPr>
                <w:iCs/>
                <w:i/>
              </w:rPr>
              <w:t xml:space="preserve">Tort Law Defences</w:t>
            </w:r>
            <w:r>
              <w:t xml:space="preserve"> </w:t>
            </w:r>
            <w:r>
              <w:t xml:space="preserve">(Hart Publishing, 2013)</w:t>
            </w:r>
          </w:p>
        </w:tc>
        <w:tc>
          <w:tcPr/>
          <w:p>
            <w:pPr>
              <w:pStyle w:val="Compact"/>
              <w:jc w:val="left"/>
            </w:pPr>
            <w:r>
              <w:t xml:space="preserve">Cited by Edelman J at [122] (fn 138) for the proposition that public-policy immunities are</w:t>
            </w:r>
            <w:r>
              <w:t xml:space="preserve"> </w:t>
            </w:r>
            <w:r>
              <w:t xml:space="preserve">“</w:t>
            </w:r>
            <w:r>
              <w:t xml:space="preserve">particularly odious</w:t>
            </w:r>
            <w:r>
              <w:t xml:space="preserve">”</w:t>
            </w:r>
            <w:r>
              <w:t xml:space="preserve"> </w:t>
            </w:r>
            <w:r>
              <w:t xml:space="preserve">and that new ones face</w:t>
            </w:r>
            <w:r>
              <w:t xml:space="preserve"> </w:t>
            </w:r>
            <w:r>
              <w:t xml:space="preserve">“</w:t>
            </w:r>
            <w:r>
              <w:t xml:space="preserve">an uphill battle</w:t>
            </w:r>
            <w:r>
              <w:t xml:space="preserve">”</w:t>
            </w:r>
            <w:r>
              <w:t xml:space="preserve">. A one-citation source, but the citation is handed to you by the judgment.</w:t>
            </w:r>
          </w:p>
        </w:tc>
      </w:tr>
      <w:tr>
        <w:tc>
          <w:tcPr/>
          <w:p>
            <w:pPr>
              <w:pStyle w:val="Compact"/>
              <w:jc w:val="left"/>
            </w:pPr>
            <w:r>
              <w:t xml:space="preserve">Rosalind Dixon,</w:t>
            </w:r>
            <w:r>
              <w:t xml:space="preserve"> </w:t>
            </w:r>
            <w:r>
              <w:t xml:space="preserve">‘</w:t>
            </w:r>
            <w:r>
              <w:t xml:space="preserve">An Australian (Partial) Bill of Rights</w:t>
            </w:r>
            <w:r>
              <w:t xml:space="preserve">’</w:t>
            </w:r>
            <w:r>
              <w:t xml:space="preserve"> </w:t>
            </w:r>
            <w:r>
              <w:t xml:space="preserve">(2016) 14(1)</w:t>
            </w:r>
            <w:r>
              <w:t xml:space="preserve"> </w:t>
            </w:r>
            <w:r>
              <w:rPr>
                <w:iCs/>
                <w:i/>
              </w:rPr>
              <w:t xml:space="preserve">International Journal of Constitutional Law</w:t>
            </w:r>
            <w:r>
              <w:t xml:space="preserve"> </w:t>
            </w:r>
            <w:r>
              <w:t xml:space="preserve">80</w:t>
            </w:r>
          </w:p>
        </w:tc>
        <w:tc>
          <w:tcPr/>
          <w:p>
            <w:pPr>
              <w:pStyle w:val="Compact"/>
              <w:jc w:val="left"/>
            </w:pPr>
            <w:r>
              <w:t xml:space="preserve">Personal liberty is not among Australia’s express constitutional rights. Good for the framing paragraph if you want a constitutional-law voice rather than Meagher’s interpretive one.</w:t>
            </w:r>
          </w:p>
        </w:tc>
      </w:tr>
      <w:tr>
        <w:tc>
          <w:tcPr/>
          <w:p>
            <w:pPr>
              <w:pStyle w:val="Compact"/>
              <w:jc w:val="left"/>
            </w:pPr>
            <w:r>
              <w:t xml:space="preserve">Sir Anthony Mason / Robert French CJ,</w:t>
            </w:r>
            <w:r>
              <w:t xml:space="preserve"> </w:t>
            </w:r>
            <w:r>
              <w:t xml:space="preserve">‘</w:t>
            </w:r>
            <w:r>
              <w:t xml:space="preserve">The Common Law and the Protection of Human Rights</w:t>
            </w:r>
            <w:r>
              <w:t xml:space="preserve">’</w:t>
            </w:r>
            <w:r>
              <w:t xml:space="preserve"> </w:t>
            </w:r>
            <w:r>
              <w:t xml:space="preserve">(Speech, Anglo-Australasian Lawyers Society, 4 September 2009)</w:t>
            </w:r>
          </w:p>
        </w:tc>
        <w:tc>
          <w:tcPr/>
          <w:p>
            <w:pPr>
              <w:pStyle w:val="Compact"/>
              <w:jc w:val="left"/>
            </w:pPr>
            <w:r>
              <w:t xml:space="preserve">Free on the High Court website. Judicial framing of the multi-layer model in which tort is one layer. Not peer-reviewed, so it cannot be one of your four — but it is a legitimate footnote.</w:t>
            </w:r>
          </w:p>
        </w:tc>
      </w:tr>
    </w:tbl>
    <w:p>
      <w:pPr>
        <w:pStyle w:val="BodyText"/>
      </w:pPr>
      <w:r>
        <w:rPr>
          <w:bCs/>
          <w:b/>
        </w:rPr>
        <w:t xml:space="preserve">Excluded on principle, though highly relevant.</w:t>
      </w:r>
      <w:r>
        <w:t xml:space="preserve"> </w:t>
      </w:r>
      <w:r>
        <w:t xml:space="preserve">Ellen Rock,</w:t>
      </w:r>
      <w:r>
        <w:t xml:space="preserve"> </w:t>
      </w:r>
      <w:r>
        <w:t xml:space="preserve">‘</w:t>
      </w:r>
      <w:r>
        <w:t xml:space="preserve">Government Liability for False Imprisonment: Relying on Past Reasoning from the High Court Is No Excuse</w:t>
      </w:r>
      <w:r>
        <w:t xml:space="preserve">’</w:t>
      </w:r>
      <w:r>
        <w:t xml:space="preserve"> </w:t>
      </w:r>
      <w:r>
        <w:t xml:space="preserve">(AUSPUBLAW, 19 June 2026) is the only academic commentary on</w:t>
      </w:r>
      <w:r>
        <w:t xml:space="preserve"> </w:t>
      </w:r>
      <w:r>
        <w:rPr>
          <w:iCs/>
          <w:i/>
        </w:rPr>
        <w:t xml:space="preserve">Abdel-Hady</w:t>
      </w:r>
      <w:r>
        <w:t xml:space="preserve"> </w:t>
      </w:r>
      <w:r>
        <w:t xml:space="preserve">in existence. Read it first, for orientation. It is a blog post, so it cannot be one of your four annotated sources, and citing it as scholarship would be a mistake.</w:t>
      </w:r>
    </w:p>
    <w:p>
      <w:r>
        <w:pict>
          <v:rect style="width:0;height:1.5pt" o:hralign="center" o:hrstd="t" o:hr="t"/>
        </w:pict>
      </w:r>
    </w:p>
    <w:bookmarkEnd w:id="54"/>
    <w:bookmarkStart w:id="55" w:name="part-c-verification-table"/>
    <w:p>
      <w:pPr>
        <w:pStyle w:val="Heading1"/>
      </w:pPr>
      <w:r>
        <w:t xml:space="preserve">Part C — Verification table</w:t>
      </w:r>
    </w:p>
    <w:p>
      <w:pPr>
        <w:pStyle w:val="FirstParagraph"/>
      </w:pPr>
      <w:r>
        <w:t xml:space="preserve">Do this before you submit. The rubric marks the citation trail, and a marker who cannot find a pinpoint reads it as a lapse.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Source</w:t>
            </w:r>
          </w:p>
        </w:tc>
        <w:tc>
          <w:tcPr/>
          <w:p>
            <w:pPr>
              <w:pStyle w:val="Compact"/>
              <w:jc w:val="left"/>
            </w:pPr>
            <w:r>
              <w:t xml:space="preserve">Citation</w:t>
            </w:r>
          </w:p>
        </w:tc>
        <w:tc>
          <w:tcPr/>
          <w:p>
            <w:pPr>
              <w:pStyle w:val="Compact"/>
              <w:jc w:val="left"/>
            </w:pPr>
            <w:r>
              <w:t xml:space="preserve">Pinpoints</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Varuhas,</w:t>
            </w:r>
            <w:r>
              <w:t xml:space="preserve"> </w:t>
            </w:r>
            <w:r>
              <w:t xml:space="preserve">‘</w:t>
            </w:r>
            <w:r>
              <w:t xml:space="preserve">Valuing Freedom</w:t>
            </w:r>
            <w:r>
              <w:t xml:space="preserve">’</w:t>
            </w:r>
          </w:p>
        </w:tc>
        <w:tc>
          <w:tcPr/>
          <w:p>
            <w:pPr>
              <w:pStyle w:val="Compact"/>
              <w:jc w:val="left"/>
            </w:pPr>
            <w:r>
              <w:t xml:space="preserve">Confirmed</w:t>
            </w:r>
          </w:p>
        </w:tc>
        <w:tc>
          <w:tcPr/>
          <w:p>
            <w:pPr>
              <w:pStyle w:val="Compact"/>
              <w:jc w:val="left"/>
            </w:pPr>
            <w:r>
              <w:t xml:space="preserve">Confirmed (123–140)</w:t>
            </w:r>
          </w:p>
        </w:tc>
        <w:tc>
          <w:tcPr/>
          <w:p>
            <w:pPr>
              <w:pStyle w:val="Compact"/>
              <w:jc w:val="left"/>
            </w:pPr>
            <w:r>
              <w:t xml:space="preserve">Ready</w:t>
            </w:r>
          </w:p>
        </w:tc>
      </w:tr>
      <w:tr>
        <w:tc>
          <w:tcPr/>
          <w:p>
            <w:pPr>
              <w:pStyle w:val="Compact"/>
              <w:jc w:val="left"/>
            </w:pPr>
            <w:r>
              <w:t xml:space="preserve">2</w:t>
            </w:r>
          </w:p>
        </w:tc>
        <w:tc>
          <w:tcPr/>
          <w:p>
            <w:pPr>
              <w:pStyle w:val="Compact"/>
              <w:jc w:val="left"/>
            </w:pPr>
            <w:r>
              <w:t xml:space="preserve">Varuhas,</w:t>
            </w:r>
            <w:r>
              <w:t xml:space="preserve"> </w:t>
            </w:r>
            <w:r>
              <w:t xml:space="preserve">‘</w:t>
            </w:r>
            <w:r>
              <w:t xml:space="preserve">Vindication</w:t>
            </w:r>
            <w:r>
              <w:t xml:space="preserve">’</w:t>
            </w:r>
          </w:p>
        </w:tc>
        <w:tc>
          <w:tcPr/>
          <w:p>
            <w:pPr>
              <w:pStyle w:val="Compact"/>
              <w:jc w:val="left"/>
            </w:pPr>
            <w:r>
              <w:t xml:space="preserve">Confirmed</w:t>
            </w:r>
          </w:p>
        </w:tc>
        <w:tc>
          <w:tcPr/>
          <w:p>
            <w:pPr>
              <w:pStyle w:val="Compact"/>
              <w:jc w:val="left"/>
            </w:pPr>
            <w:r>
              <w:rPr>
                <w:bCs/>
                <w:b/>
              </w:rPr>
              <w:t xml:space="preserve">3 of 9 confirmed</w:t>
            </w:r>
            <w:r>
              <w:t xml:space="preserve"> </w:t>
            </w:r>
            <w:r>
              <w:t xml:space="preserve">(261–7, 271ff, 284–9)</w:t>
            </w:r>
          </w:p>
        </w:tc>
        <w:tc>
          <w:tcPr/>
          <w:p>
            <w:pPr>
              <w:pStyle w:val="Compact"/>
              <w:jc w:val="left"/>
            </w:pPr>
            <w:r>
              <w:t xml:space="preserve">Open the OUP PDF; re-anchor all notes by page</w:t>
            </w:r>
          </w:p>
        </w:tc>
      </w:tr>
      <w:tr>
        <w:tc>
          <w:tcPr/>
          <w:p>
            <w:pPr>
              <w:pStyle w:val="Compact"/>
              <w:jc w:val="left"/>
            </w:pPr>
            <w:r>
              <w:t xml:space="preserve">3</w:t>
            </w:r>
          </w:p>
        </w:tc>
        <w:tc>
          <w:tcPr/>
          <w:p>
            <w:pPr>
              <w:pStyle w:val="Compact"/>
              <w:jc w:val="left"/>
            </w:pPr>
            <w:r>
              <w:t xml:space="preserve">Joseph &amp; Kyriakakis</w:t>
            </w:r>
          </w:p>
        </w:tc>
        <w:tc>
          <w:tcPr/>
          <w:p>
            <w:pPr>
              <w:pStyle w:val="Compact"/>
              <w:jc w:val="left"/>
            </w:pPr>
            <w:r>
              <w:t xml:space="preserve">Confirmed (43–65)</w:t>
            </w:r>
          </w:p>
        </w:tc>
        <w:tc>
          <w:tcPr/>
          <w:p>
            <w:pPr>
              <w:pStyle w:val="Compact"/>
              <w:jc w:val="left"/>
            </w:pPr>
            <w:r>
              <w:rPr>
                <w:bCs/>
                <w:b/>
              </w:rPr>
              <w:t xml:space="preserve">None</w:t>
            </w:r>
          </w:p>
        </w:tc>
        <w:tc>
          <w:tcPr/>
          <w:p>
            <w:pPr>
              <w:pStyle w:val="Compact"/>
              <w:jc w:val="left"/>
            </w:pPr>
            <w:r>
              <w:t xml:space="preserve">Open via Bloomsbury Collections; verify content of notes 3–7 or drop them</w:t>
            </w:r>
          </w:p>
        </w:tc>
      </w:tr>
      <w:tr>
        <w:tc>
          <w:tcPr/>
          <w:p>
            <w:pPr>
              <w:pStyle w:val="Compact"/>
              <w:jc w:val="left"/>
            </w:pPr>
            <w:r>
              <w:t xml:space="preserve">4</w:t>
            </w:r>
          </w:p>
        </w:tc>
        <w:tc>
          <w:tcPr/>
          <w:p>
            <w:pPr>
              <w:pStyle w:val="Compact"/>
              <w:jc w:val="left"/>
            </w:pPr>
            <w:r>
              <w:t xml:space="preserve">Nolan,</w:t>
            </w:r>
            <w:r>
              <w:t xml:space="preserve"> </w:t>
            </w:r>
            <w:r>
              <w:t xml:space="preserve">‘</w:t>
            </w:r>
            <w:r>
              <w:t xml:space="preserve">Tort and Public Law</w:t>
            </w:r>
            <w:r>
              <w:t xml:space="preserve">’</w:t>
            </w:r>
          </w:p>
        </w:tc>
        <w:tc>
          <w:tcPr/>
          <w:p>
            <w:pPr>
              <w:pStyle w:val="Compact"/>
              <w:jc w:val="left"/>
            </w:pPr>
            <w:r>
              <w:t xml:space="preserve">Confirmed</w:t>
            </w:r>
          </w:p>
        </w:tc>
        <w:tc>
          <w:tcPr/>
          <w:p>
            <w:pPr>
              <w:pStyle w:val="Compact"/>
              <w:jc w:val="left"/>
            </w:pPr>
            <w:r>
              <w:t xml:space="preserve">Manuscript pages only</w:t>
            </w:r>
          </w:p>
        </w:tc>
        <w:tc>
          <w:tcPr/>
          <w:p>
            <w:pPr>
              <w:pStyle w:val="Compact"/>
              <w:jc w:val="left"/>
            </w:pPr>
            <w:r>
              <w:t xml:space="preserve">Convert AM pages to LQR pages on Westlaw</w:t>
            </w:r>
          </w:p>
        </w:tc>
      </w:tr>
      <w:tr>
        <w:tc>
          <w:tcPr/>
          <w:p>
            <w:pPr>
              <w:pStyle w:val="Compact"/>
              <w:jc w:val="left"/>
            </w:pPr>
            <w:r>
              <w:t xml:space="preserve">5</w:t>
            </w:r>
          </w:p>
        </w:tc>
        <w:tc>
          <w:tcPr/>
          <w:p>
            <w:pPr>
              <w:pStyle w:val="Compact"/>
              <w:jc w:val="left"/>
            </w:pPr>
            <w:r>
              <w:t xml:space="preserve">Erbacher &amp; Taliadoros</w:t>
            </w:r>
          </w:p>
        </w:tc>
        <w:tc>
          <w:tcPr/>
          <w:p>
            <w:pPr>
              <w:pStyle w:val="Compact"/>
              <w:jc w:val="left"/>
            </w:pPr>
            <w:r>
              <w:t xml:space="preserve">Confirmed (693–732)</w:t>
            </w:r>
          </w:p>
        </w:tc>
        <w:tc>
          <w:tcPr/>
          <w:p>
            <w:pPr>
              <w:pStyle w:val="Compact"/>
              <w:jc w:val="left"/>
            </w:pPr>
            <w:r>
              <w:t xml:space="preserve">Confirmed</w:t>
            </w:r>
          </w:p>
        </w:tc>
        <w:tc>
          <w:tcPr/>
          <w:p>
            <w:pPr>
              <w:pStyle w:val="Compact"/>
              <w:jc w:val="left"/>
            </w:pPr>
            <w:r>
              <w:t xml:space="preserve">Ready</w:t>
            </w:r>
          </w:p>
        </w:tc>
      </w:tr>
      <w:tr>
        <w:tc>
          <w:tcPr/>
          <w:p>
            <w:pPr>
              <w:pStyle w:val="Compact"/>
              <w:jc w:val="left"/>
            </w:pPr>
            <w:r>
              <w:t xml:space="preserve">6</w:t>
            </w:r>
          </w:p>
        </w:tc>
        <w:tc>
          <w:tcPr/>
          <w:p>
            <w:pPr>
              <w:pStyle w:val="Compact"/>
              <w:jc w:val="left"/>
            </w:pPr>
            <w:r>
              <w:t xml:space="preserve">Douglas</w:t>
            </w:r>
          </w:p>
        </w:tc>
        <w:tc>
          <w:tcPr/>
          <w:p>
            <w:pPr>
              <w:pStyle w:val="Compact"/>
              <w:jc w:val="left"/>
            </w:pPr>
            <w:r>
              <w:t xml:space="preserve">Confirmed (117–119)</w:t>
            </w:r>
          </w:p>
        </w:tc>
        <w:tc>
          <w:tcPr/>
          <w:p>
            <w:pPr>
              <w:pStyle w:val="Compact"/>
              <w:jc w:val="left"/>
            </w:pPr>
            <w:r>
              <w:rPr>
                <w:bCs/>
                <w:b/>
              </w:rPr>
              <w:t xml:space="preserve">None</w:t>
            </w:r>
          </w:p>
        </w:tc>
        <w:tc>
          <w:tcPr/>
          <w:p>
            <w:pPr>
              <w:pStyle w:val="Compact"/>
              <w:jc w:val="left"/>
            </w:pPr>
            <w:r>
              <w:t xml:space="preserve">Three-page note — read it and fix the three pinpoints</w:t>
            </w:r>
          </w:p>
        </w:tc>
      </w:tr>
      <w:tr>
        <w:tc>
          <w:tcPr/>
          <w:p>
            <w:pPr>
              <w:pStyle w:val="Compact"/>
              <w:jc w:val="left"/>
            </w:pPr>
            <w:r>
              <w:t xml:space="preserve">7</w:t>
            </w:r>
          </w:p>
        </w:tc>
        <w:tc>
          <w:tcPr/>
          <w:p>
            <w:pPr>
              <w:pStyle w:val="Compact"/>
              <w:jc w:val="left"/>
            </w:pPr>
            <w:r>
              <w:t xml:space="preserve">Gilligan</w:t>
            </w:r>
          </w:p>
        </w:tc>
        <w:tc>
          <w:tcPr/>
          <w:p>
            <w:pPr>
              <w:pStyle w:val="Compact"/>
              <w:jc w:val="left"/>
            </w:pPr>
            <w:r>
              <w:t xml:space="preserve">Confirmed (560–565)</w:t>
            </w:r>
          </w:p>
        </w:tc>
        <w:tc>
          <w:tcPr/>
          <w:p>
            <w:pPr>
              <w:pStyle w:val="Compact"/>
              <w:jc w:val="left"/>
            </w:pPr>
            <w:r>
              <w:t xml:space="preserve">Confirmed</w:t>
            </w:r>
          </w:p>
        </w:tc>
        <w:tc>
          <w:tcPr/>
          <w:p>
            <w:pPr>
              <w:pStyle w:val="Compact"/>
              <w:jc w:val="left"/>
            </w:pPr>
            <w:r>
              <w:t xml:space="preserve">Ready</w:t>
            </w:r>
          </w:p>
        </w:tc>
      </w:tr>
      <w:tr>
        <w:tc>
          <w:tcPr/>
          <w:p>
            <w:pPr>
              <w:pStyle w:val="Compact"/>
              <w:jc w:val="left"/>
            </w:pPr>
            <w:r>
              <w:t xml:space="preserve">8</w:t>
            </w:r>
          </w:p>
        </w:tc>
        <w:tc>
          <w:tcPr/>
          <w:p>
            <w:pPr>
              <w:pStyle w:val="Compact"/>
              <w:jc w:val="left"/>
            </w:pPr>
            <w:r>
              <w:t xml:space="preserve">Rock &amp; Weeks</w:t>
            </w:r>
          </w:p>
        </w:tc>
        <w:tc>
          <w:tcPr/>
          <w:p>
            <w:pPr>
              <w:pStyle w:val="Compact"/>
              <w:jc w:val="left"/>
            </w:pPr>
            <w:r>
              <w:t xml:space="preserve">Confirmed (1159–1186)</w:t>
            </w:r>
          </w:p>
        </w:tc>
        <w:tc>
          <w:tcPr/>
          <w:p>
            <w:pPr>
              <w:pStyle w:val="Compact"/>
              <w:jc w:val="left"/>
            </w:pPr>
            <w:r>
              <w:t xml:space="preserve">Confirmed to 1172;</w:t>
            </w:r>
            <w:r>
              <w:t xml:space="preserve"> </w:t>
            </w:r>
            <w:r>
              <w:rPr>
                <w:bCs/>
                <w:b/>
              </w:rPr>
              <w:t xml:space="preserve">1186 and s III flagged</w:t>
            </w:r>
          </w:p>
        </w:tc>
        <w:tc>
          <w:tcPr/>
          <w:p>
            <w:pPr>
              <w:pStyle w:val="Compact"/>
              <w:jc w:val="left"/>
            </w:pPr>
            <w:r>
              <w:t xml:space="preserve">Read pp 1173–1186 and fix notes 9–10</w:t>
            </w:r>
          </w:p>
        </w:tc>
      </w:tr>
      <w:tr>
        <w:tc>
          <w:tcPr/>
          <w:p>
            <w:pPr>
              <w:pStyle w:val="Compact"/>
              <w:jc w:val="left"/>
            </w:pPr>
            <w:r>
              <w:t xml:space="preserve">9</w:t>
            </w:r>
          </w:p>
        </w:tc>
        <w:tc>
          <w:tcPr/>
          <w:p>
            <w:pPr>
              <w:pStyle w:val="Compact"/>
              <w:jc w:val="left"/>
            </w:pPr>
            <w:r>
              <w:t xml:space="preserve">Penovic</w:t>
            </w:r>
          </w:p>
        </w:tc>
        <w:tc>
          <w:tcPr/>
          <w:p>
            <w:pPr>
              <w:pStyle w:val="Compact"/>
              <w:jc w:val="left"/>
            </w:pPr>
            <w:r>
              <w:t xml:space="preserve">Confirmed (156–181)</w:t>
            </w:r>
          </w:p>
        </w:tc>
        <w:tc>
          <w:tcPr/>
          <w:p>
            <w:pPr>
              <w:pStyle w:val="Compact"/>
              <w:jc w:val="left"/>
            </w:pPr>
            <w:r>
              <w:rPr>
                <w:bCs/>
                <w:b/>
              </w:rPr>
              <w:t xml:space="preserve">None</w:t>
            </w:r>
          </w:p>
        </w:tc>
        <w:tc>
          <w:tcPr/>
          <w:p>
            <w:pPr>
              <w:pStyle w:val="Compact"/>
              <w:jc w:val="left"/>
            </w:pPr>
            <w:r>
              <w:t xml:space="preserve">Download from SSRN; verify every note</w:t>
            </w:r>
          </w:p>
        </w:tc>
      </w:tr>
      <w:tr>
        <w:tc>
          <w:tcPr/>
          <w:p>
            <w:pPr>
              <w:pStyle w:val="Compact"/>
              <w:jc w:val="left"/>
            </w:pPr>
            <w:r>
              <w:t xml:space="preserve">10</w:t>
            </w:r>
          </w:p>
        </w:tc>
        <w:tc>
          <w:tcPr/>
          <w:p>
            <w:pPr>
              <w:pStyle w:val="Compact"/>
              <w:jc w:val="left"/>
            </w:pPr>
            <w:r>
              <w:t xml:space="preserve">Rock,</w:t>
            </w:r>
            <w:r>
              <w:t xml:space="preserve"> </w:t>
            </w:r>
            <w:r>
              <w:t xml:space="preserve">‘</w:t>
            </w:r>
            <w:r>
              <w:rPr>
                <w:iCs/>
                <w:i/>
              </w:rPr>
              <w:t xml:space="preserve">Thoms</w:t>
            </w:r>
            <w:r>
              <w:t xml:space="preserve">’</w:t>
            </w:r>
          </w:p>
        </w:tc>
        <w:tc>
          <w:tcPr/>
          <w:p>
            <w:pPr>
              <w:pStyle w:val="Compact"/>
              <w:jc w:val="left"/>
            </w:pPr>
            <w:r>
              <w:t xml:space="preserve">Confirmed (157–161)</w:t>
            </w:r>
          </w:p>
        </w:tc>
        <w:tc>
          <w:tcPr/>
          <w:p>
            <w:pPr>
              <w:pStyle w:val="Compact"/>
              <w:jc w:val="left"/>
            </w:pPr>
            <w:r>
              <w:rPr>
                <w:bCs/>
                <w:b/>
              </w:rPr>
              <w:t xml:space="preserve">None</w:t>
            </w:r>
          </w:p>
        </w:tc>
        <w:tc>
          <w:tcPr/>
          <w:p>
            <w:pPr>
              <w:pStyle w:val="Compact"/>
              <w:jc w:val="left"/>
            </w:pPr>
            <w:r>
              <w:t xml:space="preserve">Westlaw AU. If unobtainable, drop the source</w:t>
            </w:r>
          </w:p>
        </w:tc>
      </w:tr>
      <w:tr>
        <w:tc>
          <w:tcPr/>
          <w:p>
            <w:pPr>
              <w:pStyle w:val="Compact"/>
              <w:jc w:val="left"/>
            </w:pPr>
            <w:r>
              <w:t xml:space="preserve">11</w:t>
            </w:r>
          </w:p>
        </w:tc>
        <w:tc>
          <w:tcPr/>
          <w:p>
            <w:pPr>
              <w:pStyle w:val="Compact"/>
              <w:jc w:val="left"/>
            </w:pPr>
            <w:r>
              <w:t xml:space="preserve">Pannam</w:t>
            </w:r>
          </w:p>
        </w:tc>
        <w:tc>
          <w:tcPr/>
          <w:p>
            <w:pPr>
              <w:pStyle w:val="Compact"/>
              <w:jc w:val="left"/>
            </w:pPr>
            <w:r>
              <w:t xml:space="preserve">Confirmed (113–142)</w:t>
            </w:r>
          </w:p>
        </w:tc>
        <w:tc>
          <w:tcPr/>
          <w:p>
            <w:pPr>
              <w:pStyle w:val="Compact"/>
              <w:jc w:val="left"/>
            </w:pPr>
            <w:r>
              <w:t xml:space="preserve">Confirmed</w:t>
            </w:r>
          </w:p>
        </w:tc>
        <w:tc>
          <w:tcPr/>
          <w:p>
            <w:pPr>
              <w:pStyle w:val="Compact"/>
              <w:jc w:val="left"/>
            </w:pPr>
            <w:r>
              <w:t xml:space="preserve">Ready</w:t>
            </w:r>
          </w:p>
        </w:tc>
      </w:tr>
      <w:tr>
        <w:tc>
          <w:tcPr/>
          <w:p>
            <w:pPr>
              <w:pStyle w:val="Compact"/>
              <w:jc w:val="left"/>
            </w:pPr>
            <w:r>
              <w:t xml:space="preserve">12</w:t>
            </w:r>
          </w:p>
        </w:tc>
        <w:tc>
          <w:tcPr/>
          <w:p>
            <w:pPr>
              <w:pStyle w:val="Compact"/>
              <w:jc w:val="left"/>
            </w:pPr>
            <w:r>
              <w:t xml:space="preserve">Rock,</w:t>
            </w:r>
            <w:r>
              <w:t xml:space="preserve"> </w:t>
            </w:r>
            <w:r>
              <w:rPr>
                <w:iCs/>
                <w:i/>
              </w:rPr>
              <w:t xml:space="preserve">Measuring Accountability</w:t>
            </w:r>
          </w:p>
        </w:tc>
        <w:tc>
          <w:tcPr/>
          <w:p>
            <w:pPr>
              <w:pStyle w:val="Compact"/>
              <w:jc w:val="left"/>
            </w:pPr>
            <w:r>
              <w:t xml:space="preserve">Confirmed</w:t>
            </w:r>
          </w:p>
        </w:tc>
        <w:tc>
          <w:tcPr/>
          <w:p>
            <w:pPr>
              <w:pStyle w:val="Compact"/>
              <w:jc w:val="left"/>
            </w:pPr>
            <w:r>
              <w:t xml:space="preserve">Chapter-level only</w:t>
            </w:r>
          </w:p>
        </w:tc>
        <w:tc>
          <w:tcPr/>
          <w:p>
            <w:pPr>
              <w:pStyle w:val="Compact"/>
              <w:jc w:val="left"/>
            </w:pPr>
            <w:r>
              <w:t xml:space="preserve">Library copy; fix pages if you use it</w:t>
            </w:r>
          </w:p>
        </w:tc>
      </w:tr>
      <w:tr>
        <w:tc>
          <w:tcPr/>
          <w:p>
            <w:pPr>
              <w:pStyle w:val="Compact"/>
              <w:jc w:val="left"/>
            </w:pPr>
            <w:r>
              <w:t xml:space="preserve">13</w:t>
            </w:r>
          </w:p>
        </w:tc>
        <w:tc>
          <w:tcPr/>
          <w:p>
            <w:pPr>
              <w:pStyle w:val="Compact"/>
              <w:jc w:val="left"/>
            </w:pPr>
            <w:r>
              <w:t xml:space="preserve">Beswick</w:t>
            </w:r>
          </w:p>
        </w:tc>
        <w:tc>
          <w:tcPr/>
          <w:p>
            <w:pPr>
              <w:pStyle w:val="Compact"/>
              <w:jc w:val="left"/>
            </w:pPr>
            <w:r>
              <w:t xml:space="preserve">Confirmed</w:t>
            </w:r>
          </w:p>
        </w:tc>
        <w:tc>
          <w:tcPr/>
          <w:p>
            <w:pPr>
              <w:pStyle w:val="Compact"/>
              <w:jc w:val="left"/>
            </w:pPr>
            <w:r>
              <w:rPr>
                <w:bCs/>
                <w:b/>
              </w:rPr>
              <w:t xml:space="preserve">286 only</w:t>
            </w:r>
          </w:p>
        </w:tc>
        <w:tc>
          <w:tcPr/>
          <w:p>
            <w:pPr>
              <w:pStyle w:val="Compact"/>
              <w:jc w:val="left"/>
            </w:pPr>
            <w:r>
              <w:t xml:space="preserve">Confirm Part page ranges in the PDF</w:t>
            </w:r>
          </w:p>
        </w:tc>
      </w:tr>
      <w:tr>
        <w:tc>
          <w:tcPr/>
          <w:p>
            <w:pPr>
              <w:pStyle w:val="Compact"/>
              <w:jc w:val="left"/>
            </w:pPr>
            <w:r>
              <w:t xml:space="preserve">14</w:t>
            </w:r>
          </w:p>
        </w:tc>
        <w:tc>
          <w:tcPr/>
          <w:p>
            <w:pPr>
              <w:pStyle w:val="Compact"/>
              <w:jc w:val="left"/>
            </w:pPr>
            <w:r>
              <w:t xml:space="preserve">Hammond</w:t>
            </w:r>
          </w:p>
        </w:tc>
        <w:tc>
          <w:tcPr/>
          <w:p>
            <w:pPr>
              <w:pStyle w:val="Compact"/>
              <w:jc w:val="left"/>
            </w:pPr>
            <w:r>
              <w:t xml:space="preserve">Confirmed (227–237)</w:t>
            </w:r>
          </w:p>
        </w:tc>
        <w:tc>
          <w:tcPr/>
          <w:p>
            <w:pPr>
              <w:pStyle w:val="Compact"/>
              <w:jc w:val="left"/>
            </w:pPr>
            <w:r>
              <w:rPr>
                <w:bCs/>
                <w:b/>
              </w:rPr>
              <w:t xml:space="preserve">None</w:t>
            </w:r>
          </w:p>
        </w:tc>
        <w:tc>
          <w:tcPr/>
          <w:p>
            <w:pPr>
              <w:pStyle w:val="Compact"/>
              <w:jc w:val="left"/>
            </w:pPr>
            <w:r>
              <w:t xml:space="preserve">Open the free PDF; fix five pinpoints</w:t>
            </w:r>
          </w:p>
        </w:tc>
      </w:tr>
      <w:tr>
        <w:tc>
          <w:tcPr/>
          <w:p>
            <w:pPr>
              <w:pStyle w:val="Compact"/>
              <w:jc w:val="left"/>
            </w:pPr>
            <w:r>
              <w:t xml:space="preserve">15</w:t>
            </w:r>
          </w:p>
        </w:tc>
        <w:tc>
          <w:tcPr/>
          <w:p>
            <w:pPr>
              <w:pStyle w:val="Compact"/>
              <w:jc w:val="left"/>
            </w:pPr>
            <w:r>
              <w:t xml:space="preserve">Finnis</w:t>
            </w:r>
          </w:p>
        </w:tc>
        <w:tc>
          <w:tcPr/>
          <w:p>
            <w:pPr>
              <w:pStyle w:val="Compact"/>
              <w:jc w:val="left"/>
            </w:pPr>
            <w:r>
              <w:t xml:space="preserve">Confirmed</w:t>
            </w:r>
          </w:p>
        </w:tc>
        <w:tc>
          <w:tcPr/>
          <w:p>
            <w:pPr>
              <w:pStyle w:val="Compact"/>
              <w:jc w:val="left"/>
            </w:pPr>
            <w:r>
              <w:rPr>
                <w:bCs/>
                <w:b/>
              </w:rPr>
              <w:t xml:space="preserve">174–175 only</w:t>
            </w:r>
            <w:r>
              <w:t xml:space="preserve"> </w:t>
            </w:r>
            <w:r>
              <w:t xml:space="preserve">(from the judgment)</w:t>
            </w:r>
          </w:p>
        </w:tc>
        <w:tc>
          <w:tcPr/>
          <w:p>
            <w:pPr>
              <w:pStyle w:val="Compact"/>
              <w:jc w:val="left"/>
            </w:pPr>
            <w:r>
              <w:t xml:space="preserve">Cite only that range unless you read it</w:t>
            </w:r>
          </w:p>
        </w:tc>
      </w:tr>
      <w:tr>
        <w:tc>
          <w:tcPr/>
          <w:p>
            <w:pPr>
              <w:pStyle w:val="Compact"/>
              <w:jc w:val="left"/>
            </w:pPr>
            <w:r>
              <w:t xml:space="preserve">16</w:t>
            </w:r>
          </w:p>
        </w:tc>
        <w:tc>
          <w:tcPr/>
          <w:p>
            <w:pPr>
              <w:pStyle w:val="Compact"/>
              <w:jc w:val="left"/>
            </w:pPr>
            <w:r>
              <w:t xml:space="preserve">Meagher</w:t>
            </w:r>
          </w:p>
        </w:tc>
        <w:tc>
          <w:tcPr/>
          <w:p>
            <w:pPr>
              <w:pStyle w:val="Compact"/>
              <w:jc w:val="left"/>
            </w:pPr>
            <w:r>
              <w:t xml:space="preserve">Confirmed (449–478)</w:t>
            </w:r>
          </w:p>
        </w:tc>
        <w:tc>
          <w:tcPr/>
          <w:p>
            <w:pPr>
              <w:pStyle w:val="Compact"/>
              <w:jc w:val="left"/>
            </w:pPr>
            <w:r>
              <w:t xml:space="preserve">Confirmed</w:t>
            </w:r>
          </w:p>
        </w:tc>
        <w:tc>
          <w:tcPr/>
          <w:p>
            <w:pPr>
              <w:pStyle w:val="Compact"/>
              <w:jc w:val="left"/>
            </w:pPr>
            <w:r>
              <w:t xml:space="preserve">Ready</w:t>
            </w:r>
          </w:p>
        </w:tc>
      </w:tr>
      <w:tr>
        <w:tc>
          <w:tcPr/>
          <w:p>
            <w:pPr>
              <w:pStyle w:val="Compact"/>
              <w:jc w:val="left"/>
            </w:pPr>
            <w:r>
              <w:t xml:space="preserve">17</w:t>
            </w:r>
          </w:p>
        </w:tc>
        <w:tc>
          <w:tcPr/>
          <w:p>
            <w:pPr>
              <w:pStyle w:val="Compact"/>
              <w:jc w:val="left"/>
            </w:pPr>
            <w:r>
              <w:t xml:space="preserve">Moshinsky</w:t>
            </w:r>
          </w:p>
        </w:tc>
        <w:tc>
          <w:tcPr/>
          <w:p>
            <w:pPr>
              <w:pStyle w:val="Compact"/>
              <w:jc w:val="left"/>
            </w:pPr>
            <w:r>
              <w:t xml:space="preserve">Confirmed (ch 5, 69–)</w:t>
            </w:r>
          </w:p>
        </w:tc>
        <w:tc>
          <w:tcPr/>
          <w:p>
            <w:pPr>
              <w:pStyle w:val="Compact"/>
              <w:jc w:val="left"/>
            </w:pPr>
            <w:r>
              <w:t xml:space="preserve">Confirmed</w:t>
            </w:r>
          </w:p>
        </w:tc>
        <w:tc>
          <w:tcPr/>
          <w:p>
            <w:pPr>
              <w:pStyle w:val="Compact"/>
              <w:jc w:val="left"/>
            </w:pPr>
            <w:r>
              <w:t xml:space="preserve">Ready</w:t>
            </w:r>
          </w:p>
        </w:tc>
      </w:tr>
      <w:tr>
        <w:tc>
          <w:tcPr/>
          <w:p>
            <w:pPr>
              <w:pStyle w:val="Compact"/>
              <w:jc w:val="left"/>
            </w:pPr>
            <w:r>
              <w:t xml:space="preserve">18</w:t>
            </w:r>
          </w:p>
        </w:tc>
        <w:tc>
          <w:tcPr/>
          <w:p>
            <w:pPr>
              <w:pStyle w:val="Compact"/>
              <w:jc w:val="left"/>
            </w:pPr>
            <w:r>
              <w:t xml:space="preserve">Curtin</w:t>
            </w:r>
          </w:p>
        </w:tc>
        <w:tc>
          <w:tcPr/>
          <w:p>
            <w:pPr>
              <w:pStyle w:val="Compact"/>
              <w:jc w:val="left"/>
            </w:pPr>
            <w:r>
              <w:t xml:space="preserve">Confirmed (start 355)</w:t>
            </w:r>
          </w:p>
        </w:tc>
        <w:tc>
          <w:tcPr/>
          <w:p>
            <w:pPr>
              <w:pStyle w:val="Compact"/>
              <w:jc w:val="left"/>
            </w:pPr>
            <w:r>
              <w:rPr>
                <w:bCs/>
                <w:b/>
              </w:rPr>
              <w:t xml:space="preserve">None</w:t>
            </w:r>
          </w:p>
        </w:tc>
        <w:tc>
          <w:tcPr/>
          <w:p>
            <w:pPr>
              <w:pStyle w:val="Compact"/>
              <w:jc w:val="left"/>
            </w:pPr>
            <w:r>
              <w:rPr>
                <w:bCs/>
                <w:b/>
              </w:rPr>
              <w:t xml:space="preserve">Priority.</w:t>
            </w:r>
            <w:r>
              <w:t xml:space="preserve"> </w:t>
            </w:r>
            <w:r>
              <w:t xml:space="preserve">Get the paginated PDF and fix every pinpoint</w:t>
            </w:r>
          </w:p>
        </w:tc>
      </w:tr>
      <w:tr>
        <w:tc>
          <w:tcPr/>
          <w:p>
            <w:pPr>
              <w:pStyle w:val="Compact"/>
              <w:jc w:val="left"/>
            </w:pPr>
            <w:r>
              <w:t xml:space="preserve">19</w:t>
            </w:r>
          </w:p>
        </w:tc>
        <w:tc>
          <w:tcPr/>
          <w:p>
            <w:pPr>
              <w:pStyle w:val="Compact"/>
              <w:jc w:val="left"/>
            </w:pPr>
            <w:r>
              <w:t xml:space="preserve">Tulich, Kenny &amp; Murray</w:t>
            </w:r>
          </w:p>
        </w:tc>
        <w:tc>
          <w:tcPr/>
          <w:p>
            <w:pPr>
              <w:pStyle w:val="Compact"/>
              <w:jc w:val="left"/>
            </w:pPr>
            <w:r>
              <w:t xml:space="preserve">Confirmed (25–45)</w:t>
            </w:r>
          </w:p>
        </w:tc>
        <w:tc>
          <w:tcPr/>
          <w:p>
            <w:pPr>
              <w:pStyle w:val="Compact"/>
              <w:jc w:val="left"/>
            </w:pPr>
            <w:r>
              <w:t xml:space="preserve">Confirmed</w:t>
            </w:r>
          </w:p>
        </w:tc>
        <w:tc>
          <w:tcPr/>
          <w:p>
            <w:pPr>
              <w:pStyle w:val="Compact"/>
              <w:jc w:val="left"/>
            </w:pPr>
            <w:r>
              <w:t xml:space="preserve">Ready</w:t>
            </w:r>
          </w:p>
        </w:tc>
      </w:tr>
      <w:tr>
        <w:tc>
          <w:tcPr/>
          <w:p>
            <w:pPr>
              <w:pStyle w:val="Compact"/>
              <w:jc w:val="left"/>
            </w:pPr>
            <w:r>
              <w:t xml:space="preserve">20</w:t>
            </w:r>
          </w:p>
        </w:tc>
        <w:tc>
          <w:tcPr/>
          <w:p>
            <w:pPr>
              <w:pStyle w:val="Compact"/>
              <w:jc w:val="left"/>
            </w:pPr>
            <w:r>
              <w:t xml:space="preserve">Roach</w:t>
            </w:r>
          </w:p>
        </w:tc>
        <w:tc>
          <w:tcPr/>
          <w:p>
            <w:pPr>
              <w:pStyle w:val="Compact"/>
              <w:jc w:val="left"/>
            </w:pPr>
            <w:r>
              <w:t xml:space="preserve">Title, journal, volume and supplement confirmed;</w:t>
            </w:r>
            <w:r>
              <w:t xml:space="preserve"> </w:t>
            </w:r>
            <w:r>
              <w:rPr>
                <w:bCs/>
                <w:b/>
              </w:rPr>
              <w:t xml:space="preserve">start page not</w:t>
            </w:r>
          </w:p>
        </w:tc>
        <w:tc>
          <w:tcPr/>
          <w:p>
            <w:pPr>
              <w:pStyle w:val="Compact"/>
              <w:jc w:val="left"/>
            </w:pPr>
            <w:r>
              <w:rPr>
                <w:bCs/>
                <w:b/>
              </w:rPr>
              <w:t xml:space="preserve">None</w:t>
            </w:r>
          </w:p>
        </w:tc>
        <w:tc>
          <w:tcPr/>
          <w:p>
            <w:pPr>
              <w:pStyle w:val="Compact"/>
              <w:jc w:val="left"/>
            </w:pPr>
            <w:r>
              <w:t xml:space="preserve">Confirm the start page via the library, or substitute</w:t>
            </w:r>
          </w:p>
        </w:tc>
      </w:tr>
    </w:tbl>
    <w:p>
      <w:pPr>
        <w:pStyle w:val="BodyText"/>
      </w:pPr>
      <w:r>
        <w:rPr>
          <w:bCs/>
          <w:b/>
        </w:rPr>
        <w:t xml:space="preserve">Independent citation check (10 September 2026).</w:t>
      </w:r>
      <w:r>
        <w:t xml:space="preserve"> </w:t>
      </w:r>
      <w:r>
        <w:t xml:space="preserve">All twenty citations were re-verified against AustLII, publisher pages, DOI records and institutional repositories. Nineteen were confirmed exactly as written above. The only unresolved element is the start page of source 20 (Roach): the title, journal, volume and supplement number are confirmed, but JSTOR and Project MUSE both refused access, so</w:t>
      </w:r>
      <w:r>
        <w:t xml:space="preserve"> </w:t>
      </w:r>
      <w:r>
        <w:t xml:space="preserve">“</w:t>
      </w:r>
      <w:r>
        <w:t xml:space="preserve">33</w:t>
      </w:r>
      <w:r>
        <w:t xml:space="preserve">”</w:t>
      </w:r>
      <w:r>
        <w:t xml:space="preserve"> </w:t>
      </w:r>
      <w:r>
        <w:t xml:space="preserve">is not corroborated — confirm it through Macquarie’s UTLJ subscription before citing, or use a different source. Two end pages were confirmed along the way and are worth having: Varuhas,</w:t>
      </w:r>
      <w:r>
        <w:t xml:space="preserve"> </w:t>
      </w:r>
      <w:r>
        <w:t xml:space="preserve">‘</w:t>
      </w:r>
      <w:r>
        <w:t xml:space="preserve">Vindication</w:t>
      </w:r>
      <w:r>
        <w:t xml:space="preserve">’</w:t>
      </w:r>
      <w:r>
        <w:t xml:space="preserve"> </w:t>
      </w:r>
      <w:r>
        <w:t xml:space="preserve">runs 253–293, and Finnis,</w:t>
      </w:r>
      <w:r>
        <w:t xml:space="preserve"> </w:t>
      </w:r>
      <w:r>
        <w:t xml:space="preserve">‘</w:t>
      </w:r>
      <w:r>
        <w:t xml:space="preserve">The Fairy Tale’s Moral</w:t>
      </w:r>
      <w:r>
        <w:t xml:space="preserve">’</w:t>
      </w:r>
      <w:r>
        <w:t xml:space="preserve"> </w:t>
      </w:r>
      <w:r>
        <w:t xml:space="preserve">runs 170–175.</w:t>
      </w:r>
    </w:p>
    <w:p>
      <w:pPr>
        <w:pStyle w:val="BodyText"/>
      </w:pPr>
      <w:r>
        <w:t xml:space="preserve">Seven of the twenty are submission-ready as annotated. If you want the least verification work for the strongest paper, that argues for a final four drawn from</w:t>
      </w:r>
      <w:r>
        <w:t xml:space="preserve"> </w:t>
      </w:r>
      <w:r>
        <w:rPr>
          <w:bCs/>
          <w:b/>
        </w:rPr>
        <w:t xml:space="preserve">1, 5, 7, 8, 11, 16, 17, 19</w:t>
      </w:r>
      <w:r>
        <w:t xml:space="preserve">.</w:t>
      </w:r>
    </w:p>
    <w:p>
      <w:r>
        <w:pict>
          <v:rect style="width:0;height:1.5pt" o:hralign="center" o:hrstd="t" o:hr="t"/>
        </w:pict>
      </w:r>
    </w:p>
    <w:bookmarkEnd w:id="55"/>
    <w:bookmarkStart w:id="56" w:name="Xfd4c22161dd3cc4c201911c2ef87bd7b7fb7d21"/>
    <w:p>
      <w:pPr>
        <w:pStyle w:val="Heading1"/>
      </w:pPr>
      <w:r>
        <w:t xml:space="preserve">Part D — Two things the case leaves open that no source covers</w:t>
      </w:r>
    </w:p>
    <w:p>
      <w:pPr>
        <w:pStyle w:val="FirstParagraph"/>
      </w:pPr>
      <w:r>
        <w:t xml:space="preserve">Worth a sentence each, because they are the kind of</w:t>
      </w:r>
      <w:r>
        <w:t xml:space="preserve"> </w:t>
      </w:r>
      <w:r>
        <w:t xml:space="preserve">“</w:t>
      </w:r>
      <w:r>
        <w:t xml:space="preserve">what it leaves open</w:t>
      </w:r>
      <w:r>
        <w:t xml:space="preserve">”</w:t>
      </w:r>
      <w:r>
        <w:t xml:space="preserve"> </w:t>
      </w:r>
      <w:r>
        <w:t xml:space="preserve">the prompt expressly asks for, and no secondary source can be cited for them — which is fine, since the primary sources carry them.</w:t>
      </w:r>
    </w:p>
    <w:p>
      <w:pPr>
        <w:numPr>
          <w:ilvl w:val="0"/>
          <w:numId w:val="1043"/>
        </w:numPr>
        <w:pStyle w:val="Compact"/>
      </w:pPr>
      <w:r>
        <w:rPr>
          <w:bCs/>
          <w:b/>
        </w:rPr>
        <w:t xml:space="preserve">Direct liability of the Commonwealth.</w:t>
      </w:r>
      <w:r>
        <w:t xml:space="preserve"> </w:t>
      </w:r>
      <w:r>
        <w:t xml:space="preserve">The plurality declined to decide it ([21]–[22]); Edelman J thought it should have been decided and held the Commonwealth directly liable through agency as well as vicariously ([126], [132]–[144]). The practical consequence is unresolved for any claimant detained by an</w:t>
      </w:r>
      <w:r>
        <w:t xml:space="preserve"> </w:t>
      </w:r>
      <w:r>
        <w:t xml:space="preserve">“</w:t>
      </w:r>
      <w:r>
        <w:t xml:space="preserve">officer</w:t>
      </w:r>
      <w:r>
        <w:t xml:space="preserve">”</w:t>
      </w:r>
      <w:r>
        <w:t xml:space="preserve"> </w:t>
      </w:r>
      <w:r>
        <w:t xml:space="preserve">who is not a Commonwealth employee — a State police officer, or a person authorised in writing by the Minister (s 5(1)) — because the Commonwealth’s vicarious liability concession may not reach them ([139]).</w:t>
      </w:r>
    </w:p>
    <w:p>
      <w:pPr>
        <w:numPr>
          <w:ilvl w:val="0"/>
          <w:numId w:val="1043"/>
        </w:numPr>
        <w:pStyle w:val="Compact"/>
      </w:pPr>
      <w:r>
        <w:rPr>
          <w:bCs/>
          <w:b/>
        </w:rPr>
        <w:t xml:space="preserve">Quantum.</w:t>
      </w:r>
      <w:r>
        <w:t xml:space="preserve"> </w:t>
      </w:r>
      <w:r>
        <w:t xml:space="preserve">Nothing in the judgment decides it. The plaintiff’s damages fall to be assessed, and the governing authorities are</w:t>
      </w:r>
      <w:r>
        <w:t xml:space="preserve"> </w:t>
      </w:r>
      <w:r>
        <w:rPr>
          <w:iCs/>
          <w:i/>
        </w:rPr>
        <w:t xml:space="preserve">Lewis</w:t>
      </w:r>
      <w:r>
        <w:t xml:space="preserve"> </w:t>
      </w:r>
      <w:r>
        <w:t xml:space="preserve">and</w:t>
      </w:r>
      <w:r>
        <w:t xml:space="preserve"> </w:t>
      </w:r>
      <w:r>
        <w:rPr>
          <w:iCs/>
          <w:i/>
        </w:rPr>
        <w:t xml:space="preserve">Fernando</w:t>
      </w:r>
      <w:r>
        <w:t xml:space="preserve">. Whether</w:t>
      </w:r>
      <w:r>
        <w:t xml:space="preserve"> </w:t>
      </w:r>
      <w:r>
        <w:rPr>
          <w:iCs/>
          <w:i/>
        </w:rPr>
        <w:t xml:space="preserve">Lewis</w:t>
      </w:r>
      <w:r>
        <w:t xml:space="preserve"> </w:t>
      </w:r>
      <w:r>
        <w:t xml:space="preserve">can apply at all where the counterfactual</w:t>
      </w:r>
      <w:r>
        <w:t xml:space="preserve"> </w:t>
      </w:r>
      <w:r>
        <w:t xml:space="preserve">“</w:t>
      </w:r>
      <w:r>
        <w:t xml:space="preserve">lawful detention</w:t>
      </w:r>
      <w:r>
        <w:t xml:space="preserve">”</w:t>
      </w:r>
      <w:r>
        <w:t xml:space="preserve"> </w:t>
      </w:r>
      <w:r>
        <w:t xml:space="preserve">was constitutionally impossible is, so far as I can find, unargued anywhere — which makes it the most interesting sentence available to you.</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2026-09-10T03:10:34Z</dcterms:created>
  <dcterms:modified xsi:type="dcterms:W3CDTF">2026-09-10T03:10:34Z</dcterms:modified>
</cp:coreProperties>
</file>

<file path=docProps/custom.xml><?xml version="1.0" encoding="utf-8"?>
<Properties xmlns="http://schemas.openxmlformats.org/officeDocument/2006/custom-properties" xmlns:vt="http://schemas.openxmlformats.org/officeDocument/2006/docPropsVTypes"/>
</file>