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11" w:rsidRDefault="00F00736" w:rsidP="00F00736">
      <w:pPr>
        <w:pStyle w:val="Title"/>
        <w:jc w:val="center"/>
      </w:pPr>
      <w:r w:rsidRPr="00F00736">
        <w:t>Ashoka Bark</w:t>
      </w:r>
    </w:p>
    <w:p w:rsidR="00F00736" w:rsidRPr="00F00736" w:rsidRDefault="00F00736" w:rsidP="00F00736"/>
    <w:tbl>
      <w:tblPr>
        <w:tblStyle w:val="TableGrid"/>
        <w:tblW w:w="13731" w:type="dxa"/>
        <w:tblLayout w:type="fixed"/>
        <w:tblLook w:val="04A0" w:firstRow="1" w:lastRow="0" w:firstColumn="1" w:lastColumn="0" w:noHBand="0" w:noVBand="1"/>
      </w:tblPr>
      <w:tblGrid>
        <w:gridCol w:w="1382"/>
        <w:gridCol w:w="1403"/>
        <w:gridCol w:w="1409"/>
        <w:gridCol w:w="2911"/>
        <w:gridCol w:w="3510"/>
        <w:gridCol w:w="3116"/>
      </w:tblGrid>
      <w:tr w:rsidR="00380A2E" w:rsidRPr="00F00736" w:rsidTr="00380A2E">
        <w:tc>
          <w:tcPr>
            <w:tcW w:w="1382" w:type="dxa"/>
          </w:tcPr>
          <w:p w:rsidR="00380A2E" w:rsidRPr="00F00736" w:rsidRDefault="00380A2E" w:rsidP="00F00736">
            <w:pPr>
              <w:rPr>
                <w:b/>
                <w:bCs/>
                <w:i/>
                <w:iCs/>
              </w:rPr>
            </w:pPr>
            <w:r w:rsidRPr="00F00736">
              <w:rPr>
                <w:b/>
                <w:bCs/>
                <w:i/>
                <w:iCs/>
              </w:rPr>
              <w:t>Synonyms Name</w:t>
            </w:r>
          </w:p>
        </w:tc>
        <w:tc>
          <w:tcPr>
            <w:tcW w:w="1403" w:type="dxa"/>
          </w:tcPr>
          <w:p w:rsidR="00380A2E" w:rsidRPr="00F00736" w:rsidRDefault="00380A2E" w:rsidP="00F00736">
            <w:pPr>
              <w:rPr>
                <w:b/>
                <w:bCs/>
                <w:i/>
                <w:iCs/>
              </w:rPr>
            </w:pPr>
            <w:r w:rsidRPr="00F00736">
              <w:rPr>
                <w:b/>
                <w:bCs/>
                <w:i/>
                <w:iCs/>
              </w:rPr>
              <w:t>Biological Source</w:t>
            </w:r>
          </w:p>
        </w:tc>
        <w:tc>
          <w:tcPr>
            <w:tcW w:w="1409" w:type="dxa"/>
          </w:tcPr>
          <w:p w:rsidR="00380A2E" w:rsidRPr="00F00736" w:rsidRDefault="00380A2E" w:rsidP="00F00736">
            <w:pPr>
              <w:rPr>
                <w:b/>
                <w:bCs/>
                <w:i/>
                <w:iCs/>
              </w:rPr>
            </w:pPr>
            <w:r w:rsidRPr="00F00736">
              <w:rPr>
                <w:b/>
                <w:bCs/>
                <w:i/>
                <w:iCs/>
              </w:rPr>
              <w:t>Family</w:t>
            </w:r>
          </w:p>
        </w:tc>
        <w:tc>
          <w:tcPr>
            <w:tcW w:w="2911" w:type="dxa"/>
          </w:tcPr>
          <w:p w:rsidR="00380A2E" w:rsidRPr="00F00736" w:rsidRDefault="00380A2E" w:rsidP="00F00736">
            <w:pPr>
              <w:rPr>
                <w:b/>
                <w:bCs/>
                <w:i/>
                <w:iCs/>
              </w:rPr>
            </w:pPr>
            <w:r w:rsidRPr="00F00736">
              <w:rPr>
                <w:b/>
                <w:bCs/>
                <w:i/>
                <w:iCs/>
              </w:rPr>
              <w:t>Chemical Constituents</w:t>
            </w:r>
          </w:p>
        </w:tc>
        <w:tc>
          <w:tcPr>
            <w:tcW w:w="3510" w:type="dxa"/>
          </w:tcPr>
          <w:p w:rsidR="00380A2E" w:rsidRPr="00F00736" w:rsidRDefault="00380A2E" w:rsidP="00F00736">
            <w:pPr>
              <w:rPr>
                <w:b/>
                <w:bCs/>
                <w:i/>
                <w:iCs/>
              </w:rPr>
            </w:pPr>
            <w:r w:rsidRPr="00F00736">
              <w:rPr>
                <w:b/>
                <w:bCs/>
                <w:i/>
                <w:iCs/>
              </w:rPr>
              <w:t>Uses</w:t>
            </w:r>
          </w:p>
        </w:tc>
        <w:tc>
          <w:tcPr>
            <w:tcW w:w="3116" w:type="dxa"/>
          </w:tcPr>
          <w:p w:rsidR="00380A2E" w:rsidRPr="00F00736" w:rsidRDefault="00380A2E" w:rsidP="00F00736">
            <w:pPr>
              <w:rPr>
                <w:b/>
                <w:bCs/>
                <w:i/>
                <w:iCs/>
              </w:rPr>
            </w:pPr>
            <w:r w:rsidRPr="00F00736">
              <w:rPr>
                <w:b/>
                <w:bCs/>
                <w:i/>
                <w:iCs/>
              </w:rPr>
              <w:t>Market Preparation</w:t>
            </w:r>
          </w:p>
        </w:tc>
      </w:tr>
      <w:tr w:rsidR="00380A2E" w:rsidTr="00380A2E">
        <w:tc>
          <w:tcPr>
            <w:tcW w:w="1382" w:type="dxa"/>
          </w:tcPr>
          <w:p w:rsidR="00380A2E" w:rsidRDefault="00380A2E" w:rsidP="00F00736">
            <w:r>
              <w:t>Ashoka Bark, Sita Ashok, Sorrow-less tree.</w:t>
            </w:r>
          </w:p>
          <w:p w:rsidR="00380A2E" w:rsidRDefault="00380A2E" w:rsidP="00F00736"/>
        </w:tc>
        <w:tc>
          <w:tcPr>
            <w:tcW w:w="1403" w:type="dxa"/>
          </w:tcPr>
          <w:p w:rsidR="00380A2E" w:rsidRPr="00E67DED" w:rsidRDefault="00380A2E" w:rsidP="00F00736">
            <w:pPr>
              <w:rPr>
                <w:i/>
                <w:iCs/>
                <w:u w:val="single"/>
              </w:rPr>
            </w:pPr>
            <w:r>
              <w:t xml:space="preserve">It is obtained from dried stem bark of plant </w:t>
            </w:r>
            <w:proofErr w:type="spellStart"/>
            <w:r w:rsidRPr="00E67DED">
              <w:rPr>
                <w:i/>
                <w:iCs/>
                <w:u w:val="single"/>
              </w:rPr>
              <w:t>Saraca</w:t>
            </w:r>
            <w:proofErr w:type="spellEnd"/>
          </w:p>
          <w:p w:rsidR="00380A2E" w:rsidRPr="00E67DED" w:rsidRDefault="00380A2E" w:rsidP="00F00736">
            <w:pPr>
              <w:rPr>
                <w:i/>
                <w:iCs/>
              </w:rPr>
            </w:pPr>
            <w:proofErr w:type="spellStart"/>
            <w:r w:rsidRPr="00E67DED">
              <w:rPr>
                <w:i/>
                <w:iCs/>
                <w:u w:val="single"/>
              </w:rPr>
              <w:t>Indica</w:t>
            </w:r>
            <w:proofErr w:type="spellEnd"/>
            <w:r w:rsidRPr="00E67DED">
              <w:rPr>
                <w:i/>
                <w:iCs/>
                <w:u w:val="single"/>
              </w:rPr>
              <w:t xml:space="preserve"> Linn</w:t>
            </w:r>
            <w:r w:rsidRPr="00E67DED">
              <w:rPr>
                <w:i/>
                <w:iCs/>
              </w:rPr>
              <w:t>.</w:t>
            </w:r>
          </w:p>
          <w:p w:rsidR="00380A2E" w:rsidRDefault="00380A2E" w:rsidP="00F00736"/>
        </w:tc>
        <w:tc>
          <w:tcPr>
            <w:tcW w:w="1409" w:type="dxa"/>
          </w:tcPr>
          <w:p w:rsidR="00380A2E" w:rsidRDefault="00380A2E" w:rsidP="00F00736">
            <w:r>
              <w:t xml:space="preserve">It belong to the family </w:t>
            </w:r>
            <w:proofErr w:type="spellStart"/>
            <w:r>
              <w:t>L</w:t>
            </w:r>
            <w:r w:rsidRPr="0006371E">
              <w:t>eguminosae</w:t>
            </w:r>
            <w:proofErr w:type="spellEnd"/>
            <w:r>
              <w:t>.</w:t>
            </w:r>
          </w:p>
          <w:p w:rsidR="00380A2E" w:rsidRDefault="00380A2E" w:rsidP="00F00736"/>
          <w:p w:rsidR="00380A2E" w:rsidRPr="00F00736" w:rsidRDefault="00380A2E" w:rsidP="00F00736"/>
        </w:tc>
        <w:tc>
          <w:tcPr>
            <w:tcW w:w="2911" w:type="dxa"/>
          </w:tcPr>
          <w:p w:rsidR="00380A2E" w:rsidRDefault="00380A2E" w:rsidP="00F00736">
            <w:r w:rsidRPr="00294703">
              <w:t xml:space="preserve">The main Chemical constituents </w:t>
            </w:r>
            <w:r>
              <w:t>of the bark are tannin, catechol, an essential oil, organic calcium and iron compounds</w:t>
            </w:r>
          </w:p>
          <w:p w:rsidR="00380A2E" w:rsidRDefault="00380A2E" w:rsidP="00F00736"/>
          <w:p w:rsidR="00380A2E" w:rsidRDefault="00380A2E" w:rsidP="00E67DED">
            <w:pPr>
              <w:keepNext/>
            </w:pPr>
            <w:r>
              <w:rPr>
                <w:noProof/>
              </w:rPr>
              <w:drawing>
                <wp:inline distT="0" distB="0" distL="0" distR="0" wp14:anchorId="10E24664" wp14:editId="53B32C74">
                  <wp:extent cx="14287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px-Gallic_acid.svg.png"/>
                          <pic:cNvPicPr/>
                        </pic:nvPicPr>
                        <pic:blipFill>
                          <a:blip r:embed="rId4">
                            <a:extLst>
                              <a:ext uri="{28A0092B-C50C-407E-A947-70E740481C1C}">
                                <a14:useLocalDpi xmlns:a14="http://schemas.microsoft.com/office/drawing/2010/main" val="0"/>
                              </a:ext>
                            </a:extLst>
                          </a:blip>
                          <a:stretch>
                            <a:fillRect/>
                          </a:stretch>
                        </pic:blipFill>
                        <pic:spPr>
                          <a:xfrm>
                            <a:off x="0" y="0"/>
                            <a:ext cx="1428750" cy="1438275"/>
                          </a:xfrm>
                          <a:prstGeom prst="rect">
                            <a:avLst/>
                          </a:prstGeom>
                        </pic:spPr>
                      </pic:pic>
                    </a:graphicData>
                  </a:graphic>
                </wp:inline>
              </w:drawing>
            </w:r>
          </w:p>
          <w:p w:rsidR="00380A2E" w:rsidRPr="00E67DED" w:rsidRDefault="00380A2E" w:rsidP="00E67DED">
            <w:pPr>
              <w:pStyle w:val="Caption"/>
              <w:jc w:val="center"/>
              <w:rPr>
                <w:sz w:val="22"/>
                <w:szCs w:val="20"/>
              </w:rPr>
            </w:pPr>
            <w:r w:rsidRPr="00E67DED">
              <w:rPr>
                <w:sz w:val="22"/>
                <w:szCs w:val="20"/>
              </w:rPr>
              <w:t xml:space="preserve">Figure </w:t>
            </w:r>
            <w:r w:rsidRPr="00E67DED">
              <w:rPr>
                <w:sz w:val="22"/>
                <w:szCs w:val="20"/>
              </w:rPr>
              <w:fldChar w:fldCharType="begin"/>
            </w:r>
            <w:r w:rsidRPr="00E67DED">
              <w:rPr>
                <w:sz w:val="22"/>
                <w:szCs w:val="20"/>
              </w:rPr>
              <w:instrText xml:space="preserve"> SEQ Figure \* ARABIC </w:instrText>
            </w:r>
            <w:r w:rsidRPr="00E67DED">
              <w:rPr>
                <w:sz w:val="22"/>
                <w:szCs w:val="20"/>
              </w:rPr>
              <w:fldChar w:fldCharType="separate"/>
            </w:r>
            <w:r w:rsidR="00844FFE">
              <w:rPr>
                <w:noProof/>
                <w:sz w:val="22"/>
                <w:szCs w:val="20"/>
              </w:rPr>
              <w:t>1</w:t>
            </w:r>
            <w:r w:rsidRPr="00E67DED">
              <w:rPr>
                <w:sz w:val="22"/>
                <w:szCs w:val="20"/>
              </w:rPr>
              <w:fldChar w:fldCharType="end"/>
            </w:r>
            <w:r w:rsidRPr="00E67DED">
              <w:rPr>
                <w:sz w:val="22"/>
                <w:szCs w:val="20"/>
              </w:rPr>
              <w:t xml:space="preserve"> Tannin</w:t>
            </w:r>
          </w:p>
          <w:p w:rsidR="00380A2E" w:rsidRDefault="00380A2E" w:rsidP="00F00736"/>
          <w:p w:rsidR="00380A2E" w:rsidRDefault="00380A2E" w:rsidP="00F00736">
            <w:pPr>
              <w:jc w:val="center"/>
            </w:pPr>
          </w:p>
          <w:p w:rsidR="00380A2E" w:rsidRDefault="00380A2E" w:rsidP="00F00736">
            <w:pPr>
              <w:jc w:val="center"/>
            </w:pPr>
          </w:p>
          <w:p w:rsidR="00380A2E" w:rsidRPr="00F00736" w:rsidRDefault="00380A2E" w:rsidP="00F00736">
            <w:pPr>
              <w:jc w:val="center"/>
            </w:pPr>
            <w:r>
              <w:rPr>
                <w:noProof/>
              </w:rPr>
              <w:drawing>
                <wp:inline distT="0" distB="0" distL="0" distR="0" wp14:anchorId="1BBD303A" wp14:editId="43EFE734">
                  <wp:extent cx="137160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neurotransmitters-catecholamines.gif"/>
                          <pic:cNvPicPr/>
                        </pic:nvPicPr>
                        <pic:blipFill>
                          <a:blip r:embed="rId5">
                            <a:extLst>
                              <a:ext uri="{28A0092B-C50C-407E-A947-70E740481C1C}">
                                <a14:useLocalDpi xmlns:a14="http://schemas.microsoft.com/office/drawing/2010/main" val="0"/>
                              </a:ext>
                            </a:extLst>
                          </a:blip>
                          <a:stretch>
                            <a:fillRect/>
                          </a:stretch>
                        </pic:blipFill>
                        <pic:spPr>
                          <a:xfrm>
                            <a:off x="0" y="0"/>
                            <a:ext cx="1371600" cy="1209675"/>
                          </a:xfrm>
                          <a:prstGeom prst="rect">
                            <a:avLst/>
                          </a:prstGeom>
                        </pic:spPr>
                      </pic:pic>
                    </a:graphicData>
                  </a:graphic>
                </wp:inline>
              </w:drawing>
            </w:r>
          </w:p>
        </w:tc>
        <w:tc>
          <w:tcPr>
            <w:tcW w:w="3510" w:type="dxa"/>
          </w:tcPr>
          <w:p w:rsidR="00380A2E" w:rsidRDefault="00380A2E" w:rsidP="00F00736">
            <w:r w:rsidRPr="00294703">
              <w:t>Bark of the tree is used as astringent, demulcent, refrigerant, styptic and febrifuge. Flower of the tree is primarily used as uterine tonic and diabetes for keeping blood sugar under control. Leaves are medicinally used as depurative.</w:t>
            </w:r>
          </w:p>
          <w:p w:rsidR="00380A2E" w:rsidRDefault="00380A2E" w:rsidP="00F00736">
            <w:bookmarkStart w:id="0" w:name="_GoBack"/>
            <w:bookmarkEnd w:id="0"/>
          </w:p>
        </w:tc>
        <w:tc>
          <w:tcPr>
            <w:tcW w:w="3116" w:type="dxa"/>
          </w:tcPr>
          <w:p w:rsidR="00380A2E" w:rsidRDefault="00380A2E" w:rsidP="00F00736">
            <w:r>
              <w:t>Ashoka (</w:t>
            </w:r>
            <w:proofErr w:type="spellStart"/>
            <w:r>
              <w:t>Saraca</w:t>
            </w:r>
            <w:proofErr w:type="spellEnd"/>
            <w:r>
              <w:t xml:space="preserve"> </w:t>
            </w:r>
            <w:proofErr w:type="spellStart"/>
            <w:r>
              <w:t>Indica</w:t>
            </w:r>
            <w:proofErr w:type="spellEnd"/>
            <w:r>
              <w:t xml:space="preserve">) Heartwood Powder, </w:t>
            </w:r>
            <w:proofErr w:type="spellStart"/>
            <w:r w:rsidRPr="00717016">
              <w:t>Ashokarishta</w:t>
            </w:r>
            <w:proofErr w:type="spellEnd"/>
            <w:r>
              <w:t>.</w:t>
            </w:r>
          </w:p>
          <w:p w:rsidR="00380A2E" w:rsidRPr="00F00736" w:rsidRDefault="00380A2E" w:rsidP="00F00736"/>
        </w:tc>
      </w:tr>
    </w:tbl>
    <w:p w:rsidR="00F00736" w:rsidRPr="00F00736" w:rsidRDefault="00F00736" w:rsidP="00F00736"/>
    <w:sectPr w:rsidR="00F00736" w:rsidRPr="00F00736" w:rsidSect="00F007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36"/>
    <w:rsid w:val="00380A2E"/>
    <w:rsid w:val="0064575A"/>
    <w:rsid w:val="00844FFE"/>
    <w:rsid w:val="00B55711"/>
    <w:rsid w:val="00E67DED"/>
    <w:rsid w:val="00F007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DCDAF-1AA1-44EC-A900-F939E1A3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73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00736"/>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F0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67DE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2016-08-11T12:08:00Z</cp:lastPrinted>
  <dcterms:created xsi:type="dcterms:W3CDTF">2016-08-10T14:24:00Z</dcterms:created>
  <dcterms:modified xsi:type="dcterms:W3CDTF">2016-08-11T12:20:00Z</dcterms:modified>
</cp:coreProperties>
</file>