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B6" w:rsidRPr="00B86F89" w:rsidRDefault="001F3FB6" w:rsidP="001F3FB6">
      <w:pPr>
        <w:spacing w:after="0"/>
        <w:jc w:val="center"/>
        <w:rPr>
          <w:rFonts w:cstheme="minorHAnsi"/>
          <w:b/>
          <w:sz w:val="20"/>
          <w:szCs w:val="20"/>
        </w:rPr>
      </w:pPr>
      <w:r w:rsidRPr="00B86F89">
        <w:rPr>
          <w:rFonts w:cstheme="minorHAnsi"/>
          <w:b/>
          <w:sz w:val="20"/>
          <w:szCs w:val="20"/>
        </w:rPr>
        <w:t>Semester –VI</w:t>
      </w:r>
    </w:p>
    <w:p w:rsidR="001F3FB6" w:rsidRPr="00B86F89" w:rsidRDefault="001F3FB6" w:rsidP="001F3FB6">
      <w:pPr>
        <w:spacing w:after="0"/>
        <w:jc w:val="center"/>
        <w:rPr>
          <w:rFonts w:cstheme="minorHAnsi"/>
          <w:b/>
          <w:sz w:val="20"/>
          <w:szCs w:val="20"/>
        </w:rPr>
      </w:pPr>
      <w:r w:rsidRPr="00B86F89">
        <w:rPr>
          <w:rFonts w:cstheme="minorHAnsi"/>
          <w:b/>
          <w:sz w:val="20"/>
          <w:szCs w:val="20"/>
        </w:rPr>
        <w:t>Pharmaceutical Chemistry – II</w:t>
      </w:r>
      <w:r w:rsidRPr="00B86F89">
        <w:rPr>
          <w:rFonts w:cstheme="minorHAnsi"/>
          <w:b/>
          <w:sz w:val="20"/>
          <w:szCs w:val="20"/>
        </w:rPr>
        <w:tab/>
      </w:r>
      <w:r w:rsidRPr="00B86F89">
        <w:rPr>
          <w:rFonts w:cstheme="minorHAnsi"/>
          <w:b/>
          <w:sz w:val="20"/>
          <w:szCs w:val="20"/>
        </w:rPr>
        <w:tab/>
      </w:r>
      <w:r w:rsidRPr="00B86F89">
        <w:rPr>
          <w:rFonts w:cstheme="minorHAnsi"/>
          <w:b/>
          <w:sz w:val="20"/>
          <w:szCs w:val="20"/>
        </w:rPr>
        <w:tab/>
      </w:r>
      <w:r w:rsidRPr="00B86F89">
        <w:rPr>
          <w:rFonts w:cstheme="minorHAnsi"/>
          <w:b/>
          <w:sz w:val="20"/>
          <w:szCs w:val="20"/>
        </w:rPr>
        <w:tab/>
        <w:t>3 Hrs/week</w:t>
      </w:r>
    </w:p>
    <w:tbl>
      <w:tblPr>
        <w:tblStyle w:val="TableGrid"/>
        <w:tblW w:w="0" w:type="auto"/>
        <w:tblInd w:w="198" w:type="dxa"/>
        <w:tblLook w:val="04A0"/>
      </w:tblPr>
      <w:tblGrid>
        <w:gridCol w:w="705"/>
        <w:gridCol w:w="7022"/>
        <w:gridCol w:w="822"/>
        <w:gridCol w:w="829"/>
      </w:tblGrid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Sr. No.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Topic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Hours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F3FB6">
              <w:rPr>
                <w:rFonts w:cstheme="minorHAnsi"/>
                <w:b/>
                <w:sz w:val="20"/>
                <w:szCs w:val="20"/>
              </w:rPr>
              <w:t>MARKS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Pharmacodynamics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Drug Targets at Molecular Level – 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Cell Structure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Lipids, Carbohydrates, Proteins and Nucleic Acids as drug targets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Intermolecular Bonding Forces like Electrostatic, Hydrogen Bonding, van der Waal’s Interactions, Dipole-dipole and Ion-dipole Interactions and Hydrophobic Interactions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0" w:type="dxa"/>
            <w:tcBorders>
              <w:bottom w:val="single" w:sz="4" w:space="0" w:color="auto"/>
            </w:tcBorders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Proteins as Drug Targets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2.1</w:t>
            </w:r>
          </w:p>
        </w:tc>
        <w:tc>
          <w:tcPr>
            <w:tcW w:w="7090" w:type="dxa"/>
            <w:tcBorders>
              <w:top w:val="single" w:sz="4" w:space="0" w:color="auto"/>
            </w:tcBorders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Primary, Secondary, Tertiary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Quarternary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structure of proteins and Post translational Modifications (Self Study)</w:t>
            </w:r>
          </w:p>
        </w:tc>
        <w:tc>
          <w:tcPr>
            <w:tcW w:w="824" w:type="dxa"/>
            <w:tcBorders>
              <w:top w:val="single" w:sz="4" w:space="0" w:color="auto"/>
            </w:tcBorders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</w:tcBorders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Proteins as Drug Targets / Drugs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Monoclonal Antibodies, Peptides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Introduction to Proteomics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</w:tr>
      <w:tr w:rsidR="001F3FB6" w:rsidRPr="00B86F89" w:rsidTr="001F3FB6">
        <w:trPr>
          <w:trHeight w:val="305"/>
        </w:trPr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2.3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Enzymes as Drug targets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2.3.1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Enzyme Inhibitors – Reversible and Irreversible (Self Study)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</w:tr>
      <w:tr w:rsidR="001F3FB6" w:rsidRPr="00B86F89" w:rsidTr="001F3FB6">
        <w:tc>
          <w:tcPr>
            <w:tcW w:w="706" w:type="dxa"/>
            <w:tcBorders>
              <w:top w:val="single" w:sz="4" w:space="0" w:color="auto"/>
            </w:tcBorders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2.3.2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Enzyme Inhibitors against microorganisms, viruses, body’s own enzymes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2.4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Receptors as Drug Targets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2.4.1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Types of Receptors and signal transduction -  Ion Channels, G-Protein Coupled Receptor (GPCR), Kinases, Nuclear Receptors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2.4.2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Concept of Agonist, Antagonist, Partial agonist, Inverse agonist, Concept of desensitization/sensitization, Tolerance, Affinity, Efficacy, Potency (Self Study)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Nucleic Acids as Drug target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3.1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Primary, Secondary and Tertiary Structure of DNA (Self Study)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3.2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DNA Intercalation, DNA Alkylation, Antisense Therapy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Pharmacokinetics and Physicochemical Properties of Drug Action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4.1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Solubility, Partition Coefficient, Acidity-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Basicity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pK</w:t>
            </w:r>
            <w:r w:rsidRPr="00B86F89">
              <w:rPr>
                <w:rFonts w:cstheme="minorHAnsi"/>
                <w:sz w:val="20"/>
                <w:szCs w:val="20"/>
                <w:vertAlign w:val="subscript"/>
              </w:rPr>
              <w:t>a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Bioisosterism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, Stereochemistry (geometrical, optical and conformational), Protein Binding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4.2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Drug Metabolism – Phase I and Phase II Reactions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Tools of the Trade (Structure Activity Relationship – SAR)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Introduction to the concepts of SAR –A  Case Study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</w:tr>
      <w:tr w:rsidR="001F3FB6" w:rsidRPr="00B86F89" w:rsidTr="001F3FB6">
        <w:tc>
          <w:tcPr>
            <w:tcW w:w="8620" w:type="dxa"/>
            <w:gridSpan w:val="3"/>
          </w:tcPr>
          <w:p w:rsidR="001F3FB6" w:rsidRPr="00B86F89" w:rsidRDefault="001F3FB6" w:rsidP="006F11A3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Discussion on the following classes of drugs including </w:t>
            </w:r>
            <w:r>
              <w:rPr>
                <w:rFonts w:cstheme="minorHAnsi"/>
                <w:sz w:val="20"/>
                <w:szCs w:val="20"/>
              </w:rPr>
              <w:t xml:space="preserve">receptor structure, </w:t>
            </w:r>
            <w:r w:rsidRPr="00B86F89">
              <w:rPr>
                <w:rFonts w:cstheme="minorHAnsi"/>
                <w:sz w:val="20"/>
                <w:szCs w:val="20"/>
              </w:rPr>
              <w:t>classification, chemical nomenclature, structure including stereochemistry, generic names, chemistry, SAR, metabolism, molecular mechanism of action, introduction to rational development, drug resistance, if any, of following classes of drugs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Antiinfective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Agents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6.1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Antibiotics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Penicillins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(natural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semisynthetic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penicillins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Penicillins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G,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Penicillins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V,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ampicillin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amoxicillin,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cloxacillin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oxacillin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naficillin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methicillin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ampicillin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prodrugs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bacampicillin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hetacillin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2E0F0E">
              <w:rPr>
                <w:rFonts w:ascii="Symbol" w:hAnsi="Symbol" w:cstheme="minorHAnsi"/>
                <w:sz w:val="20"/>
                <w:szCs w:val="20"/>
              </w:rPr>
              <w:t></w:t>
            </w:r>
            <w:r w:rsidRPr="00B86F89">
              <w:rPr>
                <w:rFonts w:cstheme="minorHAnsi"/>
                <w:sz w:val="20"/>
                <w:szCs w:val="20"/>
              </w:rPr>
              <w:t>-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lactamase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inhibitors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clavulinic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acid, (self study –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tazobactam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Cephalosporins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cephalexin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cefadroxil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cefazolin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cefamandole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cefoxitin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cefuroxime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cefotaxime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ceftriaxone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cefpodoximeproxetil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) 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Tetracyclines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(tetracycline, chlortetracycline,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oxytetracycline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doxycycline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minocycline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 its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prodrug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rolitetracycline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);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Macrolides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(erythromycin,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roxithromycin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azithromycin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- only highlights of structure to be discussed); </w:t>
            </w:r>
          </w:p>
          <w:p w:rsidR="001F3FB6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Aminoglycosides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gentamicins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neomycins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, - only highlights of structure to be discussed)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lastRenderedPageBreak/>
              <w:t>Carbapenems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Emepenem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Meropenem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Monobactams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Aztreonam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Tigemonam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Chloramphenicol, Linezolid,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Only highlights of structures of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Vancomycin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Bacitracin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Polymyxin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B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11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lastRenderedPageBreak/>
              <w:t>6.2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Sulfonamides (Self study)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Short, intermediate and long acting sulfonamides, sulfonamides for ophthalmic infections, ulcerative colitis and for reduction of bowel flora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Sulfamethoxazole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sulfadiazine*,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sulisoxazole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sulfacetamide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, sulfasalazine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6.3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Fluoroquinolones</w:t>
            </w:r>
            <w:proofErr w:type="spellEnd"/>
          </w:p>
          <w:p w:rsidR="001F3FB6" w:rsidRPr="00B86F89" w:rsidRDefault="001F3FB6" w:rsidP="006F11A3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Norfloxacin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ciprofloxacin*,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sparfloxacin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gatifloxacin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levofloxacin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lomefloxacin</w:t>
            </w:r>
            <w:proofErr w:type="spellEnd"/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Antiparasitic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Agents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7.1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Antimalarial Agents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Natural products like cinchona alkaloids (with stereochemistry and drug action)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artemisinin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 its derivatives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artether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artemether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artesunate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Synthetic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antimalarials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such as 8-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aminoquinolines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e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B86F89">
              <w:rPr>
                <w:rFonts w:cstheme="minorHAnsi"/>
                <w:sz w:val="20"/>
                <w:szCs w:val="20"/>
              </w:rPr>
              <w:t xml:space="preserve">g.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primaquine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4-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aminoquinilines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e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B86F89">
              <w:rPr>
                <w:rFonts w:cstheme="minorHAnsi"/>
                <w:sz w:val="20"/>
                <w:szCs w:val="20"/>
              </w:rPr>
              <w:t xml:space="preserve">g.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chloroquine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Quinolinemethanols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e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B86F89">
              <w:rPr>
                <w:rFonts w:cstheme="minorHAnsi"/>
                <w:sz w:val="20"/>
                <w:szCs w:val="20"/>
              </w:rPr>
              <w:t xml:space="preserve">g.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mefloquine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; misc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halofantrine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lumefantrine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and; DHFR inhibitors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pyrimethamine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proguanil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cycloguanil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atovaquone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sulfadoxine</w:t>
            </w:r>
            <w:proofErr w:type="spellEnd"/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Combination therapy. 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8" w:type="dxa"/>
          </w:tcPr>
          <w:p w:rsidR="001F3FB6" w:rsidRPr="001F3FB6" w:rsidRDefault="001F6D11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7.2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Drugs for treatment of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amoebiasis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giardiasis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trichomoniasis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(Self Study)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Metronidazole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tinidazole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secnidazole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diloxanidefuroate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nitazoxanide</w:t>
            </w:r>
            <w:proofErr w:type="spellEnd"/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6D11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7.3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Anthelmintics</w:t>
            </w:r>
            <w:proofErr w:type="spellEnd"/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Albendazole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Mebendazole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Thiabendazole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Diethylcarbamazine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Ivermectin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Praziquantel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PyrantelPamoate</w:t>
            </w:r>
            <w:proofErr w:type="spellEnd"/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6D11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7.4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Drugs for the treatment of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pneumocystis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trypanosomiasis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leishmaniasis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B86F89">
              <w:rPr>
                <w:rFonts w:cstheme="minorHAnsi"/>
                <w:sz w:val="20"/>
                <w:szCs w:val="20"/>
              </w:rPr>
              <w:t xml:space="preserve">elf 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B86F89">
              <w:rPr>
                <w:rFonts w:cstheme="minorHAnsi"/>
                <w:sz w:val="20"/>
                <w:szCs w:val="20"/>
              </w:rPr>
              <w:t>tudy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Atovaquone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pentamindine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, co-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trimoxazole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trimetrexate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benznidazole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eflornithine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melarsoprol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suramin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nif</w:t>
            </w:r>
            <w:r>
              <w:rPr>
                <w:rFonts w:cstheme="minorHAnsi"/>
                <w:sz w:val="20"/>
                <w:szCs w:val="20"/>
              </w:rPr>
              <w:t>u</w:t>
            </w:r>
            <w:r w:rsidRPr="00B86F89">
              <w:rPr>
                <w:rFonts w:cstheme="minorHAnsi"/>
                <w:sz w:val="20"/>
                <w:szCs w:val="20"/>
              </w:rPr>
              <w:t>rtimox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sodium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stibogluconate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miltefosine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</w:tr>
      <w:tr w:rsidR="001F3FB6" w:rsidRPr="00B86F89" w:rsidTr="001F3FB6">
        <w:trPr>
          <w:trHeight w:val="1943"/>
        </w:trPr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Anti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B86F89">
              <w:rPr>
                <w:rFonts w:cstheme="minorHAnsi"/>
                <w:sz w:val="20"/>
                <w:szCs w:val="20"/>
              </w:rPr>
              <w:t>ycobacterial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Agents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Antitubercular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drugs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PAS*,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ethionamide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isoniazid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pyrazinamide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ethambutol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antitubercular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antibiotics (streptomycin,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rifampin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rifapentine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capreomycin</w:t>
            </w:r>
            <w:proofErr w:type="spellEnd"/>
            <w:proofErr w:type="gramStart"/>
            <w:r w:rsidRPr="00B86F89">
              <w:rPr>
                <w:rFonts w:cstheme="minorHAnsi"/>
                <w:sz w:val="20"/>
                <w:szCs w:val="20"/>
              </w:rPr>
              <w:t xml:space="preserve">, 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cylcoserine</w:t>
            </w:r>
            <w:proofErr w:type="spellEnd"/>
            <w:proofErr w:type="gramEnd"/>
            <w:r w:rsidRPr="00B86F89">
              <w:rPr>
                <w:rFonts w:cstheme="minorHAnsi"/>
                <w:sz w:val="20"/>
                <w:szCs w:val="20"/>
              </w:rPr>
              <w:t xml:space="preserve">  – the first four only highlights of structure to be discussed),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fluoroquinolones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bedaquiline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Antileprotic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drugs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Dapsone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clofazimine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rifampin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Combination therapy</w:t>
            </w: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3 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Antifungal Agents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Natural products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griseofulvin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amphotericin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B and nystatin (later two only general aspects of structure related to activity )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 xml:space="preserve">Antifungal azoles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clotrimazole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*,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ketoconazole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fluconazole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itraconazole</w:t>
            </w:r>
            <w:proofErr w:type="spellEnd"/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Allyl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amines like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naftifine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terbinafine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Flucytosine</w:t>
            </w:r>
            <w:proofErr w:type="spellEnd"/>
          </w:p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B86F89">
              <w:rPr>
                <w:rFonts w:cstheme="minorHAnsi"/>
                <w:sz w:val="20"/>
                <w:szCs w:val="20"/>
              </w:rPr>
              <w:t>Miconazole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econazole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flutrimazole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sulconazole,sertaconazole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voriconazole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butenafine</w:t>
            </w:r>
            <w:proofErr w:type="spellEnd"/>
            <w:r w:rsidRPr="00B86F89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B86F89">
              <w:rPr>
                <w:rFonts w:cstheme="minorHAnsi"/>
                <w:sz w:val="20"/>
                <w:szCs w:val="20"/>
              </w:rPr>
              <w:t>tolnaftate</w:t>
            </w:r>
            <w:proofErr w:type="spellEnd"/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2</w:t>
            </w:r>
          </w:p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</w:p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 w:rsidRPr="00B86F8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8" w:type="dxa"/>
          </w:tcPr>
          <w:p w:rsidR="001F3FB6" w:rsidRP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</w:tr>
      <w:tr w:rsidR="001F3FB6" w:rsidRPr="00B86F89" w:rsidTr="001F3FB6">
        <w:tc>
          <w:tcPr>
            <w:tcW w:w="706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90" w:type="dxa"/>
          </w:tcPr>
          <w:p w:rsidR="001F3FB6" w:rsidRPr="00B86F89" w:rsidRDefault="001F3FB6" w:rsidP="006F11A3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4" w:type="dxa"/>
          </w:tcPr>
          <w:p w:rsidR="001F3FB6" w:rsidRPr="00B86F89" w:rsidRDefault="001F3FB6" w:rsidP="006F11A3">
            <w:pPr>
              <w:pStyle w:val="NoSpacing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758" w:type="dxa"/>
          </w:tcPr>
          <w:p w:rsidR="001F3FB6" w:rsidRDefault="001F3FB6" w:rsidP="006F11A3">
            <w:pPr>
              <w:pStyle w:val="NoSpacing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70</w:t>
            </w:r>
          </w:p>
        </w:tc>
      </w:tr>
    </w:tbl>
    <w:p w:rsidR="001F3FB6" w:rsidRDefault="001F3FB6" w:rsidP="001F3FB6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*Synthesis to be taught</w:t>
      </w:r>
    </w:p>
    <w:p w:rsidR="001F3FB6" w:rsidRDefault="001F3FB6" w:rsidP="001F3FB6">
      <w:pPr>
        <w:pStyle w:val="NoSpacing"/>
        <w:rPr>
          <w:rFonts w:cstheme="minorHAnsi"/>
          <w:sz w:val="20"/>
          <w:szCs w:val="20"/>
        </w:rPr>
      </w:pPr>
    </w:p>
    <w:p w:rsidR="001F3FB6" w:rsidRPr="00B86F89" w:rsidRDefault="001F3FB6" w:rsidP="001F3FB6">
      <w:pPr>
        <w:pStyle w:val="NoSpacing"/>
        <w:ind w:firstLine="360"/>
        <w:rPr>
          <w:rFonts w:cstheme="minorHAnsi"/>
          <w:sz w:val="20"/>
          <w:szCs w:val="20"/>
        </w:rPr>
      </w:pPr>
      <w:proofErr w:type="gramStart"/>
      <w:r w:rsidRPr="00B86F89">
        <w:rPr>
          <w:rFonts w:cstheme="minorHAnsi"/>
          <w:sz w:val="20"/>
          <w:szCs w:val="20"/>
        </w:rPr>
        <w:t xml:space="preserve">Latest Editions of the following books </w:t>
      </w:r>
      <w:r>
        <w:rPr>
          <w:rFonts w:cstheme="minorHAnsi"/>
          <w:sz w:val="20"/>
          <w:szCs w:val="20"/>
        </w:rPr>
        <w:t>to be adopted</w:t>
      </w:r>
      <w:r w:rsidRPr="00B86F89">
        <w:rPr>
          <w:rFonts w:cstheme="minorHAnsi"/>
          <w:sz w:val="20"/>
          <w:szCs w:val="20"/>
        </w:rPr>
        <w:t>.</w:t>
      </w:r>
      <w:proofErr w:type="gramEnd"/>
    </w:p>
    <w:p w:rsidR="001F3FB6" w:rsidRPr="00B86F89" w:rsidRDefault="001F3FB6" w:rsidP="001F3FB6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F89">
        <w:rPr>
          <w:rFonts w:cstheme="minorHAnsi"/>
          <w:sz w:val="20"/>
          <w:szCs w:val="20"/>
        </w:rPr>
        <w:t>An Introduction to Medicinal Chemistry, Graham L. Patrick, Oxford University Press</w:t>
      </w:r>
      <w:r>
        <w:rPr>
          <w:rFonts w:cstheme="minorHAnsi"/>
          <w:sz w:val="20"/>
          <w:szCs w:val="20"/>
        </w:rPr>
        <w:t>.</w:t>
      </w:r>
    </w:p>
    <w:p w:rsidR="001F3FB6" w:rsidRPr="00B86F89" w:rsidRDefault="001F3FB6" w:rsidP="001F3FB6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F89">
        <w:rPr>
          <w:rFonts w:cstheme="minorHAnsi"/>
          <w:sz w:val="20"/>
          <w:szCs w:val="20"/>
        </w:rPr>
        <w:t>Fundamentals of Medicinal Chemistry, Gareth Thomas, Wiley, New York</w:t>
      </w:r>
      <w:r>
        <w:rPr>
          <w:rFonts w:cstheme="minorHAnsi"/>
          <w:sz w:val="20"/>
          <w:szCs w:val="20"/>
        </w:rPr>
        <w:t>.</w:t>
      </w:r>
    </w:p>
    <w:p w:rsidR="001F3FB6" w:rsidRPr="00B86F89" w:rsidRDefault="001F3FB6" w:rsidP="001F3FB6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F89">
        <w:rPr>
          <w:rFonts w:cstheme="minorHAnsi"/>
          <w:sz w:val="20"/>
          <w:szCs w:val="20"/>
        </w:rPr>
        <w:t xml:space="preserve">The Organic Chemistry of Drug Design and Drug Action, Richard </w:t>
      </w:r>
      <w:proofErr w:type="spellStart"/>
      <w:r w:rsidRPr="00B86F89">
        <w:rPr>
          <w:rFonts w:cstheme="minorHAnsi"/>
          <w:sz w:val="20"/>
          <w:szCs w:val="20"/>
        </w:rPr>
        <w:t>B.Silverman</w:t>
      </w:r>
      <w:proofErr w:type="spellEnd"/>
      <w:r w:rsidRPr="00B86F89">
        <w:rPr>
          <w:rFonts w:cstheme="minorHAnsi"/>
          <w:sz w:val="20"/>
          <w:szCs w:val="20"/>
        </w:rPr>
        <w:t>, Academic Press</w:t>
      </w:r>
      <w:r>
        <w:rPr>
          <w:rFonts w:cstheme="minorHAnsi"/>
          <w:sz w:val="20"/>
          <w:szCs w:val="20"/>
        </w:rPr>
        <w:t>.</w:t>
      </w:r>
    </w:p>
    <w:p w:rsidR="001F3FB6" w:rsidRPr="00B86F89" w:rsidRDefault="001F3FB6" w:rsidP="001F3FB6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86F89">
        <w:rPr>
          <w:rFonts w:cstheme="minorHAnsi"/>
          <w:sz w:val="20"/>
          <w:szCs w:val="20"/>
        </w:rPr>
        <w:lastRenderedPageBreak/>
        <w:t>Foye’s</w:t>
      </w:r>
      <w:proofErr w:type="spellEnd"/>
      <w:r w:rsidRPr="00B86F89">
        <w:rPr>
          <w:rFonts w:cstheme="minorHAnsi"/>
          <w:sz w:val="20"/>
          <w:szCs w:val="20"/>
        </w:rPr>
        <w:t xml:space="preserve"> Principles of Medicinal Chemistry, Thomas L. Lemke, David A Williams, Lippincott Williams &amp; Wilkins</w:t>
      </w:r>
      <w:r>
        <w:rPr>
          <w:rFonts w:cstheme="minorHAnsi"/>
          <w:sz w:val="20"/>
          <w:szCs w:val="20"/>
        </w:rPr>
        <w:t>.</w:t>
      </w:r>
    </w:p>
    <w:p w:rsidR="001F3FB6" w:rsidRPr="00B86F89" w:rsidRDefault="001F3FB6" w:rsidP="001F3FB6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F89">
        <w:rPr>
          <w:rFonts w:cstheme="minorHAnsi"/>
          <w:sz w:val="20"/>
          <w:szCs w:val="20"/>
        </w:rPr>
        <w:t xml:space="preserve">Wilson and </w:t>
      </w:r>
      <w:proofErr w:type="spellStart"/>
      <w:r w:rsidRPr="00B86F89">
        <w:rPr>
          <w:rFonts w:cstheme="minorHAnsi"/>
          <w:sz w:val="20"/>
          <w:szCs w:val="20"/>
        </w:rPr>
        <w:t>Gisvold’s</w:t>
      </w:r>
      <w:proofErr w:type="spellEnd"/>
      <w:r w:rsidRPr="00B86F89">
        <w:rPr>
          <w:rFonts w:cstheme="minorHAnsi"/>
          <w:sz w:val="20"/>
          <w:szCs w:val="20"/>
        </w:rPr>
        <w:t xml:space="preserve"> Textbook of Organic Medicinal and Pharmaceutical Chemistry, John M. Beale, John H. Block, Lippincott Williams &amp; Wilkins.</w:t>
      </w:r>
    </w:p>
    <w:p w:rsidR="001F3FB6" w:rsidRPr="00B86F89" w:rsidRDefault="001F3FB6" w:rsidP="001F3FB6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F89">
        <w:rPr>
          <w:rFonts w:cstheme="minorHAnsi"/>
          <w:sz w:val="20"/>
          <w:szCs w:val="20"/>
        </w:rPr>
        <w:t xml:space="preserve">Medicinal Chemistry, </w:t>
      </w:r>
      <w:proofErr w:type="spellStart"/>
      <w:r w:rsidRPr="00B86F89">
        <w:rPr>
          <w:rFonts w:cstheme="minorHAnsi"/>
          <w:sz w:val="20"/>
          <w:szCs w:val="20"/>
        </w:rPr>
        <w:t>AshutoshKar</w:t>
      </w:r>
      <w:proofErr w:type="spellEnd"/>
      <w:r w:rsidRPr="00B86F89">
        <w:rPr>
          <w:rFonts w:cstheme="minorHAnsi"/>
          <w:sz w:val="20"/>
          <w:szCs w:val="20"/>
        </w:rPr>
        <w:t>, New Age International Publishers</w:t>
      </w:r>
      <w:r>
        <w:rPr>
          <w:rFonts w:cstheme="minorHAnsi"/>
          <w:sz w:val="20"/>
          <w:szCs w:val="20"/>
        </w:rPr>
        <w:t>.</w:t>
      </w:r>
    </w:p>
    <w:p w:rsidR="001F3FB6" w:rsidRPr="00B86F89" w:rsidRDefault="001F3FB6" w:rsidP="001F3FB6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86F89">
        <w:rPr>
          <w:rFonts w:cstheme="minorHAnsi"/>
          <w:sz w:val="20"/>
          <w:szCs w:val="20"/>
        </w:rPr>
        <w:t xml:space="preserve">Introduction to Medicinal Chemistry, Alex </w:t>
      </w:r>
      <w:proofErr w:type="spellStart"/>
      <w:r w:rsidRPr="00B86F89">
        <w:rPr>
          <w:rFonts w:cstheme="minorHAnsi"/>
          <w:sz w:val="20"/>
          <w:szCs w:val="20"/>
        </w:rPr>
        <w:t>Gringauz</w:t>
      </w:r>
      <w:proofErr w:type="spellEnd"/>
      <w:r w:rsidRPr="00B86F89">
        <w:rPr>
          <w:rFonts w:cstheme="minorHAnsi"/>
          <w:sz w:val="20"/>
          <w:szCs w:val="20"/>
        </w:rPr>
        <w:t>, Wiley</w:t>
      </w:r>
      <w:r>
        <w:rPr>
          <w:rFonts w:cstheme="minorHAnsi"/>
          <w:sz w:val="20"/>
          <w:szCs w:val="20"/>
        </w:rPr>
        <w:t>.</w:t>
      </w:r>
    </w:p>
    <w:p w:rsidR="004C34D6" w:rsidRDefault="004C34D6">
      <w:r>
        <w:br w:type="page"/>
      </w:r>
    </w:p>
    <w:p w:rsidR="00C00F3B" w:rsidRDefault="004C34D6">
      <w:r>
        <w:lastRenderedPageBreak/>
        <w:t>QUESTION PAPER FORMAT</w:t>
      </w:r>
      <w:r>
        <w:br/>
        <w:t>Q1 (15 marks)</w:t>
      </w:r>
    </w:p>
    <w:p w:rsidR="004C34D6" w:rsidRDefault="004C34D6">
      <w:r>
        <w:t xml:space="preserve">1.  Drug target 1.1 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[3-1=2]</w:t>
      </w:r>
    </w:p>
    <w:p w:rsidR="004C34D6" w:rsidRDefault="004C34D6">
      <w:r>
        <w:t xml:space="preserve">2. </w:t>
      </w:r>
      <w:proofErr w:type="spellStart"/>
      <w:r>
        <w:t>Intermol</w:t>
      </w:r>
      <w:proofErr w:type="spellEnd"/>
      <w:r>
        <w:t xml:space="preserve"> forces 1.2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[5-1=4]</w:t>
      </w:r>
    </w:p>
    <w:p w:rsidR="004C34D6" w:rsidRDefault="004C34D6">
      <w:r>
        <w:t xml:space="preserve">3. Protein structure 2.1 </w:t>
      </w:r>
      <w:r w:rsidR="00080EAD">
        <w:tab/>
      </w:r>
      <w:r w:rsidR="00080EAD">
        <w:tab/>
      </w:r>
      <w:r w:rsidR="000B6185">
        <w:tab/>
      </w:r>
      <w:r>
        <w:t>(1)</w:t>
      </w:r>
      <w:r w:rsidR="00080EAD">
        <w:tab/>
      </w:r>
      <w:r>
        <w:t>[2-1=1]</w:t>
      </w:r>
    </w:p>
    <w:p w:rsidR="004C34D6" w:rsidRDefault="004C34D6">
      <w:proofErr w:type="gramStart"/>
      <w:r>
        <w:t>4.Protein</w:t>
      </w:r>
      <w:proofErr w:type="gramEnd"/>
      <w:r>
        <w:t xml:space="preserve"> structure2.1 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[1-1=0]</w:t>
      </w:r>
    </w:p>
    <w:p w:rsidR="00E10E72" w:rsidRDefault="00E10E72">
      <w:proofErr w:type="gramStart"/>
      <w:r>
        <w:t>5.Protein</w:t>
      </w:r>
      <w:proofErr w:type="gramEnd"/>
      <w:r>
        <w:t xml:space="preserve"> target 2.2 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[3-1=2]</w:t>
      </w:r>
    </w:p>
    <w:p w:rsidR="004C34D6" w:rsidRDefault="00E10E72">
      <w:proofErr w:type="gramStart"/>
      <w:r>
        <w:t>6</w:t>
      </w:r>
      <w:r w:rsidR="004C34D6">
        <w:t>.Enzyme</w:t>
      </w:r>
      <w:proofErr w:type="gramEnd"/>
      <w:r w:rsidR="004C34D6">
        <w:t xml:space="preserve"> inhib2.3.1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[1-1=0]</w:t>
      </w:r>
    </w:p>
    <w:p w:rsidR="004C34D6" w:rsidRDefault="00E10E72">
      <w:proofErr w:type="gramStart"/>
      <w:r>
        <w:t>7</w:t>
      </w:r>
      <w:r w:rsidR="004C34D6">
        <w:t>.Enzymeinhib</w:t>
      </w:r>
      <w:proofErr w:type="gramEnd"/>
      <w:r w:rsidR="004C34D6">
        <w:t xml:space="preserve"> 2.3.2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[1-1=0]</w:t>
      </w:r>
    </w:p>
    <w:p w:rsidR="004C34D6" w:rsidRDefault="00E10E72">
      <w:r>
        <w:t>8</w:t>
      </w:r>
      <w:r w:rsidR="004C34D6">
        <w:t xml:space="preserve">. </w:t>
      </w:r>
      <w:r>
        <w:t xml:space="preserve">Types receptor 2.4.1 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[5-1=4]</w:t>
      </w:r>
    </w:p>
    <w:p w:rsidR="00425F2A" w:rsidRDefault="00425F2A">
      <w:r>
        <w:t xml:space="preserve">9. DNA </w:t>
      </w:r>
      <w:proofErr w:type="spellStart"/>
      <w:r>
        <w:t>struct</w:t>
      </w:r>
      <w:proofErr w:type="spellEnd"/>
      <w:r>
        <w:t xml:space="preserve"> 3.1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[1-1=0]</w:t>
      </w:r>
    </w:p>
    <w:p w:rsidR="00425F2A" w:rsidRDefault="00425F2A">
      <w:r>
        <w:t>10</w:t>
      </w:r>
      <w:proofErr w:type="gramStart"/>
      <w:r>
        <w:t>.DNA</w:t>
      </w:r>
      <w:proofErr w:type="gramEnd"/>
      <w:r>
        <w:t xml:space="preserve"> target 3.2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[1-1=0]</w:t>
      </w:r>
    </w:p>
    <w:p w:rsidR="00425F2A" w:rsidRDefault="00425F2A">
      <w:r>
        <w:t>11</w:t>
      </w:r>
      <w:proofErr w:type="gramStart"/>
      <w:r>
        <w:t>.Solubility</w:t>
      </w:r>
      <w:proofErr w:type="gramEnd"/>
      <w:r>
        <w:t xml:space="preserve"> etc 4.1</w:t>
      </w:r>
      <w:r w:rsidR="00080EAD">
        <w:tab/>
      </w:r>
      <w:r w:rsidR="00080EAD">
        <w:tab/>
      </w:r>
      <w:r w:rsidR="00080EAD">
        <w:tab/>
      </w:r>
      <w:r>
        <w:t>(1)</w:t>
      </w:r>
      <w:r w:rsidR="00080EAD">
        <w:tab/>
      </w:r>
      <w:r>
        <w:t>[3-1=2]</w:t>
      </w:r>
    </w:p>
    <w:p w:rsidR="00425F2A" w:rsidRDefault="00425F2A">
      <w:r>
        <w:t xml:space="preserve">12.13. </w:t>
      </w:r>
      <w:proofErr w:type="gramStart"/>
      <w:r>
        <w:t>drug</w:t>
      </w:r>
      <w:proofErr w:type="gramEnd"/>
      <w:r>
        <w:t xml:space="preserve"> metabolism 4.2 </w:t>
      </w:r>
      <w:r w:rsidR="00080EAD">
        <w:tab/>
      </w:r>
      <w:r w:rsidR="00080EAD">
        <w:tab/>
      </w:r>
      <w:r>
        <w:t>(2)</w:t>
      </w:r>
      <w:r w:rsidR="00080EAD">
        <w:tab/>
      </w:r>
      <w:r>
        <w:t>[6-2=4]</w:t>
      </w:r>
    </w:p>
    <w:p w:rsidR="00425F2A" w:rsidRDefault="00425F2A">
      <w:r>
        <w:t>14</w:t>
      </w:r>
      <w:proofErr w:type="gramStart"/>
      <w:r>
        <w:t>,15</w:t>
      </w:r>
      <w:proofErr w:type="gramEnd"/>
      <w:r>
        <w:t xml:space="preserve"> tools of trade 5 </w:t>
      </w:r>
      <w:r w:rsidR="00080EAD">
        <w:tab/>
      </w:r>
      <w:r w:rsidR="00080EAD">
        <w:tab/>
      </w:r>
      <w:r w:rsidR="00080EAD">
        <w:tab/>
      </w:r>
      <w:r>
        <w:t>(2)</w:t>
      </w:r>
      <w:r w:rsidR="00080EAD">
        <w:tab/>
      </w:r>
      <w:r>
        <w:t>[2-2=0]</w:t>
      </w:r>
    </w:p>
    <w:p w:rsidR="00080EAD" w:rsidRDefault="00080EAD"/>
    <w:p w:rsidR="00080EAD" w:rsidRDefault="00080EAD">
      <w:r>
        <w:t>Q2 (11)</w:t>
      </w:r>
    </w:p>
    <w:p w:rsidR="00080EAD" w:rsidRDefault="00080EAD">
      <w:r>
        <w:t>A</w:t>
      </w:r>
      <w:r w:rsidR="00E4550B">
        <w:t xml:space="preserve"> (4) short not/explain/define/</w:t>
      </w:r>
      <w:proofErr w:type="gramStart"/>
      <w:r w:rsidR="00E4550B">
        <w:t xml:space="preserve">etc </w:t>
      </w:r>
      <w:r w:rsidR="00C7307B">
        <w:t xml:space="preserve"> on</w:t>
      </w:r>
      <w:proofErr w:type="gramEnd"/>
      <w:r w:rsidR="00C7307B">
        <w:t xml:space="preserve"> 1.2 intermolecular forces</w:t>
      </w:r>
    </w:p>
    <w:p w:rsidR="00C7307B" w:rsidRDefault="00080EAD">
      <w:r>
        <w:t>B</w:t>
      </w:r>
      <w:r w:rsidR="00C7307B">
        <w:t xml:space="preserve"> (3) </w:t>
      </w:r>
      <w:r w:rsidR="00ED4E6C">
        <w:t>Antibiotics</w:t>
      </w:r>
    </w:p>
    <w:p w:rsidR="00080EAD" w:rsidRDefault="00080EAD">
      <w:r>
        <w:t>C</w:t>
      </w:r>
      <w:r w:rsidR="00C7307B">
        <w:t xml:space="preserve"> (2) protein as targets (2) </w:t>
      </w:r>
      <w:proofErr w:type="gramStart"/>
      <w:r w:rsidR="00C7307B">
        <w:t>Sulf</w:t>
      </w:r>
      <w:r w:rsidR="00E4550B">
        <w:t>o</w:t>
      </w:r>
      <w:r w:rsidR="00C7307B">
        <w:t>namides(</w:t>
      </w:r>
      <w:proofErr w:type="gramEnd"/>
      <w:r w:rsidR="00C7307B">
        <w:t>2)</w:t>
      </w:r>
    </w:p>
    <w:p w:rsidR="00E4550B" w:rsidRDefault="00E4550B"/>
    <w:p w:rsidR="00080EAD" w:rsidRDefault="00080EAD">
      <w:r>
        <w:t>Q3</w:t>
      </w:r>
      <w:r w:rsidR="00785206">
        <w:t xml:space="preserve"> (11)</w:t>
      </w:r>
    </w:p>
    <w:p w:rsidR="00080EAD" w:rsidRDefault="00080EAD">
      <w:r>
        <w:t>A</w:t>
      </w:r>
      <w:r w:rsidR="00785206">
        <w:t xml:space="preserve"> (4) </w:t>
      </w:r>
      <w:r w:rsidR="00E4550B">
        <w:t>short not</w:t>
      </w:r>
      <w:r w:rsidR="000B6185">
        <w:t>e</w:t>
      </w:r>
      <w:r w:rsidR="00E4550B">
        <w:t>/explain/define/</w:t>
      </w:r>
      <w:proofErr w:type="spellStart"/>
      <w:r w:rsidR="00E4550B">
        <w:t>etc</w:t>
      </w:r>
      <w:r w:rsidR="00785206">
        <w:t>receptors</w:t>
      </w:r>
      <w:proofErr w:type="spellEnd"/>
      <w:r w:rsidR="00785206">
        <w:t xml:space="preserve"> and signal transduction</w:t>
      </w:r>
    </w:p>
    <w:p w:rsidR="00080EAD" w:rsidRDefault="00080EAD">
      <w:r>
        <w:t>B</w:t>
      </w:r>
      <w:r w:rsidR="00785206">
        <w:t xml:space="preserve"> (3)synthesis</w:t>
      </w:r>
      <w:r w:rsidR="00ED4E6C">
        <w:t xml:space="preserve">/Question: </w:t>
      </w:r>
      <w:proofErr w:type="spellStart"/>
      <w:r w:rsidR="00ED4E6C">
        <w:t>A</w:t>
      </w:r>
      <w:r w:rsidR="00785206">
        <w:t>ntimalarials</w:t>
      </w:r>
      <w:proofErr w:type="spellEnd"/>
    </w:p>
    <w:p w:rsidR="00080EAD" w:rsidRDefault="00080EAD">
      <w:r>
        <w:t>C</w:t>
      </w:r>
      <w:r w:rsidR="00785206">
        <w:t xml:space="preserve"> (2) concept of agonist (2) </w:t>
      </w:r>
      <w:proofErr w:type="spellStart"/>
      <w:r w:rsidR="00785206">
        <w:t>fluoro</w:t>
      </w:r>
      <w:r w:rsidR="00E4550B">
        <w:t>qu</w:t>
      </w:r>
      <w:r w:rsidR="000B6185">
        <w:t>i</w:t>
      </w:r>
      <w:r w:rsidR="00E4550B">
        <w:t>n</w:t>
      </w:r>
      <w:r w:rsidR="00785206">
        <w:t>olones</w:t>
      </w:r>
      <w:proofErr w:type="spellEnd"/>
    </w:p>
    <w:p w:rsidR="00E4550B" w:rsidRDefault="00E4550B"/>
    <w:p w:rsidR="00080EAD" w:rsidRDefault="00785206">
      <w:r>
        <w:lastRenderedPageBreak/>
        <w:t>Q4 (11)</w:t>
      </w:r>
    </w:p>
    <w:p w:rsidR="00080EAD" w:rsidRDefault="00080EAD">
      <w:r>
        <w:t>A</w:t>
      </w:r>
      <w:r w:rsidR="00785206">
        <w:t xml:space="preserve"> (4) drug metabolism</w:t>
      </w:r>
    </w:p>
    <w:p w:rsidR="00080EAD" w:rsidRDefault="00080EAD">
      <w:r>
        <w:t>B</w:t>
      </w:r>
      <w:r w:rsidR="00785206">
        <w:t>(3) synthesis</w:t>
      </w:r>
      <w:r w:rsidR="00ED4E6C">
        <w:t>/Question Antibiotics</w:t>
      </w:r>
    </w:p>
    <w:p w:rsidR="00080EAD" w:rsidRDefault="00080EAD">
      <w:proofErr w:type="gramStart"/>
      <w:r>
        <w:t>C</w:t>
      </w:r>
      <w:r w:rsidR="00785206">
        <w:t>(</w:t>
      </w:r>
      <w:proofErr w:type="gramEnd"/>
      <w:r w:rsidR="00785206">
        <w:t xml:space="preserve">2) </w:t>
      </w:r>
      <w:proofErr w:type="spellStart"/>
      <w:r w:rsidR="00785206">
        <w:t>solub</w:t>
      </w:r>
      <w:r w:rsidR="000B6185">
        <w:t>iliy</w:t>
      </w:r>
      <w:r w:rsidR="00E4550B">
        <w:t>,</w:t>
      </w:r>
      <w:r w:rsidR="00785206">
        <w:t>Pka</w:t>
      </w:r>
      <w:r w:rsidR="00E4550B">
        <w:t>,bioisosterism</w:t>
      </w:r>
      <w:r w:rsidR="00785206">
        <w:t>etc</w:t>
      </w:r>
      <w:proofErr w:type="spellEnd"/>
      <w:r w:rsidR="00785206">
        <w:t xml:space="preserve"> (1)</w:t>
      </w:r>
      <w:proofErr w:type="spellStart"/>
      <w:r w:rsidR="00785206">
        <w:t>fluor</w:t>
      </w:r>
      <w:r w:rsidR="00E4550B">
        <w:t>o</w:t>
      </w:r>
      <w:r w:rsidR="00785206">
        <w:t>quin</w:t>
      </w:r>
      <w:r w:rsidR="00E4550B">
        <w:t>o</w:t>
      </w:r>
      <w:r w:rsidR="00785206">
        <w:t>lone</w:t>
      </w:r>
      <w:proofErr w:type="spellEnd"/>
      <w:r w:rsidR="00785206">
        <w:t xml:space="preserve"> (1) drugs for </w:t>
      </w:r>
      <w:proofErr w:type="spellStart"/>
      <w:r w:rsidR="00785206">
        <w:t>pneumocystis</w:t>
      </w:r>
      <w:proofErr w:type="spellEnd"/>
      <w:r w:rsidR="00785206">
        <w:t xml:space="preserve"> etc</w:t>
      </w:r>
    </w:p>
    <w:p w:rsidR="00E4550B" w:rsidRDefault="00E4550B"/>
    <w:p w:rsidR="00080EAD" w:rsidRDefault="00080EAD">
      <w:r>
        <w:t>Q</w:t>
      </w:r>
      <w:r w:rsidR="00785206">
        <w:t>5 (11)</w:t>
      </w:r>
    </w:p>
    <w:p w:rsidR="00080EAD" w:rsidRDefault="00080EAD">
      <w:proofErr w:type="gramStart"/>
      <w:r>
        <w:t>A</w:t>
      </w:r>
      <w:r w:rsidR="00785206">
        <w:t>(</w:t>
      </w:r>
      <w:proofErr w:type="gramEnd"/>
      <w:r w:rsidR="00785206">
        <w:t xml:space="preserve">3) </w:t>
      </w:r>
      <w:r w:rsidR="00E4550B">
        <w:t>short not</w:t>
      </w:r>
      <w:r w:rsidR="000B6185">
        <w:t>e</w:t>
      </w:r>
      <w:r w:rsidR="00E4550B">
        <w:t>/explain/define/</w:t>
      </w:r>
      <w:proofErr w:type="spellStart"/>
      <w:r w:rsidR="00E4550B">
        <w:t>etc</w:t>
      </w:r>
      <w:r w:rsidR="00785206">
        <w:t>antibiotics</w:t>
      </w:r>
      <w:proofErr w:type="spellEnd"/>
    </w:p>
    <w:p w:rsidR="00080EAD" w:rsidRDefault="00080EAD">
      <w:r>
        <w:t>B</w:t>
      </w:r>
      <w:r w:rsidR="00785206">
        <w:t xml:space="preserve"> (3)synthesis</w:t>
      </w:r>
      <w:r w:rsidR="00ED4E6C">
        <w:t>/</w:t>
      </w:r>
      <w:proofErr w:type="spellStart"/>
      <w:r w:rsidR="00785206">
        <w:t>antimycobacterials</w:t>
      </w:r>
      <w:proofErr w:type="spellEnd"/>
    </w:p>
    <w:p w:rsidR="00080EAD" w:rsidRDefault="00080EAD">
      <w:proofErr w:type="gramStart"/>
      <w:r>
        <w:t>C</w:t>
      </w:r>
      <w:r w:rsidR="00785206">
        <w:t>(</w:t>
      </w:r>
      <w:proofErr w:type="gramEnd"/>
      <w:r w:rsidR="00785206">
        <w:t xml:space="preserve">3) </w:t>
      </w:r>
      <w:r w:rsidR="00E4550B">
        <w:t>short not</w:t>
      </w:r>
      <w:r w:rsidR="000B6185">
        <w:t>e</w:t>
      </w:r>
      <w:r w:rsidR="00E4550B">
        <w:t>/explain/define/</w:t>
      </w:r>
      <w:proofErr w:type="spellStart"/>
      <w:r w:rsidR="00E4550B">
        <w:t>etc</w:t>
      </w:r>
      <w:r w:rsidR="00785206">
        <w:t>antimalarials</w:t>
      </w:r>
      <w:proofErr w:type="spellEnd"/>
    </w:p>
    <w:p w:rsidR="00785206" w:rsidRDefault="00785206">
      <w:r>
        <w:t>D (2)</w:t>
      </w:r>
      <w:proofErr w:type="spellStart"/>
      <w:r>
        <w:t>amoebiasis</w:t>
      </w:r>
      <w:proofErr w:type="spellEnd"/>
      <w:r>
        <w:t>/</w:t>
      </w:r>
      <w:proofErr w:type="spellStart"/>
      <w:r>
        <w:t>anthemintics</w:t>
      </w:r>
      <w:proofErr w:type="spellEnd"/>
    </w:p>
    <w:p w:rsidR="00E4550B" w:rsidRDefault="00E4550B"/>
    <w:p w:rsidR="00080EAD" w:rsidRDefault="00080EAD">
      <w:r>
        <w:t>Q</w:t>
      </w:r>
      <w:r w:rsidR="00785206">
        <w:t>6(11)</w:t>
      </w:r>
    </w:p>
    <w:p w:rsidR="00080EAD" w:rsidRDefault="00080EAD">
      <w:r>
        <w:t>A</w:t>
      </w:r>
      <w:r w:rsidR="00785206">
        <w:t>(3) synthesis antifungals</w:t>
      </w:r>
    </w:p>
    <w:p w:rsidR="00080EAD" w:rsidRDefault="00080EAD">
      <w:r>
        <w:t>B</w:t>
      </w:r>
      <w:r w:rsidR="00785206">
        <w:t xml:space="preserve">(2) antifungal (2) </w:t>
      </w:r>
      <w:proofErr w:type="spellStart"/>
      <w:r w:rsidR="00785206">
        <w:t>antimycobactrial</w:t>
      </w:r>
      <w:proofErr w:type="spellEnd"/>
    </w:p>
    <w:p w:rsidR="00080EAD" w:rsidRDefault="00080EAD">
      <w:r>
        <w:t>C</w:t>
      </w:r>
      <w:r w:rsidR="00785206">
        <w:t xml:space="preserve">(2)tools of the trades SAR (2) </w:t>
      </w:r>
      <w:r w:rsidR="00356076">
        <w:t>antibiotics</w:t>
      </w:r>
    </w:p>
    <w:p w:rsidR="00080EAD" w:rsidRDefault="00080EAD"/>
    <w:p w:rsidR="001509BB" w:rsidRDefault="001509BB"/>
    <w:p w:rsidR="001509BB" w:rsidRDefault="001509BB"/>
    <w:sectPr w:rsidR="001509BB" w:rsidSect="00C0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43CA3"/>
    <w:multiLevelType w:val="hybridMultilevel"/>
    <w:tmpl w:val="DA72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1F3FB6"/>
    <w:rsid w:val="00080EAD"/>
    <w:rsid w:val="000B6185"/>
    <w:rsid w:val="00147C65"/>
    <w:rsid w:val="001509BB"/>
    <w:rsid w:val="001F3FB6"/>
    <w:rsid w:val="001F6D11"/>
    <w:rsid w:val="00286464"/>
    <w:rsid w:val="00356076"/>
    <w:rsid w:val="00425F2A"/>
    <w:rsid w:val="00472ADE"/>
    <w:rsid w:val="004C34D6"/>
    <w:rsid w:val="00785206"/>
    <w:rsid w:val="00A830AB"/>
    <w:rsid w:val="00BF02B4"/>
    <w:rsid w:val="00BF528F"/>
    <w:rsid w:val="00C00F3B"/>
    <w:rsid w:val="00C7307B"/>
    <w:rsid w:val="00DF4760"/>
    <w:rsid w:val="00E10E72"/>
    <w:rsid w:val="00E141C0"/>
    <w:rsid w:val="00E4550B"/>
    <w:rsid w:val="00ED4E6C"/>
    <w:rsid w:val="00F77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FB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3F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ADMIN</cp:lastModifiedBy>
  <cp:revision>4</cp:revision>
  <dcterms:created xsi:type="dcterms:W3CDTF">2016-01-15T08:41:00Z</dcterms:created>
  <dcterms:modified xsi:type="dcterms:W3CDTF">2016-03-30T06:52:00Z</dcterms:modified>
</cp:coreProperties>
</file>