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  <w:rPr/>
      </w:pPr>
      <w:r>
        <w:t>Vinca</w:t>
      </w:r>
    </w:p>
    <w:p/>
    <w:tbl>
      <w:tblPr>
        <w:tblStyle w:val="TableGrid"/>
        <w:tblW w:w="14490" w:type="dxa"/>
        <w:tblInd w:w="-455" w:type="dxa"/>
        <w:tblLayout w:type="fixed"/>
        <w:tblLook w:val="04A0"/>
      </w:tblPr>
      <w:tblGrid>
        <w:gridCol w:w="1227"/>
        <w:gridCol w:w="1534"/>
        <w:gridCol w:w="4320"/>
        <w:gridCol w:w="3240"/>
        <w:gridCol w:w="2700"/>
      </w:tblGrid>
      <w:tr>
        <w:trPr>
          <w:cnfStyle w:val="100000000000"/>
          <w:trHeight w:val="257"/>
        </w:trPr>
        <w:tc>
          <w:tcPr>
            <w:cnfStyle w:val="101000000000"/>
            <w:tcW w:w="1227" w:type="dxa"/>
            <w:gridSpan w:val="1"/>
          </w:tcPr>
          <w:p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Synonym</w:t>
            </w:r>
          </w:p>
        </w:tc>
        <w:tc>
          <w:tcPr>
            <w:cnfStyle w:val="100000000000"/>
            <w:tcW w:w="1534" w:type="dxa"/>
            <w:gridSpan w:val="1"/>
          </w:tcPr>
          <w:p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Biological Source</w:t>
            </w:r>
          </w:p>
        </w:tc>
        <w:tc>
          <w:tcPr>
            <w:cnfStyle w:val="100000000000"/>
            <w:tcW w:w="4320" w:type="dxa"/>
            <w:gridSpan w:val="1"/>
          </w:tcPr>
          <w:p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Chemical constituents</w:t>
            </w:r>
          </w:p>
        </w:tc>
        <w:tc>
          <w:tcPr>
            <w:cnfStyle w:val="100000000000"/>
            <w:tcW w:w="3240" w:type="dxa"/>
            <w:gridSpan w:val="1"/>
          </w:tcPr>
          <w:p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Uses</w:t>
            </w:r>
          </w:p>
        </w:tc>
        <w:tc>
          <w:tcPr>
            <w:cnfStyle w:val="100000000000"/>
            <w:tcW w:w="2700" w:type="dxa"/>
            <w:gridSpan w:val="1"/>
          </w:tcPr>
          <w:p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Marketed Preparations</w:t>
            </w:r>
          </w:p>
        </w:tc>
      </w:tr>
      <w:tr>
        <w:trPr>
          <w:cnfStyle w:val="000000100000"/>
          <w:trHeight w:val="6273"/>
        </w:trPr>
        <w:tc>
          <w:tcPr>
            <w:cnfStyle w:val="001000100000"/>
            <w:tcW w:w="1227" w:type="dxa"/>
            <w:gridSpan w:val="1"/>
          </w:tcPr>
          <w:p>
            <w:r>
              <w:t>Vinca</w:t>
            </w:r>
            <w:r>
              <w:t xml:space="preserve"> </w:t>
            </w:r>
            <w:r>
              <w:t>rosea</w:t>
            </w:r>
            <w:r>
              <w:t xml:space="preserve">, </w:t>
            </w:r>
            <w:r>
              <w:t>Lochnera</w:t>
            </w:r>
            <w:r>
              <w:t xml:space="preserve"> </w:t>
            </w:r>
            <w:r>
              <w:t>rosea</w:t>
            </w:r>
            <w:r>
              <w:t xml:space="preserve">, </w:t>
            </w:r>
            <w:r>
              <w:t>Sadaphuli</w:t>
            </w:r>
          </w:p>
        </w:tc>
        <w:tc>
          <w:tcPr>
            <w:cnfStyle w:val="000000100000"/>
            <w:tcW w:w="1534" w:type="dxa"/>
            <w:gridSpan w:val="1"/>
          </w:tcPr>
          <w:p>
            <w:r>
              <w:t xml:space="preserve">Aerial parts of </w:t>
            </w:r>
            <w:r>
              <w:t>Catharanthus</w:t>
            </w:r>
            <w:r>
              <w:t xml:space="preserve"> </w:t>
            </w:r>
            <w:r>
              <w:t>roseus</w:t>
            </w:r>
          </w:p>
          <w:p>
            <w:r>
              <w:rPr>
                <w:lang w:val="en-AU"/>
              </w:rPr>
              <w:t xml:space="preserve">Family:-Apocynaceae </w:t>
            </w:r>
          </w:p>
        </w:tc>
        <w:tc>
          <w:tcPr>
            <w:cnfStyle w:val="000000100000"/>
            <w:tcW w:w="4320" w:type="dxa"/>
            <w:gridSpan w:val="1"/>
          </w:tcPr>
          <w:p>
            <w:r>
              <w:t xml:space="preserve">1. Indole and </w:t>
            </w:r>
            <w:r>
              <w:t>indoline</w:t>
            </w:r>
            <w:r>
              <w:t xml:space="preserve"> alkaloids:</w:t>
            </w:r>
          </w:p>
          <w:p/>
          <w:p>
            <w:r>
              <w:t xml:space="preserve">(i) </w:t>
            </w:r>
            <w:r>
              <w:t>Ajmalicine</w:t>
            </w:r>
          </w:p>
          <w:p/>
          <w:p>
            <w:r>
              <w:t xml:space="preserve">(ii) </w:t>
            </w:r>
            <w:r>
              <w:t>Lochnerine</w:t>
            </w:r>
          </w:p>
          <w:p/>
          <w:p>
            <w:r>
              <w:t>(iii) Serpentine and</w:t>
            </w:r>
          </w:p>
          <w:p/>
          <w:p>
            <w:r>
              <w:t xml:space="preserve">2. </w:t>
            </w:r>
            <w:r>
              <w:t>Tetrahydroalstonine</w:t>
            </w:r>
            <w:r>
              <w:t>:</w:t>
            </w:r>
          </w:p>
          <w:p/>
          <w:p>
            <w:r>
              <w:t>(i) Dimeric Indole bases of monoterpene type</w:t>
            </w:r>
          </w:p>
          <w:p/>
          <w:p>
            <w:r>
              <w:t xml:space="preserve">(ii) </w:t>
            </w:r>
            <w:r>
              <w:t>Vinblastin</w:t>
            </w:r>
          </w:p>
          <w:p/>
          <w:p>
            <w:r>
              <w:t xml:space="preserve">(iii) </w:t>
            </w:r>
            <w:r>
              <w:t>Vincristin</w:t>
            </w:r>
            <w:r>
              <w:t>.</w:t>
            </w:r>
          </w:p>
          <w:p/>
          <w:p>
            <w:r>
              <w:rPr/>
              <w:drawing>
                <wp:inline distT="0" distB="0" distL="0" distR="0" wp14:anchorId="6801CC3C" wp14:editId="28051AC0">
                  <wp:extent cx="2609809" cy="1148316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inca-alkaloids-300x132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934" cy="1177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cnfStyle w:val="000000100000"/>
            <w:tcW w:w="3240" w:type="dxa"/>
            <w:gridSpan w:val="1"/>
          </w:tcPr>
          <w:p>
            <w:r>
              <w:t>Vinca</w:t>
            </w:r>
            <w:r>
              <w:t xml:space="preserve"> is useful in the herbal treatment of lymphomas. Vinblastine is used for the treatment of Hodgkin’s disease and non-Hodgkin’s lymphomas while vincristine is used principally in the treatment of acute lymphocytic </w:t>
            </w:r>
            <w:r>
              <w:t>leukaemia</w:t>
            </w:r>
            <w:r>
              <w:t>.</w:t>
            </w:r>
          </w:p>
          <w:p/>
        </w:tc>
        <w:tc>
          <w:tcPr>
            <w:cnfStyle w:val="000000100000"/>
            <w:tcW w:w="2700" w:type="dxa"/>
            <w:gridSpan w:val="1"/>
          </w:tcPr>
          <w:p>
            <w:r>
              <w:t>V</w:t>
            </w:r>
            <w:r>
              <w:t>inca</w:t>
            </w:r>
            <w:r>
              <w:t xml:space="preserve"> </w:t>
            </w:r>
            <w:r>
              <w:t>rosea</w:t>
            </w:r>
            <w:r>
              <w:t xml:space="preserve"> tincture</w:t>
            </w:r>
            <w:r>
              <w:t>,</w:t>
            </w:r>
          </w:p>
          <w:p>
            <w:r>
              <w:t>P</w:t>
            </w:r>
            <w:r>
              <w:t>eriwinkl</w:t>
            </w:r>
            <w:bookmarkStart w:id="0" w:name="_GoBack"/>
            <w:bookmarkEnd w:id="0"/>
            <w:r>
              <w:t>e</w:t>
            </w:r>
          </w:p>
        </w:tc>
      </w:tr>
    </w:tbl>
    <w:p/>
    <w:sectPr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44D"/>
    <w:rsid w:val="000167C1"/>
    <w:rsid w:val="0008644D"/>
    <w:rsid w:val="002B0A41"/>
    <w:rsid w:val="00617FF7"/>
    <w:rsid w:val="00867F95"/>
    <w:rsid w:val="00F4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1AFC4-A6BB-4BF6-AB37-65A2C3AB065B}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US" w:bidi="mr-IN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2e77b4" w:themeColor="accent1" w:themeShade="bf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/>
      </w:pBdr>
      <w:spacing w:before="200" w:after="280"/>
      <w:ind w:left="936" w:right="936"/>
    </w:pPr>
    <w:rPr>
      <w:b/>
      <w:i/>
      <w:color w:val="5b9bd5" w:themeColor="accent1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1f4f77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f77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f77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5b9bd5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5b9bd5" w:themeColor="accent1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5b9bd5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2e77b4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5b9bd5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ed7d31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99"/>
    <w:qFormat w:val="on"/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1f4f77" w:themeColor="accent1" w:themeShade="7f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5b9bd5" w:themeColor="accent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5b9bd5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5b9bd5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2" Type="http://schemas.openxmlformats.org/officeDocument/2006/relationships/settings" Target="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3" Type="http://schemas.openxmlformats.org/officeDocument/2006/relationships/webSettings" Target="webSettings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description/>
  <dc:subject/>
  <dc:creator>Windows User</dc:creator>
  <cp:lastModifiedBy>ojaswininemade</cp:lastModifiedBy>
  <cp:keywords/>
  <cp:revision>3</cp:revision>
  <cp:lastPrinted>2016-08-11T12:07:00Z</cp:lastPrinted>
  <dcterms:created xsi:type="dcterms:W3CDTF">2016-08-11T12:00:00Z</dcterms:created>
  <dcterms:modified xsi:type="dcterms:W3CDTF">2016-08-11T15:36:00Z</dcterms:modified>
</cp:coreProperties>
</file>