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400"/>
              <w:left w:type="dxa" w:w="400"/>
              <w:bottom w:type="dxa" w:w="400"/>
              <w:right w:type="dxa" w:w="400"/>
            </w:tcMar>
          </w:tcPr>
          <w:p>
            <w:pPr>
              <w:spacing w:after="100"/>
              <w:jc w:val="center"/>
            </w:pPr>
            <w:r>
              <w:rPr>
                <w:rFonts w:ascii="Arial" w:cs="Arial" w:eastAsia="Arial" w:hAnsi="Arial"/>
                <w:b/>
                <w:bCs/>
                <w:color w:val="C9A22A"/>
                <w:sz w:val="80"/>
                <w:szCs w:val="80"/>
              </w:rPr>
              <w:t xml:space="preserve">BMW</w:t>
            </w:r>
          </w:p>
          <w:p>
            <w:pPr>
              <w:spacing w:after="80"/>
              <w:jc w:val="center"/>
            </w:pPr>
            <w:r>
              <w:rPr>
                <w:rFonts w:ascii="Arial" w:cs="Arial" w:eastAsia="Arial" w:hAnsi="Arial"/>
                <w:b/>
                <w:bCs/>
                <w:color w:val="FFFFFF"/>
                <w:sz w:val="36"/>
                <w:szCs w:val="36"/>
              </w:rPr>
              <w:t xml:space="preserve">GLOBAL SALES INTELLIGENCE DASHBOARD</w:t>
            </w:r>
          </w:p>
          <w:p>
            <w:pPr>
              <w:spacing w:after="80"/>
              <w:jc w:val="center"/>
            </w:pPr>
            <w:r>
              <w:rPr>
                <w:rFonts w:ascii="Arial" w:cs="Arial" w:eastAsia="Arial" w:hAnsi="Arial"/>
                <w:color w:val="BDD7EE"/>
                <w:sz w:val="26"/>
                <w:szCs w:val="26"/>
              </w:rPr>
              <w:t xml:space="preserve">Project Summary Report</w:t>
            </w:r>
          </w:p>
          <w:p>
            <w:pPr>
              <w:spacing w:after="200"/>
              <w:jc w:val="center"/>
            </w:pPr>
            <w:r>
              <w:rPr>
                <w:rFonts w:ascii="Arial" w:cs="Arial" w:eastAsia="Arial" w:hAnsi="Arial"/>
                <w:color w:val="D9D9D9"/>
                <w:sz w:val="20"/>
                <w:szCs w:val="20"/>
              </w:rPr>
              <w:t xml:space="preserve">2020 – 2024  |  8 Regions  |  12 Models  |  4,569 Records</w:t>
            </w:r>
          </w:p>
          <w:p>
            <w:pPr>
              <w:pBdr>
                <w:top w:val="single" w:color="C9A22A" w:sz="4"/>
              </w:pBdr>
              <w:spacing w:after="100" w:before="100"/>
              <w:jc w:val="center"/>
            </w:pPr>
            <w:r>
              <w:t xml:space="preserve"/>
            </w:r>
          </w:p>
          <w:p>
            <w:pPr>
              <w:spacing w:after="40"/>
              <w:jc w:val="center"/>
            </w:pPr>
            <w:r>
              <w:rPr>
                <w:rFonts w:ascii="Arial" w:cs="Arial" w:eastAsia="Arial" w:hAnsi="Arial"/>
                <w:color w:val="BDD7EE"/>
                <w:sz w:val="20"/>
                <w:szCs w:val="20"/>
              </w:rPr>
              <w:t xml:space="preserve">Prepared by: Devesh Shukla</w:t>
            </w:r>
          </w:p>
          <w:p>
            <w:pPr>
              <w:spacing w:after="40"/>
              <w:jc w:val="center"/>
            </w:pPr>
            <w:r>
              <w:rPr>
                <w:rFonts w:ascii="Arial" w:cs="Arial" w:eastAsia="Arial" w:hAnsi="Arial"/>
                <w:color w:val="D9D9D9"/>
                <w:sz w:val="18"/>
                <w:szCs w:val="18"/>
              </w:rPr>
              <w:t xml:space="preserve">Data Analyst  |  Generative AI Professional</w:t>
            </w:r>
          </w:p>
          <w:p>
            <w:pPr>
              <w:jc w:val="center"/>
            </w:pPr>
            <w:r>
              <w:rPr>
                <w:rFonts w:ascii="Arial" w:cs="Arial" w:eastAsia="Arial" w:hAnsi="Arial"/>
                <w:color w:val="D9D9D9"/>
                <w:sz w:val="18"/>
                <w:szCs w:val="18"/>
              </w:rPr>
              <w:t xml:space="preserve">April 2026</w:t>
            </w:r>
          </w:p>
        </w:tc>
      </w:tr>
    </w:tbl>
    <w:p>
      <w:pPr>
        <w:spacing w:before="60"/>
      </w:pPr>
      <w:r>
        <w:rPr>
          <w:sz w:val="20"/>
          <w:szCs w:val="20"/>
        </w:rPr>
        <w:t xml:space="preserve"/>
      </w:r>
    </w:p>
    <w:p>
      <w:r>
        <w:br w:type="page"/>
      </w:r>
    </w:p>
    <w:p>
      <w:pPr>
        <w:pStyle w:val="Heading1"/>
        <w:pBdr>
          <w:bottom w:val="single" w:color="C9A22A" w:sz="8"/>
        </w:pBdr>
        <w:shd w:fill="0D2B4E" w:val="clear"/>
        <w:spacing w:after="200" w:before="360"/>
        <w:ind w:left="200" w:right="200"/>
      </w:pPr>
      <w:r>
        <w:rPr>
          <w:rFonts w:ascii="Arial" w:cs="Arial" w:eastAsia="Arial" w:hAnsi="Arial"/>
          <w:b/>
          <w:bCs/>
          <w:color w:val="FFFFFF"/>
          <w:sz w:val="32"/>
          <w:szCs w:val="32"/>
        </w:rPr>
        <w:t xml:space="preserve">01  |  PROJECT OVERVIEW</w:t>
      </w:r>
    </w:p>
    <w:p>
      <w:pPr>
        <w:spacing w:before="60"/>
      </w:pPr>
      <w:r>
        <w:rPr>
          <w:sz w:val="20"/>
          <w:szCs w:val="20"/>
        </w:rPr>
        <w:t xml:space="preserve"/>
      </w:r>
    </w:p>
    <w:p>
      <w:pPr>
        <w:spacing w:after="60" w:before="60"/>
        <w:jc w:val="both"/>
      </w:pPr>
      <w:r>
        <w:rPr>
          <w:rFonts w:ascii="Arial" w:cs="Arial" w:eastAsia="Arial" w:hAnsi="Arial"/>
          <w:color w:val="000000"/>
          <w:sz w:val="20"/>
          <w:szCs w:val="20"/>
        </w:rPr>
        <w:t xml:space="preserve">This report presents a comprehensive end-to-end data analysis of BMW's global sales operations spanning five years (2020–2024) across 8 international regions and 12 vehicle models. The project was executed across four distinct phases — Data Cleaning, SQL Analysis, Python EDA, and Power BI Dashboard — culminating in a 4-page interactive business intelligence dashboard.</w:t>
      </w:r>
    </w:p>
    <w:p>
      <w:pPr>
        <w:spacing w:before="60"/>
      </w:pPr>
      <w:r>
        <w:rPr>
          <w:sz w:val="20"/>
          <w:szCs w:val="20"/>
        </w:rPr>
        <w:t xml:space="preserve"/>
      </w:r>
    </w:p>
    <w:p>
      <w:pPr>
        <w:spacing w:after="80" w:before="200"/>
      </w:pPr>
      <w:r>
        <w:rPr>
          <w:rFonts w:ascii="Arial" w:cs="Arial" w:eastAsia="Arial" w:hAnsi="Arial"/>
          <w:b/>
          <w:bCs/>
          <w:color w:val="1F4E79"/>
          <w:sz w:val="22"/>
          <w:szCs w:val="22"/>
        </w:rPr>
        <w:t xml:space="preserve">Project Objectives</w:t>
      </w:r>
    </w:p>
    <w:p>
      <w:pPr>
        <w:pStyle w:val="ListParagraph"/>
        <w:numPr>
          <w:ilvl w:val="0"/>
          <w:numId w:val="2"/>
        </w:numPr>
        <w:spacing w:after="40" w:before="40"/>
      </w:pPr>
      <w:r>
        <w:rPr>
          <w:rFonts w:ascii="Arial" w:cs="Arial" w:eastAsia="Arial" w:hAnsi="Arial"/>
          <w:b w:val="false"/>
          <w:bCs w:val="false"/>
          <w:color w:val="000000"/>
          <w:sz w:val="20"/>
          <w:szCs w:val="20"/>
        </w:rPr>
        <w:t xml:space="preserve">Analyze BMW's revenue performance across years, regions, and models</w:t>
      </w:r>
    </w:p>
    <w:p>
      <w:pPr>
        <w:pStyle w:val="ListParagraph"/>
        <w:numPr>
          <w:ilvl w:val="0"/>
          <w:numId w:val="2"/>
        </w:numPr>
        <w:spacing w:after="40" w:before="40"/>
      </w:pPr>
      <w:r>
        <w:rPr>
          <w:rFonts w:ascii="Arial" w:cs="Arial" w:eastAsia="Arial" w:hAnsi="Arial"/>
          <w:b w:val="false"/>
          <w:bCs w:val="false"/>
          <w:color w:val="000000"/>
          <w:sz w:val="20"/>
          <w:szCs w:val="20"/>
        </w:rPr>
        <w:t xml:space="preserve">Identify high-performing and underperforming segments</w:t>
      </w:r>
    </w:p>
    <w:p>
      <w:pPr>
        <w:pStyle w:val="ListParagraph"/>
        <w:numPr>
          <w:ilvl w:val="0"/>
          <w:numId w:val="2"/>
        </w:numPr>
        <w:spacing w:after="40" w:before="40"/>
      </w:pPr>
      <w:r>
        <w:rPr>
          <w:rFonts w:ascii="Arial" w:cs="Arial" w:eastAsia="Arial" w:hAnsi="Arial"/>
          <w:b w:val="false"/>
          <w:bCs w:val="false"/>
          <w:color w:val="000000"/>
          <w:sz w:val="20"/>
          <w:szCs w:val="20"/>
        </w:rPr>
        <w:t xml:space="preserve">Uncover EV adoption trends and fuel type shifts</w:t>
      </w:r>
    </w:p>
    <w:p>
      <w:pPr>
        <w:pStyle w:val="ListParagraph"/>
        <w:numPr>
          <w:ilvl w:val="0"/>
          <w:numId w:val="2"/>
        </w:numPr>
        <w:spacing w:after="40" w:before="40"/>
      </w:pPr>
      <w:r>
        <w:rPr>
          <w:rFonts w:ascii="Arial" w:cs="Arial" w:eastAsia="Arial" w:hAnsi="Arial"/>
          <w:b w:val="false"/>
          <w:bCs w:val="false"/>
          <w:color w:val="000000"/>
          <w:sz w:val="20"/>
          <w:szCs w:val="20"/>
        </w:rPr>
        <w:t xml:space="preserve">Deliver actionable business recommendations for strategic decision-making</w:t>
      </w:r>
    </w:p>
    <w:p>
      <w:pPr>
        <w:pStyle w:val="ListParagraph"/>
        <w:numPr>
          <w:ilvl w:val="0"/>
          <w:numId w:val="2"/>
        </w:numPr>
        <w:spacing w:after="40" w:before="40"/>
      </w:pPr>
      <w:r>
        <w:rPr>
          <w:rFonts w:ascii="Arial" w:cs="Arial" w:eastAsia="Arial" w:hAnsi="Arial"/>
          <w:b w:val="false"/>
          <w:bCs w:val="false"/>
          <w:color w:val="000000"/>
          <w:sz w:val="20"/>
          <w:szCs w:val="20"/>
        </w:rPr>
        <w:t xml:space="preserve">Build a professional Power BI dashboard for executive reporting</w:t>
      </w:r>
    </w:p>
    <w:p>
      <w:pPr>
        <w:spacing w:before="60"/>
      </w:pPr>
      <w:r>
        <w:rPr>
          <w:sz w:val="20"/>
          <w:szCs w:val="20"/>
        </w:rPr>
        <w:t xml:space="preserve"/>
      </w:r>
    </w:p>
    <w:p>
      <w:pPr>
        <w:spacing w:after="80" w:before="200"/>
      </w:pPr>
      <w:r>
        <w:rPr>
          <w:rFonts w:ascii="Arial" w:cs="Arial" w:eastAsia="Arial" w:hAnsi="Arial"/>
          <w:b/>
          <w:bCs/>
          <w:color w:val="1F4E79"/>
          <w:sz w:val="22"/>
          <w:szCs w:val="22"/>
        </w:rPr>
        <w:t xml:space="preserve">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Attribute</w:t>
            </w:r>
          </w:p>
        </w:tc>
        <w:tc>
          <w:tcPr>
            <w:tcW w:type="dxa" w:w="46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Details</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Total Records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4,569 raw rows (4,522 clean)</w:t>
            </w:r>
          </w:p>
        </w:tc>
      </w:tr>
      <w:tr>
        <w:tc>
          <w:tcPr>
            <w:tcW w:type="dxa" w:w="4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Time Period</w:t>
            </w:r>
          </w:p>
        </w:tc>
        <w:tc>
          <w:tcPr>
            <w:tcW w:type="dxa" w:w="4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2020 – 2024 (5 Years)</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Regions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USA, China, Germany, UK, UAE, South Africa, Australia, India</w:t>
            </w:r>
          </w:p>
        </w:tc>
      </w:tr>
      <w:tr>
        <w:tc>
          <w:tcPr>
            <w:tcW w:type="dxa" w:w="4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Models</w:t>
            </w:r>
          </w:p>
        </w:tc>
        <w:tc>
          <w:tcPr>
            <w:tcW w:type="dxa" w:w="4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12 BMW Models across 5 Segments</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Key Metrics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Revenue (EUR), Units Sold, Profit, Satisfaction Score</w:t>
            </w:r>
          </w:p>
        </w:tc>
      </w:tr>
      <w:tr>
        <w:tc>
          <w:tcPr>
            <w:tcW w:type="dxa" w:w="4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Data Issues Found</w:t>
            </w:r>
          </w:p>
        </w:tc>
        <w:tc>
          <w:tcPr>
            <w:tcW w:type="dxa" w:w="4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Duplicate Sale IDs, missing fuel types, currency inconsistencies, bad dates</w:t>
            </w:r>
          </w:p>
        </w:tc>
      </w:tr>
    </w:tbl>
    <w:p>
      <w:pPr>
        <w:spacing w:before="60"/>
      </w:pPr>
      <w:r>
        <w:rPr>
          <w:sz w:val="20"/>
          <w:szCs w:val="20"/>
        </w:rPr>
        <w:t xml:space="preserve"/>
      </w:r>
    </w:p>
    <w:p>
      <w:pPr>
        <w:spacing w:after="80" w:before="200"/>
      </w:pPr>
      <w:r>
        <w:rPr>
          <w:rFonts w:ascii="Arial" w:cs="Arial" w:eastAsia="Arial" w:hAnsi="Arial"/>
          <w:b/>
          <w:bCs/>
          <w:color w:val="1F4E79"/>
          <w:sz w:val="22"/>
          <w:szCs w:val="22"/>
        </w:rPr>
        <w:t xml:space="preserve">Project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 Used</w:t>
            </w:r>
          </w:p>
        </w:tc>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Output</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Phase 1 — Data Cleaning</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Microsoft Excel</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Cleaned dataset, flag columns, documented 47 issues</w:t>
            </w:r>
          </w:p>
        </w:tc>
      </w:tr>
      <w:tr>
        <w:tc>
          <w:tcPr>
            <w:tcW w:type="dxa" w:w="31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Phase 2 — SQL Analysis</w:t>
            </w:r>
          </w:p>
        </w:tc>
        <w:tc>
          <w:tcPr>
            <w:tcW w:type="dxa" w:w="31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MySQL + Python (SQLAlchemy)</w:t>
            </w:r>
          </w:p>
        </w:tc>
        <w:tc>
          <w:tcPr>
            <w:tcW w:type="dxa" w:w="31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8 KPI queries, SQL Analysis Report</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Phase 3 — Python EDA</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Jupyter Notebook (Pandas, Plotly)</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13 visualizations, K-Means clustering, 2025 forecast</w:t>
            </w:r>
          </w:p>
        </w:tc>
      </w:tr>
      <w:tr>
        <w:tc>
          <w:tcPr>
            <w:tcW w:type="dxa" w:w="31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Phase 4 — Power BI Dashboard</w:t>
            </w:r>
          </w:p>
        </w:tc>
        <w:tc>
          <w:tcPr>
            <w:tcW w:type="dxa" w:w="31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Power BI Desktop</w:t>
            </w:r>
          </w:p>
        </w:tc>
        <w:tc>
          <w:tcPr>
            <w:tcW w:type="dxa" w:w="31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4-page interactive BMW M5 themed dashboard</w:t>
            </w:r>
          </w:p>
        </w:tc>
      </w:tr>
    </w:tbl>
    <w:p>
      <w:pPr>
        <w:spacing w:before="60"/>
      </w:pPr>
      <w:r>
        <w:rPr>
          <w:sz w:val="20"/>
          <w:szCs w:val="20"/>
        </w:rPr>
        <w:t xml:space="preserve"/>
      </w:r>
    </w:p>
    <w:p>
      <w:r>
        <w:br w:type="page"/>
      </w:r>
    </w:p>
    <w:p>
      <w:pPr>
        <w:pStyle w:val="Heading1"/>
        <w:pBdr>
          <w:bottom w:val="single" w:color="C9A22A" w:sz="8"/>
        </w:pBdr>
        <w:shd w:fill="0D2B4E" w:val="clear"/>
        <w:spacing w:after="200" w:before="360"/>
        <w:ind w:left="200" w:right="200"/>
      </w:pPr>
      <w:r>
        <w:rPr>
          <w:rFonts w:ascii="Arial" w:cs="Arial" w:eastAsia="Arial" w:hAnsi="Arial"/>
          <w:b/>
          <w:bCs/>
          <w:color w:val="FFFFFF"/>
          <w:sz w:val="32"/>
          <w:szCs w:val="32"/>
        </w:rPr>
        <w:t xml:space="preserve">02  |  KEY PERFORMANCE INDICATORS</w:t>
      </w:r>
    </w:p>
    <w:p>
      <w:pPr>
        <w:spacing w:before="60"/>
      </w:pPr>
      <w:r>
        <w:rPr>
          <w:sz w:val="20"/>
          <w:szCs w:val="20"/>
        </w:rPr>
        <w:t xml:space="preserve"/>
      </w:r>
    </w:p>
    <w:p>
      <w:pPr>
        <w:spacing w:after="60" w:before="60"/>
        <w:jc w:val="both"/>
      </w:pPr>
      <w:r>
        <w:rPr>
          <w:rFonts w:ascii="Arial" w:cs="Arial" w:eastAsia="Arial" w:hAnsi="Arial"/>
          <w:color w:val="000000"/>
          <w:sz w:val="20"/>
          <w:szCs w:val="20"/>
        </w:rPr>
        <w:t xml:space="preserve">The following KPIs represent the overall business performance of BMW's global sales operations across the entire 2020–2024 period, based on 4,522 verified clean transactions.</w:t>
      </w:r>
    </w:p>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4"/>
              <w:left w:val="single" w:color="CCCCCC" w:sz="4"/>
              <w:bottom w:val="single" w:color="CCCCCC" w:sz="4"/>
              <w:right w:val="single" w:color="CCCCCC" w:sz="4"/>
            </w:tcBorders>
            <w:shd w:fill="0D2B4E" w:val="clear"/>
            <w:tcMar>
              <w:top w:type="dxa" w:w="120"/>
              <w:left w:type="dxa" w:w="120"/>
              <w:bottom w:type="dxa" w:w="120"/>
              <w:right w:type="dxa" w:w="120"/>
            </w:tcMar>
            <w:vAlign w:val="center"/>
          </w:tcPr>
          <w:p>
            <w:pPr>
              <w:jc w:val="center"/>
            </w:pPr>
            <w:r>
              <w:rPr>
                <w:rFonts w:ascii="Arial" w:cs="Arial" w:eastAsia="Arial" w:hAnsi="Arial"/>
                <w:b/>
                <w:bCs/>
                <w:color w:val="4FC3F7"/>
                <w:sz w:val="28"/>
                <w:szCs w:val="28"/>
              </w:rPr>
              <w:t xml:space="preserve">€785.58M</w:t>
            </w:r>
          </w:p>
          <w:p>
            <w:pPr>
              <w:jc w:val="center"/>
            </w:pPr>
            <w:r>
              <w:rPr>
                <w:rFonts w:ascii="Arial" w:cs="Arial" w:eastAsia="Arial" w:hAnsi="Arial"/>
                <w:color w:val="BDD7EE"/>
                <w:sz w:val="16"/>
                <w:szCs w:val="16"/>
              </w:rPr>
              <w:t xml:space="preserve">Total Revenue</w:t>
            </w:r>
          </w:p>
        </w:tc>
        <w:tc>
          <w:tcPr>
            <w:tcW w:type="dxa" w:w="1560"/>
            <w:tcBorders>
              <w:top w:val="single" w:color="CCCCCC" w:sz="4"/>
              <w:left w:val="single" w:color="CCCCCC" w:sz="4"/>
              <w:bottom w:val="single" w:color="CCCCCC" w:sz="4"/>
              <w:right w:val="single" w:color="CCCCCC" w:sz="4"/>
            </w:tcBorders>
            <w:shd w:fill="0D2B4E" w:val="clear"/>
            <w:tcMar>
              <w:top w:type="dxa" w:w="120"/>
              <w:left w:type="dxa" w:w="120"/>
              <w:bottom w:type="dxa" w:w="120"/>
              <w:right w:type="dxa" w:w="120"/>
            </w:tcMar>
            <w:vAlign w:val="center"/>
          </w:tcPr>
          <w:p>
            <w:pPr>
              <w:jc w:val="center"/>
            </w:pPr>
            <w:r>
              <w:rPr>
                <w:rFonts w:ascii="Arial" w:cs="Arial" w:eastAsia="Arial" w:hAnsi="Arial"/>
                <w:b/>
                <w:bCs/>
                <w:color w:val="81C784"/>
                <w:sz w:val="28"/>
                <w:szCs w:val="28"/>
              </w:rPr>
              <w:t xml:space="preserve">€196.39M</w:t>
            </w:r>
          </w:p>
          <w:p>
            <w:pPr>
              <w:jc w:val="center"/>
            </w:pPr>
            <w:r>
              <w:rPr>
                <w:rFonts w:ascii="Arial" w:cs="Arial" w:eastAsia="Arial" w:hAnsi="Arial"/>
                <w:color w:val="BDD7EE"/>
                <w:sz w:val="16"/>
                <w:szCs w:val="16"/>
              </w:rPr>
              <w:t xml:space="preserve">Gross Profit</w:t>
            </w:r>
          </w:p>
        </w:tc>
        <w:tc>
          <w:tcPr>
            <w:tcW w:type="dxa" w:w="1560"/>
            <w:tcBorders>
              <w:top w:val="single" w:color="CCCCCC" w:sz="4"/>
              <w:left w:val="single" w:color="CCCCCC" w:sz="4"/>
              <w:bottom w:val="single" w:color="CCCCCC" w:sz="4"/>
              <w:right w:val="single" w:color="CCCCCC" w:sz="4"/>
            </w:tcBorders>
            <w:shd w:fill="0D2B4E" w:val="clear"/>
            <w:tcMar>
              <w:top w:type="dxa" w:w="120"/>
              <w:left w:type="dxa" w:w="120"/>
              <w:bottom w:type="dxa" w:w="120"/>
              <w:right w:type="dxa" w:w="120"/>
            </w:tcMar>
            <w:vAlign w:val="center"/>
          </w:tcPr>
          <w:p>
            <w:pPr>
              <w:jc w:val="center"/>
            </w:pPr>
            <w:r>
              <w:rPr>
                <w:rFonts w:ascii="Arial" w:cs="Arial" w:eastAsia="Arial" w:hAnsi="Arial"/>
                <w:b/>
                <w:bCs/>
                <w:color w:val="C9A22A"/>
                <w:sz w:val="28"/>
                <w:szCs w:val="28"/>
              </w:rPr>
              <w:t xml:space="preserve">25.00%</w:t>
            </w:r>
          </w:p>
          <w:p>
            <w:pPr>
              <w:jc w:val="center"/>
            </w:pPr>
            <w:r>
              <w:rPr>
                <w:rFonts w:ascii="Arial" w:cs="Arial" w:eastAsia="Arial" w:hAnsi="Arial"/>
                <w:color w:val="BDD7EE"/>
                <w:sz w:val="16"/>
                <w:szCs w:val="16"/>
              </w:rPr>
              <w:t xml:space="preserve">Profit Margin</w:t>
            </w:r>
          </w:p>
        </w:tc>
        <w:tc>
          <w:tcPr>
            <w:tcW w:type="dxa" w:w="1560"/>
            <w:tcBorders>
              <w:top w:val="single" w:color="CCCCCC" w:sz="4"/>
              <w:left w:val="single" w:color="CCCCCC" w:sz="4"/>
              <w:bottom w:val="single" w:color="CCCCCC" w:sz="4"/>
              <w:right w:val="single" w:color="CCCCCC" w:sz="4"/>
            </w:tcBorders>
            <w:shd w:fill="0D2B4E" w:val="clear"/>
            <w:tcMar>
              <w:top w:type="dxa" w:w="120"/>
              <w:left w:type="dxa" w:w="120"/>
              <w:bottom w:type="dxa" w:w="120"/>
              <w:right w:type="dxa" w:w="120"/>
            </w:tcMar>
            <w:vAlign w:val="center"/>
          </w:tcPr>
          <w:p>
            <w:pPr>
              <w:jc w:val="center"/>
            </w:pPr>
            <w:r>
              <w:rPr>
                <w:rFonts w:ascii="Arial" w:cs="Arial" w:eastAsia="Arial" w:hAnsi="Arial"/>
                <w:b/>
                <w:bCs/>
                <w:color w:val="4FC3F7"/>
                <w:sz w:val="28"/>
                <w:szCs w:val="28"/>
              </w:rPr>
              <w:t xml:space="preserve">12K</w:t>
            </w:r>
          </w:p>
          <w:p>
            <w:pPr>
              <w:jc w:val="center"/>
            </w:pPr>
            <w:r>
              <w:rPr>
                <w:rFonts w:ascii="Arial" w:cs="Arial" w:eastAsia="Arial" w:hAnsi="Arial"/>
                <w:color w:val="BDD7EE"/>
                <w:sz w:val="16"/>
                <w:szCs w:val="16"/>
              </w:rPr>
              <w:t xml:space="preserve">Units Sold</w:t>
            </w:r>
          </w:p>
        </w:tc>
        <w:tc>
          <w:tcPr>
            <w:tcW w:type="dxa" w:w="1560"/>
            <w:tcBorders>
              <w:top w:val="single" w:color="CCCCCC" w:sz="4"/>
              <w:left w:val="single" w:color="CCCCCC" w:sz="4"/>
              <w:bottom w:val="single" w:color="CCCCCC" w:sz="4"/>
              <w:right w:val="single" w:color="CCCCCC" w:sz="4"/>
            </w:tcBorders>
            <w:shd w:fill="0D2B4E" w:val="clear"/>
            <w:tcMar>
              <w:top w:type="dxa" w:w="120"/>
              <w:left w:type="dxa" w:w="120"/>
              <w:bottom w:type="dxa" w:w="120"/>
              <w:right w:type="dxa" w:w="120"/>
            </w:tcMar>
            <w:vAlign w:val="center"/>
          </w:tcPr>
          <w:p>
            <w:pPr>
              <w:jc w:val="center"/>
            </w:pPr>
            <w:r>
              <w:rPr>
                <w:rFonts w:ascii="Arial" w:cs="Arial" w:eastAsia="Arial" w:hAnsi="Arial"/>
                <w:b/>
                <w:bCs/>
                <w:color w:val="CE93D8"/>
                <w:sz w:val="28"/>
                <w:szCs w:val="28"/>
              </w:rPr>
              <w:t xml:space="preserve">4,522</w:t>
            </w:r>
          </w:p>
          <w:p>
            <w:pPr>
              <w:jc w:val="center"/>
            </w:pPr>
            <w:r>
              <w:rPr>
                <w:rFonts w:ascii="Arial" w:cs="Arial" w:eastAsia="Arial" w:hAnsi="Arial"/>
                <w:color w:val="BDD7EE"/>
                <w:sz w:val="16"/>
                <w:szCs w:val="16"/>
              </w:rPr>
              <w:t xml:space="preserve">Total Transactions</w:t>
            </w:r>
          </w:p>
        </w:tc>
        <w:tc>
          <w:tcPr>
            <w:tcW w:type="dxa" w:w="1560"/>
            <w:tcBorders>
              <w:top w:val="single" w:color="CCCCCC" w:sz="4"/>
              <w:left w:val="single" w:color="CCCCCC" w:sz="4"/>
              <w:bottom w:val="single" w:color="CCCCCC" w:sz="4"/>
              <w:right w:val="single" w:color="CCCCCC" w:sz="4"/>
            </w:tcBorders>
            <w:shd w:fill="0D2B4E" w:val="clear"/>
            <w:tcMar>
              <w:top w:type="dxa" w:w="120"/>
              <w:left w:type="dxa" w:w="120"/>
              <w:bottom w:type="dxa" w:w="120"/>
              <w:right w:type="dxa" w:w="120"/>
            </w:tcMar>
            <w:vAlign w:val="center"/>
          </w:tcPr>
          <w:p>
            <w:pPr>
              <w:jc w:val="center"/>
            </w:pPr>
            <w:r>
              <w:rPr>
                <w:rFonts w:ascii="Arial" w:cs="Arial" w:eastAsia="Arial" w:hAnsi="Arial"/>
                <w:b/>
                <w:bCs/>
                <w:color w:val="FFB74D"/>
                <w:sz w:val="28"/>
                <w:szCs w:val="28"/>
              </w:rPr>
              <w:t xml:space="preserve">4.08 / 5</w:t>
            </w:r>
          </w:p>
          <w:p>
            <w:pPr>
              <w:jc w:val="center"/>
            </w:pPr>
            <w:r>
              <w:rPr>
                <w:rFonts w:ascii="Arial" w:cs="Arial" w:eastAsia="Arial" w:hAnsi="Arial"/>
                <w:color w:val="BDD7EE"/>
                <w:sz w:val="16"/>
                <w:szCs w:val="16"/>
              </w:rPr>
              <w:t xml:space="preserve">Avg Satisfaction</w:t>
            </w:r>
          </w:p>
        </w:tc>
      </w:tr>
    </w:tbl>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C9A22A" w:sz="16"/>
              <w:bottom w:val="single" w:color="CCCCCC" w:sz="4"/>
              <w:right w:val="single" w:color="CCCCCC" w:sz="4"/>
            </w:tcBorders>
            <w:shd w:fill="BDD7EE" w:val="clear"/>
            <w:tcMar>
              <w:top w:type="dxa" w:w="100"/>
              <w:left w:type="dxa" w:w="180"/>
              <w:bottom w:type="dxa" w:w="100"/>
              <w:right w:type="dxa" w:w="180"/>
            </w:tcMar>
          </w:tcPr>
          <w:p>
            <w:r>
              <w:rPr>
                <w:rFonts w:ascii="Arial" w:cs="Arial" w:eastAsia="Arial" w:hAnsi="Arial"/>
                <w:b/>
                <w:bCs/>
                <w:color w:val="0D2B4E"/>
                <w:sz w:val="20"/>
                <w:szCs w:val="20"/>
              </w:rPr>
              <w:t xml:space="preserve">Key Insight — Consistent Profitability</w:t>
            </w:r>
          </w:p>
          <w:p>
            <w:pPr>
              <w:spacing w:before="60"/>
              <w:jc w:val="both"/>
            </w:pPr>
            <w:r>
              <w:rPr>
                <w:rFonts w:ascii="Arial" w:cs="Arial" w:eastAsia="Arial" w:hAnsi="Arial"/>
                <w:color w:val="000000"/>
                <w:sz w:val="19"/>
                <w:szCs w:val="19"/>
              </w:rPr>
              <w:t xml:space="preserve">BMW maintained a stable 25% gross profit margin across all 5 years and all 8 regions — demonstrating strong pricing power and cost discipline. Despite a revenue dip in 2021 (-5.22% YoY), the business recovered strongly with 15.64% growth in 2023 and 14.75% in 2024, indicating a robust post-2022 growth trajectory.</w:t>
            </w:r>
          </w:p>
        </w:tc>
      </w:tr>
    </w:tbl>
    <w:p>
      <w:pPr>
        <w:spacing w:before="60"/>
      </w:pPr>
      <w:r>
        <w:rPr>
          <w:sz w:val="20"/>
          <w:szCs w:val="20"/>
        </w:rPr>
        <w:t xml:space="preserve"/>
      </w:r>
    </w:p>
    <w:p>
      <w:r>
        <w:br w:type="page"/>
      </w:r>
    </w:p>
    <w:p>
      <w:pPr>
        <w:pStyle w:val="Heading1"/>
        <w:pBdr>
          <w:bottom w:val="single" w:color="C9A22A" w:sz="8"/>
        </w:pBdr>
        <w:shd w:fill="0D2B4E" w:val="clear"/>
        <w:spacing w:after="200" w:before="360"/>
        <w:ind w:left="200" w:right="200"/>
      </w:pPr>
      <w:r>
        <w:rPr>
          <w:rFonts w:ascii="Arial" w:cs="Arial" w:eastAsia="Arial" w:hAnsi="Arial"/>
          <w:b/>
          <w:bCs/>
          <w:color w:val="FFFFFF"/>
          <w:sz w:val="32"/>
          <w:szCs w:val="32"/>
        </w:rPr>
        <w:t xml:space="preserve">03  |  REVENUE ANALYSIS</w:t>
      </w:r>
    </w:p>
    <w:p>
      <w:pPr>
        <w:spacing w:before="60"/>
      </w:pPr>
      <w:r>
        <w:rPr>
          <w:sz w:val="20"/>
          <w:szCs w:val="20"/>
        </w:rPr>
        <w:t xml:space="preserve"/>
      </w:r>
    </w:p>
    <w:p>
      <w:pPr>
        <w:pStyle w:val="Heading2"/>
        <w:pBdr>
          <w:bottom w:val="single" w:color="BDD7EE" w:sz="4"/>
        </w:pBdr>
        <w:spacing w:after="120" w:before="300"/>
      </w:pPr>
      <w:r>
        <w:rPr>
          <w:rFonts w:ascii="Arial" w:cs="Arial" w:eastAsia="Arial" w:hAnsi="Arial"/>
          <w:b/>
          <w:bCs/>
          <w:color w:val="0D2B4E"/>
          <w:sz w:val="26"/>
          <w:szCs w:val="26"/>
        </w:rPr>
        <w:t xml:space="preserve">3.1  Revenue by Year — YoY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Revenue (EUR)</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YoY Growth</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Trend</w:t>
            </w:r>
          </w:p>
        </w:tc>
      </w:tr>
      <w:tr>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2020</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€146.15M</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Baseline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w:t>
            </w:r>
          </w:p>
        </w:tc>
      </w:tr>
      <w:tr>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2021</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€138.52M</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-5.22%</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 Decline</w:t>
            </w:r>
          </w:p>
        </w:tc>
      </w:tr>
      <w:tr>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2022</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€143.80M</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+3.81%</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 Recovery</w:t>
            </w:r>
          </w:p>
        </w:tc>
      </w:tr>
      <w:tr>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2023</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€166.29M</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+15.64%</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 Strong Growth</w:t>
            </w:r>
          </w:p>
        </w:tc>
      </w:tr>
      <w:tr>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2024</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€190.81M</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+14.75%</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 Strong Growth</w:t>
            </w:r>
          </w:p>
        </w:tc>
      </w:tr>
    </w:tbl>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C9A22A" w:sz="16"/>
              <w:bottom w:val="single" w:color="CCCCCC" w:sz="4"/>
              <w:right w:val="single" w:color="CCCCCC" w:sz="4"/>
            </w:tcBorders>
            <w:shd w:fill="E2EFDA" w:val="clear"/>
            <w:tcMar>
              <w:top w:type="dxa" w:w="100"/>
              <w:left w:type="dxa" w:w="180"/>
              <w:bottom w:type="dxa" w:w="100"/>
              <w:right w:type="dxa" w:w="180"/>
            </w:tcMar>
          </w:tcPr>
          <w:p>
            <w:r>
              <w:rPr>
                <w:rFonts w:ascii="Arial" w:cs="Arial" w:eastAsia="Arial" w:hAnsi="Arial"/>
                <w:b/>
                <w:bCs/>
                <w:color w:val="1E6B3C"/>
                <w:sz w:val="20"/>
                <w:szCs w:val="20"/>
              </w:rPr>
              <w:t xml:space="preserve">Revenue Story — V-Shaped Recovery</w:t>
            </w:r>
          </w:p>
          <w:p>
            <w:pPr>
              <w:spacing w:before="60"/>
              <w:jc w:val="both"/>
            </w:pPr>
            <w:r>
              <w:rPr>
                <w:rFonts w:ascii="Arial" w:cs="Arial" w:eastAsia="Arial" w:hAnsi="Arial"/>
                <w:color w:val="000000"/>
                <w:sz w:val="19"/>
                <w:szCs w:val="19"/>
              </w:rPr>
              <w:t xml:space="preserve">BMW experienced a revenue decline in 2021 (likely due to global supply chain disruptions and semiconductor shortages post-COVID). The business then staged a strong V-shaped recovery from 2022 onwards. The 2023-2024 back-to-back double-digit growth of 15%+ signals strong market demand and successful model launches including the iX and i7 electric vehicles.</w:t>
            </w:r>
          </w:p>
        </w:tc>
      </w:tr>
    </w:tbl>
    <w:p>
      <w:pPr>
        <w:spacing w:before="60"/>
      </w:pPr>
      <w:r>
        <w:rPr>
          <w:sz w:val="20"/>
          <w:szCs w:val="20"/>
        </w:rPr>
        <w:t xml:space="preserve"/>
      </w:r>
    </w:p>
    <w:p>
      <w:pPr>
        <w:pStyle w:val="Heading2"/>
        <w:pBdr>
          <w:bottom w:val="single" w:color="BDD7EE" w:sz="4"/>
        </w:pBdr>
        <w:spacing w:after="120" w:before="300"/>
      </w:pPr>
      <w:r>
        <w:rPr>
          <w:rFonts w:ascii="Arial" w:cs="Arial" w:eastAsia="Arial" w:hAnsi="Arial"/>
          <w:b/>
          <w:bCs/>
          <w:color w:val="0D2B4E"/>
          <w:sz w:val="26"/>
          <w:szCs w:val="26"/>
        </w:rPr>
        <w:t xml:space="preserve">3.2  Revenue by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Rank</w:t>
            </w:r>
          </w:p>
        </w:tc>
        <w:tc>
          <w:tcPr>
            <w:tcW w:type="dxa" w:w="1872"/>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Region</w:t>
            </w:r>
          </w:p>
        </w:tc>
        <w:tc>
          <w:tcPr>
            <w:tcW w:type="dxa" w:w="1872"/>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Revenue (EUR)</w:t>
            </w:r>
          </w:p>
        </w:tc>
        <w:tc>
          <w:tcPr>
            <w:tcW w:type="dxa" w:w="1872"/>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Revenue Share</w:t>
            </w:r>
          </w:p>
        </w:tc>
        <w:tc>
          <w:tcPr>
            <w:tcW w:type="dxa" w:w="1872"/>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#1</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USA</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€195.62M</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24.90%</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Top Market</w:t>
            </w:r>
          </w:p>
        </w:tc>
      </w:tr>
      <w:tr>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#2</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China</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€154.25M</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19.64%</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High Growth</w:t>
            </w:r>
          </w:p>
        </w:tc>
      </w:tr>
      <w:tr>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#3</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Germany</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€143.98M</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18.33%</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Home Market</w:t>
            </w:r>
          </w:p>
        </w:tc>
      </w:tr>
      <w:tr>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#4</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UK</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€80.69M</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10.27%</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Stable</w:t>
            </w:r>
          </w:p>
        </w:tc>
      </w:tr>
      <w:tr>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#5</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UAE</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€60.12M</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7.65%</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Premium Market</w:t>
            </w:r>
          </w:p>
        </w:tc>
      </w:tr>
      <w:tr>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#6</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South Africa</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€52.50M</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6.68%</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Emerging</w:t>
            </w:r>
          </w:p>
        </w:tc>
      </w:tr>
      <w:tr>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#7</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Australia</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€51.18M</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6.51%</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Stable</w:t>
            </w:r>
          </w:p>
        </w:tc>
      </w:tr>
      <w:tr>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#8</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India</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€47.25M</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6.01%</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High Potential</w:t>
            </w:r>
          </w:p>
        </w:tc>
      </w:tr>
    </w:tbl>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C9A22A" w:sz="16"/>
              <w:bottom w:val="single" w:color="CCCCCC" w:sz="4"/>
              <w:right w:val="single" w:color="CCCCCC" w:sz="4"/>
            </w:tcBorders>
            <w:shd w:fill="BDD7EE" w:val="clear"/>
            <w:tcMar>
              <w:top w:type="dxa" w:w="100"/>
              <w:left w:type="dxa" w:w="180"/>
              <w:bottom w:type="dxa" w:w="100"/>
              <w:right w:type="dxa" w:w="180"/>
            </w:tcMar>
          </w:tcPr>
          <w:p>
            <w:r>
              <w:rPr>
                <w:rFonts w:ascii="Arial" w:cs="Arial" w:eastAsia="Arial" w:hAnsi="Arial"/>
                <w:b/>
                <w:bCs/>
                <w:color w:val="0D2B4E"/>
                <w:sz w:val="20"/>
                <w:szCs w:val="20"/>
              </w:rPr>
              <w:t xml:space="preserve">Regional Insight — USA Dominates, India Has Highest Potential</w:t>
            </w:r>
          </w:p>
          <w:p>
            <w:pPr>
              <w:spacing w:before="60"/>
              <w:jc w:val="both"/>
            </w:pPr>
            <w:r>
              <w:rPr>
                <w:rFonts w:ascii="Arial" w:cs="Arial" w:eastAsia="Arial" w:hAnsi="Arial"/>
                <w:color w:val="000000"/>
                <w:sz w:val="19"/>
                <w:szCs w:val="19"/>
              </w:rPr>
              <w:t xml:space="preserve">USA is BMW's single largest market contributing nearly 25% of global revenue, driven by strong X5 and X3 sales. China is the second largest market and fastest growing premium car market globally. India, while currently the smallest market at €47.25M, represents the highest growth potential given its rapidly expanding premium consumer base and BMW's increasing dealer network expansion.</w:t>
            </w:r>
          </w:p>
        </w:tc>
      </w:tr>
    </w:tbl>
    <w:p>
      <w:pPr>
        <w:spacing w:before="60"/>
      </w:pPr>
      <w:r>
        <w:rPr>
          <w:sz w:val="20"/>
          <w:szCs w:val="20"/>
        </w:rPr>
        <w:t xml:space="preserve"/>
      </w:r>
    </w:p>
    <w:p>
      <w:pPr>
        <w:pStyle w:val="Heading2"/>
        <w:pBdr>
          <w:bottom w:val="single" w:color="BDD7EE" w:sz="4"/>
        </w:pBdr>
        <w:spacing w:after="120" w:before="300"/>
      </w:pPr>
      <w:r>
        <w:rPr>
          <w:rFonts w:ascii="Arial" w:cs="Arial" w:eastAsia="Arial" w:hAnsi="Arial"/>
          <w:b/>
          <w:bCs/>
          <w:color w:val="0D2B4E"/>
          <w:sz w:val="26"/>
          <w:szCs w:val="26"/>
        </w:rPr>
        <w:t xml:space="preserve">3.3  Revenue by Fuel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Fuel Type</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Revenue (EUR)</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Revenue Share</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Insight</w:t>
            </w:r>
          </w:p>
        </w:tc>
      </w:tr>
      <w:tr>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Hybrid</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€220.60M</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28.08%</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Highest revenue segment</w:t>
            </w:r>
          </w:p>
        </w:tc>
      </w:tr>
      <w:tr>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Electric</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€195.17M</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24.84%</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Strong EV adoption</w:t>
            </w:r>
          </w:p>
        </w:tc>
      </w:tr>
      <w:tr>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Petrol</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€189.74M</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24.15%</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ICE still relevant</w:t>
            </w:r>
          </w:p>
        </w:tc>
      </w:tr>
      <w:tr>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Diesel</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€180.06M</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22.92%</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Declining share expected</w:t>
            </w:r>
          </w:p>
        </w:tc>
      </w:tr>
    </w:tbl>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C9A22A" w:sz="16"/>
              <w:bottom w:val="single" w:color="CCCCCC" w:sz="4"/>
              <w:right w:val="single" w:color="CCCCCC" w:sz="4"/>
            </w:tcBorders>
            <w:shd w:fill="E2EFDA" w:val="clear"/>
            <w:tcMar>
              <w:top w:type="dxa" w:w="100"/>
              <w:left w:type="dxa" w:w="180"/>
              <w:bottom w:type="dxa" w:w="100"/>
              <w:right w:type="dxa" w:w="180"/>
            </w:tcMar>
          </w:tcPr>
          <w:p>
            <w:r>
              <w:rPr>
                <w:rFonts w:ascii="Arial" w:cs="Arial" w:eastAsia="Arial" w:hAnsi="Arial"/>
                <w:b/>
                <w:bCs/>
                <w:color w:val="1E6B3C"/>
                <w:sz w:val="20"/>
                <w:szCs w:val="20"/>
              </w:rPr>
              <w:t xml:space="preserve">Fuel Type Insight — EV + Hybrid = 52.92% of Revenue</w:t>
            </w:r>
          </w:p>
          <w:p>
            <w:pPr>
              <w:spacing w:before="60"/>
              <w:jc w:val="both"/>
            </w:pPr>
            <w:r>
              <w:rPr>
                <w:rFonts w:ascii="Arial" w:cs="Arial" w:eastAsia="Arial" w:hAnsi="Arial"/>
                <w:color w:val="000000"/>
                <w:sz w:val="19"/>
                <w:szCs w:val="19"/>
              </w:rPr>
              <w:t xml:space="preserve">A landmark finding: combined Electric and Hybrid vehicles now account for over 52% of BMW's total revenue — surpassing traditional ICE (Internal Combustion Engine) vehicles for the first time. This signals a fundamental shift in BMW's business model towards electrification. The BMW iX (€82.57M) and BMW i4/i7 together represent a significant EV portfolio that is clearly gaining market acceptance.</w:t>
            </w:r>
          </w:p>
        </w:tc>
      </w:tr>
    </w:tbl>
    <w:p>
      <w:pPr>
        <w:spacing w:before="60"/>
      </w:pPr>
      <w:r>
        <w:rPr>
          <w:sz w:val="20"/>
          <w:szCs w:val="20"/>
        </w:rPr>
        <w:t xml:space="preserve"/>
      </w:r>
    </w:p>
    <w:p>
      <w:r>
        <w:br w:type="page"/>
      </w:r>
    </w:p>
    <w:p>
      <w:pPr>
        <w:pStyle w:val="Heading1"/>
        <w:pBdr>
          <w:bottom w:val="single" w:color="C9A22A" w:sz="8"/>
        </w:pBdr>
        <w:shd w:fill="0D2B4E" w:val="clear"/>
        <w:spacing w:after="200" w:before="360"/>
        <w:ind w:left="200" w:right="200"/>
      </w:pPr>
      <w:r>
        <w:rPr>
          <w:rFonts w:ascii="Arial" w:cs="Arial" w:eastAsia="Arial" w:hAnsi="Arial"/>
          <w:b/>
          <w:bCs/>
          <w:color w:val="FFFFFF"/>
          <w:sz w:val="32"/>
          <w:szCs w:val="32"/>
        </w:rPr>
        <w:t xml:space="preserve">04  |  MODEL PORTFOLIO ANALYSIS</w:t>
      </w:r>
    </w:p>
    <w:p>
      <w:pPr>
        <w:spacing w:before="60"/>
      </w:pPr>
      <w:r>
        <w:rPr>
          <w:sz w:val="20"/>
          <w:szCs w:val="20"/>
        </w:rPr>
        <w:t xml:space="preserve"/>
      </w:r>
    </w:p>
    <w:p>
      <w:pPr>
        <w:pStyle w:val="Heading2"/>
        <w:pBdr>
          <w:bottom w:val="single" w:color="BDD7EE" w:sz="4"/>
        </w:pBdr>
        <w:spacing w:after="120" w:before="300"/>
      </w:pPr>
      <w:r>
        <w:rPr>
          <w:rFonts w:ascii="Arial" w:cs="Arial" w:eastAsia="Arial" w:hAnsi="Arial"/>
          <w:b/>
          <w:bCs/>
          <w:color w:val="0D2B4E"/>
          <w:sz w:val="26"/>
          <w:szCs w:val="26"/>
        </w:rPr>
        <w:t xml:space="preserve">4.1  Revenue by Model — Full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Rank</w:t>
            </w:r>
          </w:p>
        </w:tc>
        <w:tc>
          <w:tcPr>
            <w:tcW w:type="dxa" w:w="1872"/>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1872"/>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Revenue (EUR)</w:t>
            </w:r>
          </w:p>
        </w:tc>
        <w:tc>
          <w:tcPr>
            <w:tcW w:type="dxa" w:w="1872"/>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Segment</w:t>
            </w:r>
          </w:p>
        </w:tc>
        <w:tc>
          <w:tcPr>
            <w:tcW w:type="dxa" w:w="1872"/>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Profit Margin</w:t>
            </w:r>
          </w:p>
        </w:tc>
      </w:tr>
      <w:tr>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#1</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BMW X5</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€109.36M</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SUV</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25.12%</w:t>
            </w:r>
          </w:p>
        </w:tc>
      </w:tr>
      <w:tr>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#2</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BMW X3</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€102.23M</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SUV</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25.01%</w:t>
            </w:r>
          </w:p>
        </w:tc>
      </w:tr>
      <w:tr>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#3</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BMW 5 Series</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€88.58M</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Sedan</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25.10%</w:t>
            </w:r>
          </w:p>
        </w:tc>
      </w:tr>
      <w:tr>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#4</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BMW iX</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€82.57M</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Electric SUV</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24.71%</w:t>
            </w:r>
          </w:p>
        </w:tc>
      </w:tr>
      <w:tr>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#5</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BMW 3 Series</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€68.27M</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Sedan</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25.11%</w:t>
            </w:r>
          </w:p>
        </w:tc>
      </w:tr>
      <w:tr>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#6</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BMW i4</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€59.45M</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Electric Sedan</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25.06%</w:t>
            </w:r>
          </w:p>
        </w:tc>
      </w:tr>
      <w:tr>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#7</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BMW i7</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€58.23M</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Electric Sedan</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24.68%</w:t>
            </w:r>
          </w:p>
        </w:tc>
      </w:tr>
      <w:tr>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#8</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BMW X7</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€47.85M</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SUV</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25.08%</w:t>
            </w:r>
          </w:p>
        </w:tc>
      </w:tr>
      <w:tr>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#9</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BMW M5</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€44.40M</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M Sport</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25.11%</w:t>
            </w:r>
          </w:p>
        </w:tc>
      </w:tr>
      <w:tr>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#10</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BMW 7 Series</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€44.13M</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Executive</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24.77%</w:t>
            </w:r>
          </w:p>
        </w:tc>
      </w:tr>
      <w:tr>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#11</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BMW M3</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€42.17M</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M Sport</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25.22%</w:t>
            </w:r>
          </w:p>
        </w:tc>
      </w:tr>
      <w:tr>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#12</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BMW 2 Series</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€38.33M</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Coupe</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24.98%</w:t>
            </w:r>
          </w:p>
        </w:tc>
      </w:tr>
    </w:tbl>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C9A22A" w:sz="16"/>
              <w:bottom w:val="single" w:color="CCCCCC" w:sz="4"/>
              <w:right w:val="single" w:color="CCCCCC" w:sz="4"/>
            </w:tcBorders>
            <w:shd w:fill="BDD7EE" w:val="clear"/>
            <w:tcMar>
              <w:top w:type="dxa" w:w="100"/>
              <w:left w:type="dxa" w:w="180"/>
              <w:bottom w:type="dxa" w:w="100"/>
              <w:right w:type="dxa" w:w="180"/>
            </w:tcMar>
          </w:tcPr>
          <w:p>
            <w:r>
              <w:rPr>
                <w:rFonts w:ascii="Arial" w:cs="Arial" w:eastAsia="Arial" w:hAnsi="Arial"/>
                <w:b/>
                <w:bCs/>
                <w:color w:val="0D2B4E"/>
                <w:sz w:val="20"/>
                <w:szCs w:val="20"/>
              </w:rPr>
              <w:t xml:space="preserve">Model Insight — SUVs Lead, M Sport Commands Premium Margins</w:t>
            </w:r>
          </w:p>
          <w:p>
            <w:pPr>
              <w:spacing w:before="60"/>
              <w:jc w:val="both"/>
            </w:pPr>
            <w:r>
              <w:rPr>
                <w:rFonts w:ascii="Arial" w:cs="Arial" w:eastAsia="Arial" w:hAnsi="Arial"/>
                <w:color w:val="000000"/>
                <w:sz w:val="19"/>
                <w:szCs w:val="19"/>
              </w:rPr>
              <w:t xml:space="preserve">BMW X5 and X3 together account for €211.59M (26.93% of total revenue) — confirming SUVs as BMW's core revenue engine. Interestingly, M Sport models (M3 and M5) have the highest profit margins at 25.11-25.22% despite lower unit volumes, demonstrating the premium pricing power of the M badge. The BMW iX entering at #4 with €82.57M validates BMW's EV transition strategy.</w:t>
            </w:r>
          </w:p>
        </w:tc>
      </w:tr>
    </w:tbl>
    <w:p>
      <w:pPr>
        <w:spacing w:before="60"/>
      </w:pPr>
      <w:r>
        <w:rPr>
          <w:sz w:val="20"/>
          <w:szCs w:val="20"/>
        </w:rPr>
        <w:t xml:space="preserve"/>
      </w:r>
    </w:p>
    <w:p>
      <w:pPr>
        <w:pStyle w:val="Heading2"/>
        <w:pBdr>
          <w:bottom w:val="single" w:color="BDD7EE" w:sz="4"/>
        </w:pBdr>
        <w:spacing w:after="120" w:before="300"/>
      </w:pPr>
      <w:r>
        <w:rPr>
          <w:rFonts w:ascii="Arial" w:cs="Arial" w:eastAsia="Arial" w:hAnsi="Arial"/>
          <w:b/>
          <w:bCs/>
          <w:color w:val="0D2B4E"/>
          <w:sz w:val="26"/>
          <w:szCs w:val="26"/>
        </w:rPr>
        <w:t xml:space="preserve">4.2  Revenue by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Segment</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Revenue (EUR)</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Share</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Models Included</w:t>
            </w:r>
          </w:p>
        </w:tc>
      </w:tr>
      <w:tr>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SUV</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€259.44M</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33.02%</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X3, X5, X7</w:t>
            </w:r>
          </w:p>
        </w:tc>
      </w:tr>
      <w:tr>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Sedan</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€200.99M</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25.58%</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3 Series, 5 Series, 7 Series</w:t>
            </w:r>
          </w:p>
        </w:tc>
      </w:tr>
      <w:tr>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Electric</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€200.25M</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25.49%</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i4, i7, iX</w:t>
            </w:r>
          </w:p>
        </w:tc>
      </w:tr>
      <w:tr>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 Sport</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€86.57M</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11.02%</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M3, M5</w:t>
            </w:r>
          </w:p>
        </w:tc>
      </w:tr>
      <w:tr>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Coupe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€38.33M</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4.88%</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 Series</w:t>
            </w:r>
          </w:p>
        </w:tc>
      </w:tr>
    </w:tbl>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C9A22A" w:sz="16"/>
              <w:bottom w:val="single" w:color="CCCCCC" w:sz="4"/>
              <w:right w:val="single" w:color="CCCCCC" w:sz="4"/>
            </w:tcBorders>
            <w:shd w:fill="FFF2CC" w:val="clear"/>
            <w:tcMar>
              <w:top w:type="dxa" w:w="100"/>
              <w:left w:type="dxa" w:w="180"/>
              <w:bottom w:type="dxa" w:w="100"/>
              <w:right w:type="dxa" w:w="180"/>
            </w:tcMar>
          </w:tcPr>
          <w:p>
            <w:r>
              <w:rPr>
                <w:rFonts w:ascii="Arial" w:cs="Arial" w:eastAsia="Arial" w:hAnsi="Arial"/>
                <w:b/>
                <w:bCs/>
                <w:color w:val="0D2B4E"/>
                <w:sz w:val="20"/>
                <w:szCs w:val="20"/>
              </w:rPr>
              <w:t xml:space="preserve">Segment Insight — Electric Segment Nearly Matches Sedan</w:t>
            </w:r>
          </w:p>
          <w:p>
            <w:pPr>
              <w:spacing w:before="60"/>
              <w:jc w:val="both"/>
            </w:pPr>
            <w:r>
              <w:rPr>
                <w:rFonts w:ascii="Arial" w:cs="Arial" w:eastAsia="Arial" w:hAnsi="Arial"/>
                <w:color w:val="000000"/>
                <w:sz w:val="19"/>
                <w:szCs w:val="19"/>
              </w:rPr>
              <w:t xml:space="preserve">The Electric segment at €200.25M is virtually neck-and-neck with the Sedan segment at €200.99M — a remarkable achievement given EVs are a relatively new addition to BMW's lineup. At current growth rates, Electric is projected to surpass Sedan as BMW's #2 revenue segment by 2026. M Sport, while the smallest volume segment, commands the highest per-unit prices.</w:t>
            </w:r>
          </w:p>
        </w:tc>
      </w:tr>
    </w:tbl>
    <w:p>
      <w:pPr>
        <w:spacing w:before="60"/>
      </w:pPr>
      <w:r>
        <w:rPr>
          <w:sz w:val="20"/>
          <w:szCs w:val="20"/>
        </w:rPr>
        <w:t xml:space="preserve"/>
      </w:r>
    </w:p>
    <w:p>
      <w:r>
        <w:br w:type="page"/>
      </w:r>
    </w:p>
    <w:p>
      <w:pPr>
        <w:pStyle w:val="Heading1"/>
        <w:pBdr>
          <w:bottom w:val="single" w:color="C9A22A" w:sz="8"/>
        </w:pBdr>
        <w:shd w:fill="0D2B4E" w:val="clear"/>
        <w:spacing w:after="200" w:before="360"/>
        <w:ind w:left="200" w:right="200"/>
      </w:pPr>
      <w:r>
        <w:rPr>
          <w:rFonts w:ascii="Arial" w:cs="Arial" w:eastAsia="Arial" w:hAnsi="Arial"/>
          <w:b/>
          <w:bCs/>
          <w:color w:val="FFFFFF"/>
          <w:sz w:val="32"/>
          <w:szCs w:val="32"/>
        </w:rPr>
        <w:t xml:space="preserve">05  |  CUSTOMER ANALYSIS</w:t>
      </w:r>
    </w:p>
    <w:p>
      <w:pPr>
        <w:spacing w:before="60"/>
      </w:pPr>
      <w:r>
        <w:rPr>
          <w:sz w:val="20"/>
          <w:szCs w:val="20"/>
        </w:rPr>
        <w:t xml:space="preserve"/>
      </w:r>
    </w:p>
    <w:p>
      <w:pPr>
        <w:pStyle w:val="Heading2"/>
        <w:pBdr>
          <w:bottom w:val="single" w:color="BDD7EE" w:sz="4"/>
        </w:pBdr>
        <w:spacing w:after="120" w:before="300"/>
      </w:pPr>
      <w:r>
        <w:rPr>
          <w:rFonts w:ascii="Arial" w:cs="Arial" w:eastAsia="Arial" w:hAnsi="Arial"/>
          <w:b/>
          <w:bCs/>
          <w:color w:val="0D2B4E"/>
          <w:sz w:val="26"/>
          <w:szCs w:val="26"/>
        </w:rPr>
        <w:t xml:space="preserve">5.1  Customer Segment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Customer Segment</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Revenue (EUR)</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Share</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Satisfaction</w:t>
            </w:r>
          </w:p>
        </w:tc>
      </w:tr>
      <w:tr>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Corporate Fleet</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€348.57M</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44.37%</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4.08</w:t>
            </w:r>
          </w:p>
        </w:tc>
      </w:tr>
      <w:tr>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Lease</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€199.65M</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25.42%</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4.08</w:t>
            </w:r>
          </w:p>
        </w:tc>
      </w:tr>
      <w:tr>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Individual</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€169.62M</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21.59%</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4.08</w:t>
            </w:r>
          </w:p>
        </w:tc>
      </w:tr>
      <w:tr>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Government</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€67.07M</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8.54%</w:t>
            </w:r>
          </w:p>
        </w:tc>
        <w:tc>
          <w:tcPr>
            <w:tcW w:type="dxa" w:w="23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4.08</w:t>
            </w:r>
          </w:p>
        </w:tc>
      </w:tr>
    </w:tbl>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C9A22A" w:sz="16"/>
              <w:bottom w:val="single" w:color="CCCCCC" w:sz="4"/>
              <w:right w:val="single" w:color="CCCCCC" w:sz="4"/>
            </w:tcBorders>
            <w:shd w:fill="BDD7EE" w:val="clear"/>
            <w:tcMar>
              <w:top w:type="dxa" w:w="100"/>
              <w:left w:type="dxa" w:w="180"/>
              <w:bottom w:type="dxa" w:w="100"/>
              <w:right w:type="dxa" w:w="180"/>
            </w:tcMar>
          </w:tcPr>
          <w:p>
            <w:r>
              <w:rPr>
                <w:rFonts w:ascii="Arial" w:cs="Arial" w:eastAsia="Arial" w:hAnsi="Arial"/>
                <w:b/>
                <w:bCs/>
                <w:color w:val="0D2B4E"/>
                <w:sz w:val="20"/>
                <w:szCs w:val="20"/>
              </w:rPr>
              <w:t xml:space="preserve">Customer Insight — B2B Dominates BMW Sales</w:t>
            </w:r>
          </w:p>
          <w:p>
            <w:pPr>
              <w:spacing w:before="60"/>
              <w:jc w:val="both"/>
            </w:pPr>
            <w:r>
              <w:rPr>
                <w:rFonts w:ascii="Arial" w:cs="Arial" w:eastAsia="Arial" w:hAnsi="Arial"/>
                <w:color w:val="000000"/>
                <w:sz w:val="19"/>
                <w:szCs w:val="19"/>
              </w:rPr>
              <w:t xml:space="preserve">Corporate Fleet customers account for 44.37% of total revenue — nearly half of BMW's entire business. This means BMW's primary customer is not the individual car buyer but corporate procurement officers and fleet managers. This has significant implications: B2B sales cycles are longer but more predictable, require volume discounts, and demand after-sales service contracts. BMW's individual customer segment at 21.59% represents the largest growth opportunity through targeted retail marketing.</w:t>
            </w:r>
          </w:p>
        </w:tc>
      </w:tr>
    </w:tbl>
    <w:p>
      <w:pPr>
        <w:spacing w:before="60"/>
      </w:pPr>
      <w:r>
        <w:rPr>
          <w:sz w:val="20"/>
          <w:szCs w:val="20"/>
        </w:rPr>
        <w:t xml:space="preserve"/>
      </w:r>
    </w:p>
    <w:p>
      <w:r>
        <w:br w:type="page"/>
      </w:r>
    </w:p>
    <w:p>
      <w:pPr>
        <w:pStyle w:val="Heading1"/>
        <w:pBdr>
          <w:bottom w:val="single" w:color="C9A22A" w:sz="8"/>
        </w:pBdr>
        <w:shd w:fill="0D2B4E" w:val="clear"/>
        <w:spacing w:after="200" w:before="360"/>
        <w:ind w:left="200" w:right="200"/>
      </w:pPr>
      <w:r>
        <w:rPr>
          <w:rFonts w:ascii="Arial" w:cs="Arial" w:eastAsia="Arial" w:hAnsi="Arial"/>
          <w:b/>
          <w:bCs/>
          <w:color w:val="FFFFFF"/>
          <w:sz w:val="32"/>
          <w:szCs w:val="32"/>
        </w:rPr>
        <w:t xml:space="preserve">06  |  PHASE-WISE WORK SUMMARY</w:t>
      </w:r>
    </w:p>
    <w:p>
      <w:pPr>
        <w:spacing w:before="60"/>
      </w:pPr>
      <w:r>
        <w:rPr>
          <w:sz w:val="20"/>
          <w:szCs w:val="20"/>
        </w:rPr>
        <w:t xml:space="preserve"/>
      </w:r>
    </w:p>
    <w:p>
      <w:pPr>
        <w:pStyle w:val="Heading2"/>
        <w:pBdr>
          <w:bottom w:val="single" w:color="BDD7EE" w:sz="4"/>
        </w:pBdr>
        <w:spacing w:after="120" w:before="300"/>
      </w:pPr>
      <w:r>
        <w:rPr>
          <w:rFonts w:ascii="Arial" w:cs="Arial" w:eastAsia="Arial" w:hAnsi="Arial"/>
          <w:b/>
          <w:bCs/>
          <w:color w:val="0D2B4E"/>
          <w:sz w:val="26"/>
          <w:szCs w:val="26"/>
        </w:rPr>
        <w:t xml:space="preserve">Phase 1 — Data Cleaning (Excel)</w:t>
      </w:r>
    </w:p>
    <w:p>
      <w:pPr>
        <w:pStyle w:val="ListParagraph"/>
        <w:numPr>
          <w:ilvl w:val="0"/>
          <w:numId w:val="2"/>
        </w:numPr>
        <w:spacing w:after="40" w:before="40"/>
      </w:pPr>
      <w:r>
        <w:rPr>
          <w:rFonts w:ascii="Arial" w:cs="Arial" w:eastAsia="Arial" w:hAnsi="Arial"/>
          <w:b w:val="false"/>
          <w:bCs w:val="false"/>
          <w:color w:val="000000"/>
          <w:sz w:val="20"/>
          <w:szCs w:val="20"/>
        </w:rPr>
        <w:t xml:space="preserve">Processed 4,569 raw records across 29 columns</w:t>
      </w:r>
    </w:p>
    <w:p>
      <w:pPr>
        <w:pStyle w:val="ListParagraph"/>
        <w:numPr>
          <w:ilvl w:val="0"/>
          <w:numId w:val="2"/>
        </w:numPr>
        <w:spacing w:after="40" w:before="40"/>
      </w:pPr>
      <w:r>
        <w:rPr>
          <w:rFonts w:ascii="Arial" w:cs="Arial" w:eastAsia="Arial" w:hAnsi="Arial"/>
          <w:b w:val="false"/>
          <w:bCs w:val="false"/>
          <w:color w:val="000000"/>
          <w:sz w:val="20"/>
          <w:szCs w:val="20"/>
        </w:rPr>
        <w:t xml:space="preserve">Identified and flagged 47 data quality issues including duplicate Sale IDs, missing fuel types, bad date formats</w:t>
      </w:r>
    </w:p>
    <w:p>
      <w:pPr>
        <w:pStyle w:val="ListParagraph"/>
        <w:numPr>
          <w:ilvl w:val="0"/>
          <w:numId w:val="2"/>
        </w:numPr>
        <w:spacing w:after="40" w:before="40"/>
      </w:pPr>
      <w:r>
        <w:rPr>
          <w:rFonts w:ascii="Arial" w:cs="Arial" w:eastAsia="Arial" w:hAnsi="Arial"/>
          <w:b w:val="false"/>
          <w:bCs w:val="false"/>
          <w:color w:val="000000"/>
          <w:sz w:val="20"/>
          <w:szCs w:val="20"/>
        </w:rPr>
        <w:t xml:space="preserve">Standardized region names (e.g., 'south africa' → 'South Africa') and model names</w:t>
      </w:r>
    </w:p>
    <w:p>
      <w:pPr>
        <w:pStyle w:val="ListParagraph"/>
        <w:numPr>
          <w:ilvl w:val="0"/>
          <w:numId w:val="2"/>
        </w:numPr>
        <w:spacing w:after="40" w:before="40"/>
      </w:pPr>
      <w:r>
        <w:rPr>
          <w:rFonts w:ascii="Arial" w:cs="Arial" w:eastAsia="Arial" w:hAnsi="Arial"/>
          <w:b w:val="false"/>
          <w:bCs w:val="false"/>
          <w:color w:val="000000"/>
          <w:sz w:val="20"/>
          <w:szCs w:val="20"/>
        </w:rPr>
        <w:t xml:space="preserve">Created flag columns: Sale_Date_Flag, Total_Revenue_Local_Flag, Customer_Age_Flag, Satisfactory_Score_Flag</w:t>
      </w:r>
    </w:p>
    <w:p>
      <w:pPr>
        <w:pStyle w:val="ListParagraph"/>
        <w:numPr>
          <w:ilvl w:val="0"/>
          <w:numId w:val="2"/>
        </w:numPr>
        <w:spacing w:after="40" w:before="40"/>
      </w:pPr>
      <w:r>
        <w:rPr>
          <w:rFonts w:ascii="Arial" w:cs="Arial" w:eastAsia="Arial" w:hAnsi="Arial"/>
          <w:b w:val="false"/>
          <w:bCs w:val="false"/>
          <w:color w:val="000000"/>
          <w:sz w:val="20"/>
          <w:szCs w:val="20"/>
        </w:rPr>
        <w:t xml:space="preserve">Documented all issues — complex fixes deferred to Python Phase 3</w:t>
      </w:r>
    </w:p>
    <w:p>
      <w:pPr>
        <w:pStyle w:val="ListParagraph"/>
        <w:numPr>
          <w:ilvl w:val="0"/>
          <w:numId w:val="2"/>
        </w:numPr>
        <w:spacing w:after="40" w:before="40"/>
      </w:pPr>
      <w:r>
        <w:rPr>
          <w:rFonts w:ascii="Arial" w:cs="Arial" w:eastAsia="Arial" w:hAnsi="Arial"/>
          <w:b w:val="false"/>
          <w:bCs w:val="false"/>
          <w:color w:val="000000"/>
          <w:sz w:val="20"/>
          <w:szCs w:val="20"/>
        </w:rPr>
        <w:t xml:space="preserve">Output: BMW_Sales_Cleaned_v1.csv (4,569 rows, 29 columns)</w:t>
      </w:r>
    </w:p>
    <w:p>
      <w:pPr>
        <w:spacing w:before="60"/>
      </w:pPr>
      <w:r>
        <w:rPr>
          <w:sz w:val="20"/>
          <w:szCs w:val="20"/>
        </w:rPr>
        <w:t xml:space="preserve"/>
      </w:r>
    </w:p>
    <w:p>
      <w:pPr>
        <w:pStyle w:val="Heading2"/>
        <w:pBdr>
          <w:bottom w:val="single" w:color="BDD7EE" w:sz="4"/>
        </w:pBdr>
        <w:spacing w:after="120" w:before="300"/>
      </w:pPr>
      <w:r>
        <w:rPr>
          <w:rFonts w:ascii="Arial" w:cs="Arial" w:eastAsia="Arial" w:hAnsi="Arial"/>
          <w:b/>
          <w:bCs/>
          <w:color w:val="0D2B4E"/>
          <w:sz w:val="26"/>
          <w:szCs w:val="26"/>
        </w:rPr>
        <w:t xml:space="preserve">Phase 2 — SQL Analysis (MySQL + Python)</w:t>
      </w:r>
    </w:p>
    <w:p>
      <w:pPr>
        <w:pStyle w:val="ListParagraph"/>
        <w:numPr>
          <w:ilvl w:val="0"/>
          <w:numId w:val="2"/>
        </w:numPr>
        <w:spacing w:after="40" w:before="40"/>
      </w:pPr>
      <w:r>
        <w:rPr>
          <w:rFonts w:ascii="Arial" w:cs="Arial" w:eastAsia="Arial" w:hAnsi="Arial"/>
          <w:b w:val="false"/>
          <w:bCs w:val="false"/>
          <w:color w:val="000000"/>
          <w:sz w:val="20"/>
          <w:szCs w:val="20"/>
        </w:rPr>
        <w:t xml:space="preserve">MySQL Workbench import failed — resolved using Python SQLAlchemy + PyMySQL via to_sql()</w:t>
      </w:r>
    </w:p>
    <w:p>
      <w:pPr>
        <w:pStyle w:val="ListParagraph"/>
        <w:numPr>
          <w:ilvl w:val="0"/>
          <w:numId w:val="2"/>
        </w:numPr>
        <w:spacing w:after="40" w:before="40"/>
      </w:pPr>
      <w:r>
        <w:rPr>
          <w:rFonts w:ascii="Arial" w:cs="Arial" w:eastAsia="Arial" w:hAnsi="Arial"/>
          <w:b w:val="false"/>
          <w:bCs w:val="false"/>
          <w:color w:val="000000"/>
          <w:sz w:val="20"/>
          <w:szCs w:val="20"/>
        </w:rPr>
        <w:t xml:space="preserve">Loaded 4,569 rows successfully into bmw_sales database</w:t>
      </w:r>
    </w:p>
    <w:p>
      <w:pPr>
        <w:pStyle w:val="ListParagraph"/>
        <w:numPr>
          <w:ilvl w:val="0"/>
          <w:numId w:val="2"/>
        </w:numPr>
        <w:spacing w:after="40" w:before="40"/>
      </w:pPr>
      <w:r>
        <w:rPr>
          <w:rFonts w:ascii="Arial" w:cs="Arial" w:eastAsia="Arial" w:hAnsi="Arial"/>
          <w:b w:val="false"/>
          <w:bCs w:val="false"/>
          <w:color w:val="000000"/>
          <w:sz w:val="20"/>
          <w:szCs w:val="20"/>
        </w:rPr>
        <w:t xml:space="preserve">Executed 8 KPI queries: Revenue by Year, Region, Model, Customer Segment, Gender, Quarter, Fuel Type, Overall Summary</w:t>
      </w:r>
    </w:p>
    <w:p>
      <w:pPr>
        <w:pStyle w:val="ListParagraph"/>
        <w:numPr>
          <w:ilvl w:val="0"/>
          <w:numId w:val="2"/>
        </w:numPr>
        <w:spacing w:after="40" w:before="40"/>
      </w:pPr>
      <w:r>
        <w:rPr>
          <w:rFonts w:ascii="Arial" w:cs="Arial" w:eastAsia="Arial" w:hAnsi="Arial"/>
          <w:b w:val="false"/>
          <w:bCs w:val="false"/>
          <w:color w:val="000000"/>
          <w:sz w:val="20"/>
          <w:szCs w:val="20"/>
        </w:rPr>
        <w:t xml:space="preserve">Generated comprehensive SQL Analysis Report (Word Document)</w:t>
      </w:r>
    </w:p>
    <w:p>
      <w:pPr>
        <w:pStyle w:val="ListParagraph"/>
        <w:numPr>
          <w:ilvl w:val="0"/>
          <w:numId w:val="2"/>
        </w:numPr>
        <w:spacing w:after="40" w:before="40"/>
      </w:pPr>
      <w:r>
        <w:rPr>
          <w:rFonts w:ascii="Arial" w:cs="Arial" w:eastAsia="Arial" w:hAnsi="Arial"/>
          <w:b w:val="false"/>
          <w:bCs w:val="false"/>
          <w:color w:val="000000"/>
          <w:sz w:val="20"/>
          <w:szCs w:val="20"/>
        </w:rPr>
        <w:t xml:space="preserve">Key SQL finding: USA top region at €195.62M, BMW X5 top model, Corporate Fleet top customer segment</w:t>
      </w:r>
    </w:p>
    <w:p>
      <w:pPr>
        <w:spacing w:before="60"/>
      </w:pPr>
      <w:r>
        <w:rPr>
          <w:sz w:val="20"/>
          <w:szCs w:val="20"/>
        </w:rPr>
        <w:t xml:space="preserve"/>
      </w:r>
    </w:p>
    <w:p>
      <w:pPr>
        <w:pStyle w:val="Heading2"/>
        <w:pBdr>
          <w:bottom w:val="single" w:color="BDD7EE" w:sz="4"/>
        </w:pBdr>
        <w:spacing w:after="120" w:before="300"/>
      </w:pPr>
      <w:r>
        <w:rPr>
          <w:rFonts w:ascii="Arial" w:cs="Arial" w:eastAsia="Arial" w:hAnsi="Arial"/>
          <w:b/>
          <w:bCs/>
          <w:color w:val="0D2B4E"/>
          <w:sz w:val="26"/>
          <w:szCs w:val="26"/>
        </w:rPr>
        <w:t xml:space="preserve">Phase 3 — Python EDA (Jupyter Notebook)</w:t>
      </w:r>
    </w:p>
    <w:p>
      <w:pPr>
        <w:pStyle w:val="ListParagraph"/>
        <w:numPr>
          <w:ilvl w:val="0"/>
          <w:numId w:val="2"/>
        </w:numPr>
        <w:spacing w:after="40" w:before="40"/>
      </w:pPr>
      <w:r>
        <w:rPr>
          <w:rFonts w:ascii="Arial" w:cs="Arial" w:eastAsia="Arial" w:hAnsi="Arial"/>
          <w:b w:val="false"/>
          <w:bCs w:val="false"/>
          <w:color w:val="000000"/>
          <w:sz w:val="20"/>
          <w:szCs w:val="20"/>
        </w:rPr>
        <w:t xml:space="preserve">Advanced data cleaning: deduplicated Sale IDs, fixed currency inconsistencies, handled nulls</w:t>
      </w:r>
    </w:p>
    <w:p>
      <w:pPr>
        <w:pStyle w:val="ListParagraph"/>
        <w:numPr>
          <w:ilvl w:val="0"/>
          <w:numId w:val="2"/>
        </w:numPr>
        <w:spacing w:after="40" w:before="40"/>
      </w:pPr>
      <w:r>
        <w:rPr>
          <w:rFonts w:ascii="Arial" w:cs="Arial" w:eastAsia="Arial" w:hAnsi="Arial"/>
          <w:b w:val="false"/>
          <w:bCs w:val="false"/>
          <w:color w:val="000000"/>
          <w:sz w:val="20"/>
          <w:szCs w:val="20"/>
        </w:rPr>
        <w:t xml:space="preserve">Created 13 professional visualizations including animated GIFs and interactive Plotly choropleth map</w:t>
      </w:r>
    </w:p>
    <w:p>
      <w:pPr>
        <w:pStyle w:val="ListParagraph"/>
        <w:numPr>
          <w:ilvl w:val="0"/>
          <w:numId w:val="2"/>
        </w:numPr>
        <w:spacing w:after="40" w:before="40"/>
      </w:pPr>
      <w:r>
        <w:rPr>
          <w:rFonts w:ascii="Arial" w:cs="Arial" w:eastAsia="Arial" w:hAnsi="Arial"/>
          <w:b w:val="false"/>
          <w:bCs w:val="false"/>
          <w:color w:val="000000"/>
          <w:sz w:val="20"/>
          <w:szCs w:val="20"/>
        </w:rPr>
        <w:t xml:space="preserve">K-Means Clustering (K=4): identified 4 distinct customer segments — Budget Buyers, Mid-Range, Premium, Ultra-Premium</w:t>
      </w:r>
    </w:p>
    <w:p>
      <w:pPr>
        <w:pStyle w:val="ListParagraph"/>
        <w:numPr>
          <w:ilvl w:val="0"/>
          <w:numId w:val="2"/>
        </w:numPr>
        <w:spacing w:after="40" w:before="40"/>
      </w:pPr>
      <w:r>
        <w:rPr>
          <w:rFonts w:ascii="Arial" w:cs="Arial" w:eastAsia="Arial" w:hAnsi="Arial"/>
          <w:b w:val="false"/>
          <w:bCs w:val="false"/>
          <w:color w:val="000000"/>
          <w:sz w:val="20"/>
          <w:szCs w:val="20"/>
        </w:rPr>
        <w:t xml:space="preserve">Linear Regression Forecasting: projected 2025 revenue at €210M+ (15% YoY growth continuation)</w:t>
      </w:r>
    </w:p>
    <w:p>
      <w:pPr>
        <w:pStyle w:val="ListParagraph"/>
        <w:numPr>
          <w:ilvl w:val="0"/>
          <w:numId w:val="2"/>
        </w:numPr>
        <w:spacing w:after="40" w:before="40"/>
      </w:pPr>
      <w:r>
        <w:rPr>
          <w:rFonts w:ascii="Arial" w:cs="Arial" w:eastAsia="Arial" w:hAnsi="Arial"/>
          <w:b w:val="false"/>
          <w:bCs w:val="false"/>
          <w:color w:val="000000"/>
          <w:sz w:val="20"/>
          <w:szCs w:val="20"/>
        </w:rPr>
        <w:t xml:space="preserve">Output: BMW_Sales_Phase4_Ready.csv (4,522 clean rows, 32 columns with engineered features)</w:t>
      </w:r>
    </w:p>
    <w:p>
      <w:pPr>
        <w:spacing w:before="60"/>
      </w:pPr>
      <w:r>
        <w:rPr>
          <w:sz w:val="20"/>
          <w:szCs w:val="20"/>
        </w:rPr>
        <w:t xml:space="preserve"/>
      </w:r>
    </w:p>
    <w:p>
      <w:pPr>
        <w:pStyle w:val="Heading2"/>
        <w:pBdr>
          <w:bottom w:val="single" w:color="BDD7EE" w:sz="4"/>
        </w:pBdr>
        <w:spacing w:after="120" w:before="300"/>
      </w:pPr>
      <w:r>
        <w:rPr>
          <w:rFonts w:ascii="Arial" w:cs="Arial" w:eastAsia="Arial" w:hAnsi="Arial"/>
          <w:b/>
          <w:bCs/>
          <w:color w:val="0D2B4E"/>
          <w:sz w:val="26"/>
          <w:szCs w:val="26"/>
        </w:rPr>
        <w:t xml:space="preserve">Phase 4 — Power BI Dashboard</w:t>
      </w:r>
    </w:p>
    <w:p>
      <w:pPr>
        <w:pStyle w:val="ListParagraph"/>
        <w:numPr>
          <w:ilvl w:val="0"/>
          <w:numId w:val="2"/>
        </w:numPr>
        <w:spacing w:after="40" w:before="40"/>
      </w:pPr>
      <w:r>
        <w:rPr>
          <w:rFonts w:ascii="Arial" w:cs="Arial" w:eastAsia="Arial" w:hAnsi="Arial"/>
          <w:b w:val="false"/>
          <w:bCs w:val="false"/>
          <w:color w:val="000000"/>
          <w:sz w:val="20"/>
          <w:szCs w:val="20"/>
        </w:rPr>
        <w:t xml:space="preserve">Built 4-page interactive dashboard with BMW M5 Competition Black theme (#0A0A0A background)</w:t>
      </w:r>
    </w:p>
    <w:p>
      <w:pPr>
        <w:pStyle w:val="ListParagraph"/>
        <w:numPr>
          <w:ilvl w:val="0"/>
          <w:numId w:val="2"/>
        </w:numPr>
        <w:spacing w:after="40" w:before="40"/>
      </w:pPr>
      <w:r>
        <w:rPr>
          <w:rFonts w:ascii="Arial" w:cs="Arial" w:eastAsia="Arial" w:hAnsi="Arial"/>
          <w:b w:val="false"/>
          <w:bCs w:val="false"/>
          <w:color w:val="000000"/>
          <w:sz w:val="20"/>
          <w:szCs w:val="20"/>
        </w:rPr>
        <w:t xml:space="preserve">Page 1 — Executive Overview: 6 KPIs, Revenue Trend, Revenue by Region, Top 5 Models Donut, Year/Region slicers</w:t>
      </w:r>
    </w:p>
    <w:p>
      <w:pPr>
        <w:pStyle w:val="ListParagraph"/>
        <w:numPr>
          <w:ilvl w:val="0"/>
          <w:numId w:val="2"/>
        </w:numPr>
        <w:spacing w:after="40" w:before="40"/>
      </w:pPr>
      <w:r>
        <w:rPr>
          <w:rFonts w:ascii="Arial" w:cs="Arial" w:eastAsia="Arial" w:hAnsi="Arial"/>
          <w:b w:val="false"/>
          <w:bCs w:val="false"/>
          <w:color w:val="000000"/>
          <w:sz w:val="20"/>
          <w:szCs w:val="20"/>
        </w:rPr>
        <w:t xml:space="preserve">Page 2 — Revenue Analysis: Revenue vs Profit chart, Quarterly matrix, YoY Growth line, Fuel Type donut</w:t>
      </w:r>
    </w:p>
    <w:p>
      <w:pPr>
        <w:pStyle w:val="ListParagraph"/>
        <w:numPr>
          <w:ilvl w:val="0"/>
          <w:numId w:val="2"/>
        </w:numPr>
        <w:spacing w:after="40" w:before="40"/>
      </w:pPr>
      <w:r>
        <w:rPr>
          <w:rFonts w:ascii="Arial" w:cs="Arial" w:eastAsia="Arial" w:hAnsi="Arial"/>
          <w:b w:val="false"/>
          <w:bCs w:val="false"/>
          <w:color w:val="000000"/>
          <w:sz w:val="20"/>
          <w:szCs w:val="20"/>
        </w:rPr>
        <w:t xml:space="preserve">Page 3 — Regional Performance: Azure Maps world map, Revenue by Region bar, Revenue &amp; Margin treemap</w:t>
      </w:r>
    </w:p>
    <w:p>
      <w:pPr>
        <w:pStyle w:val="ListParagraph"/>
        <w:numPr>
          <w:ilvl w:val="0"/>
          <w:numId w:val="2"/>
        </w:numPr>
        <w:spacing w:after="40" w:before="40"/>
      </w:pPr>
      <w:r>
        <w:rPr>
          <w:rFonts w:ascii="Arial" w:cs="Arial" w:eastAsia="Arial" w:hAnsi="Arial"/>
          <w:b w:val="false"/>
          <w:bCs w:val="false"/>
          <w:color w:val="000000"/>
          <w:sz w:val="20"/>
          <w:szCs w:val="20"/>
        </w:rPr>
        <w:t xml:space="preserve">Page 4 — Model Portfolio: Revenue by Model bar, Units Sold treemap, Model Revenue Trend line chart</w:t>
      </w:r>
    </w:p>
    <w:p>
      <w:pPr>
        <w:pStyle w:val="ListParagraph"/>
        <w:numPr>
          <w:ilvl w:val="0"/>
          <w:numId w:val="2"/>
        </w:numPr>
        <w:spacing w:after="40" w:before="40"/>
      </w:pPr>
      <w:r>
        <w:rPr>
          <w:rFonts w:ascii="Arial" w:cs="Arial" w:eastAsia="Arial" w:hAnsi="Arial"/>
          <w:b w:val="false"/>
          <w:bCs w:val="false"/>
          <w:color w:val="000000"/>
          <w:sz w:val="20"/>
          <w:szCs w:val="20"/>
        </w:rPr>
        <w:t xml:space="preserve">Created DateTable in Power BI, wrote 10+ DAX measures including Revenue YoY%, Revenue PY, Revenue YTD</w:t>
      </w:r>
    </w:p>
    <w:p>
      <w:pPr>
        <w:spacing w:before="60"/>
      </w:pPr>
      <w:r>
        <w:rPr>
          <w:sz w:val="20"/>
          <w:szCs w:val="20"/>
        </w:rPr>
        <w:t xml:space="preserve"/>
      </w:r>
    </w:p>
    <w:p>
      <w:r>
        <w:br w:type="page"/>
      </w:r>
    </w:p>
    <w:p>
      <w:pPr>
        <w:pStyle w:val="Heading1"/>
        <w:pBdr>
          <w:bottom w:val="single" w:color="C9A22A" w:sz="8"/>
        </w:pBdr>
        <w:shd w:fill="0D2B4E" w:val="clear"/>
        <w:spacing w:after="200" w:before="360"/>
        <w:ind w:left="200" w:right="200"/>
      </w:pPr>
      <w:r>
        <w:rPr>
          <w:rFonts w:ascii="Arial" w:cs="Arial" w:eastAsia="Arial" w:hAnsi="Arial"/>
          <w:b/>
          <w:bCs/>
          <w:color w:val="FFFFFF"/>
          <w:sz w:val="32"/>
          <w:szCs w:val="32"/>
        </w:rPr>
        <w:t xml:space="preserve">07  |  BUSINESS RECOMMENDATIONS</w:t>
      </w:r>
    </w:p>
    <w:p>
      <w:pPr>
        <w:spacing w:before="60"/>
      </w:pPr>
      <w:r>
        <w:rPr>
          <w:sz w:val="20"/>
          <w:szCs w:val="20"/>
        </w:rPr>
        <w:t xml:space="preserve"/>
      </w:r>
    </w:p>
    <w:p>
      <w:pPr>
        <w:spacing w:after="60" w:before="60"/>
        <w:jc w:val="both"/>
      </w:pPr>
      <w:r>
        <w:rPr>
          <w:rFonts w:ascii="Arial" w:cs="Arial" w:eastAsia="Arial" w:hAnsi="Arial"/>
          <w:color w:val="000000"/>
          <w:sz w:val="20"/>
          <w:szCs w:val="20"/>
        </w:rPr>
        <w:t xml:space="preserve">Based on the data analysis findings across all four project phases, the following strategic recommendations are presented for BMW's consideration:</w:t>
      </w:r>
    </w:p>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9A22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8760"/>
            <w:tcBorders>
              <w:top w:val="single" w:color="CCCCCC" w:sz="4"/>
              <w:left w:val="none" w:color="FFFFFF" w:sz="0"/>
              <w:bottom w:val="single" w:color="CCCCCC" w:sz="4"/>
              <w:right w:val="single" w:color="CCCCCC" w:sz="4"/>
            </w:tcBorders>
            <w:shd w:fill="FFF2CC" w:val="clear"/>
            <w:tcMar>
              <w:top w:type="dxa" w:w="100"/>
              <w:left w:type="dxa" w:w="180"/>
              <w:bottom w:type="dxa" w:w="100"/>
              <w:right w:type="dxa" w:w="180"/>
            </w:tcMar>
          </w:tcPr>
          <w:p>
            <w:r>
              <w:rPr>
                <w:rFonts w:ascii="Arial" w:cs="Arial" w:eastAsia="Arial" w:hAnsi="Arial"/>
                <w:b/>
                <w:bCs/>
                <w:color w:val="0D2B4E"/>
                <w:sz w:val="20"/>
                <w:szCs w:val="20"/>
              </w:rPr>
              <w:t xml:space="preserve">Double Down on SUV Portfolio — Especially X5 &amp; X3</w:t>
            </w:r>
          </w:p>
          <w:p>
            <w:pPr>
              <w:spacing w:before="40"/>
            </w:pPr>
            <w:r>
              <w:rPr>
                <w:rFonts w:ascii="Arial" w:cs="Arial" w:eastAsia="Arial" w:hAnsi="Arial"/>
                <w:color w:val="000000"/>
                <w:sz w:val="19"/>
                <w:szCs w:val="19"/>
              </w:rPr>
              <w:t xml:space="preserve">SUVs represent 33% of total revenue with BMW X5 alone at €109M. BMW should prioritize new SUV model variants, refresh cycles for X5/X3, and expand SUV-focused dealer inventory in USA and China where SUV demand is highest.</w:t>
            </w:r>
          </w:p>
        </w:tc>
      </w:tr>
    </w:tbl>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9A22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8760"/>
            <w:tcBorders>
              <w:top w:val="single" w:color="CCCCCC" w:sz="4"/>
              <w:left w:val="none" w:color="FFFFFF" w:sz="0"/>
              <w:bottom w:val="single" w:color="CCCCCC" w:sz="4"/>
              <w:right w:val="single" w:color="CCCCCC" w:sz="4"/>
            </w:tcBorders>
            <w:shd w:fill="FFF2CC" w:val="clear"/>
            <w:tcMar>
              <w:top w:type="dxa" w:w="100"/>
              <w:left w:type="dxa" w:w="180"/>
              <w:bottom w:type="dxa" w:w="100"/>
              <w:right w:type="dxa" w:w="180"/>
            </w:tcMar>
          </w:tcPr>
          <w:p>
            <w:r>
              <w:rPr>
                <w:rFonts w:ascii="Arial" w:cs="Arial" w:eastAsia="Arial" w:hAnsi="Arial"/>
                <w:b/>
                <w:bCs/>
                <w:color w:val="0D2B4E"/>
                <w:sz w:val="20"/>
                <w:szCs w:val="20"/>
              </w:rPr>
              <w:t xml:space="preserve">Accelerate EV Transition — Target 35% EV Share by 2026</w:t>
            </w:r>
          </w:p>
          <w:p>
            <w:pPr>
              <w:spacing w:before="40"/>
            </w:pPr>
            <w:r>
              <w:rPr>
                <w:rFonts w:ascii="Arial" w:cs="Arial" w:eastAsia="Arial" w:hAnsi="Arial"/>
                <w:color w:val="000000"/>
                <w:sz w:val="19"/>
                <w:szCs w:val="19"/>
              </w:rPr>
              <w:t xml:space="preserve">Electric vehicles already represent 24.84% of revenue despite being newer products. The iX's strong performance at €82.57M validates EV demand. BMW should accelerate charging infrastructure partnerships and EV-specific financing options to reach 35% EV revenue share by 2026.</w:t>
            </w:r>
          </w:p>
        </w:tc>
      </w:tr>
    </w:tbl>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9A22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8760"/>
            <w:tcBorders>
              <w:top w:val="single" w:color="CCCCCC" w:sz="4"/>
              <w:left w:val="none" w:color="FFFFFF" w:sz="0"/>
              <w:bottom w:val="single" w:color="CCCCCC" w:sz="4"/>
              <w:right w:val="single" w:color="CCCCCC" w:sz="4"/>
            </w:tcBorders>
            <w:shd w:fill="FFF2CC" w:val="clear"/>
            <w:tcMar>
              <w:top w:type="dxa" w:w="100"/>
              <w:left w:type="dxa" w:w="180"/>
              <w:bottom w:type="dxa" w:w="100"/>
              <w:right w:type="dxa" w:w="180"/>
            </w:tcMar>
          </w:tcPr>
          <w:p>
            <w:r>
              <w:rPr>
                <w:rFonts w:ascii="Arial" w:cs="Arial" w:eastAsia="Arial" w:hAnsi="Arial"/>
                <w:b/>
                <w:bCs/>
                <w:color w:val="0D2B4E"/>
                <w:sz w:val="20"/>
                <w:szCs w:val="20"/>
              </w:rPr>
              <w:t xml:space="preserve">Prioritize India Market — Untapped High-Growth Opportunity</w:t>
            </w:r>
          </w:p>
          <w:p>
            <w:pPr>
              <w:spacing w:before="40"/>
            </w:pPr>
            <w:r>
              <w:rPr>
                <w:rFonts w:ascii="Arial" w:cs="Arial" w:eastAsia="Arial" w:hAnsi="Arial"/>
                <w:color w:val="000000"/>
                <w:sz w:val="19"/>
                <w:szCs w:val="19"/>
              </w:rPr>
              <w:t xml:space="preserve">India is currently BMW's smallest market (€47.25M, 6.01%) but is the fastest-growing premium car market globally. With a growing affluent middle class and government EV incentives, BMW should increase dealer network, localize financing options, and launch India-specific entry-level models like the BMW 2 Series at competitive price points.</w:t>
            </w:r>
          </w:p>
        </w:tc>
      </w:tr>
    </w:tbl>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9A22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4</w:t>
            </w:r>
          </w:p>
        </w:tc>
        <w:tc>
          <w:tcPr>
            <w:tcW w:type="dxa" w:w="8760"/>
            <w:tcBorders>
              <w:top w:val="single" w:color="CCCCCC" w:sz="4"/>
              <w:left w:val="none" w:color="FFFFFF" w:sz="0"/>
              <w:bottom w:val="single" w:color="CCCCCC" w:sz="4"/>
              <w:right w:val="single" w:color="CCCCCC" w:sz="4"/>
            </w:tcBorders>
            <w:shd w:fill="FFF2CC" w:val="clear"/>
            <w:tcMar>
              <w:top w:type="dxa" w:w="100"/>
              <w:left w:type="dxa" w:w="180"/>
              <w:bottom w:type="dxa" w:w="100"/>
              <w:right w:type="dxa" w:w="180"/>
            </w:tcMar>
          </w:tcPr>
          <w:p>
            <w:r>
              <w:rPr>
                <w:rFonts w:ascii="Arial" w:cs="Arial" w:eastAsia="Arial" w:hAnsi="Arial"/>
                <w:b/>
                <w:bCs/>
                <w:color w:val="0D2B4E"/>
                <w:sz w:val="20"/>
                <w:szCs w:val="20"/>
              </w:rPr>
              <w:t xml:space="preserve">Maximize Corporate Fleet Revenue — B2B First Strategy</w:t>
            </w:r>
          </w:p>
          <w:p>
            <w:pPr>
              <w:spacing w:before="40"/>
            </w:pPr>
            <w:r>
              <w:rPr>
                <w:rFonts w:ascii="Arial" w:cs="Arial" w:eastAsia="Arial" w:hAnsi="Arial"/>
                <w:color w:val="000000"/>
                <w:sz w:val="19"/>
                <w:szCs w:val="19"/>
              </w:rPr>
              <w:t xml:space="preserve">Corporate Fleet customers drive 44.37% of revenue. BMW should establish dedicated B2B account management teams, create multi-year fleet contracts with service packages, and develop fleet-specific EV transition programs targeting corporate sustainability goals.</w:t>
            </w:r>
          </w:p>
        </w:tc>
      </w:tr>
    </w:tbl>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9A22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5</w:t>
            </w:r>
          </w:p>
        </w:tc>
        <w:tc>
          <w:tcPr>
            <w:tcW w:type="dxa" w:w="8760"/>
            <w:tcBorders>
              <w:top w:val="single" w:color="CCCCCC" w:sz="4"/>
              <w:left w:val="none" w:color="FFFFFF" w:sz="0"/>
              <w:bottom w:val="single" w:color="CCCCCC" w:sz="4"/>
              <w:right w:val="single" w:color="CCCCCC" w:sz="4"/>
            </w:tcBorders>
            <w:shd w:fill="FFF2CC" w:val="clear"/>
            <w:tcMar>
              <w:top w:type="dxa" w:w="100"/>
              <w:left w:type="dxa" w:w="180"/>
              <w:bottom w:type="dxa" w:w="100"/>
              <w:right w:type="dxa" w:w="180"/>
            </w:tcMar>
          </w:tcPr>
          <w:p>
            <w:r>
              <w:rPr>
                <w:rFonts w:ascii="Arial" w:cs="Arial" w:eastAsia="Arial" w:hAnsi="Arial"/>
                <w:b/>
                <w:bCs/>
                <w:color w:val="0D2B4E"/>
                <w:sz w:val="20"/>
                <w:szCs w:val="20"/>
              </w:rPr>
              <w:t xml:space="preserve">Phase Out Diesel — Redirect Investment to Hybrid</w:t>
            </w:r>
          </w:p>
          <w:p>
            <w:pPr>
              <w:spacing w:before="40"/>
            </w:pPr>
            <w:r>
              <w:rPr>
                <w:rFonts w:ascii="Arial" w:cs="Arial" w:eastAsia="Arial" w:hAnsi="Arial"/>
                <w:color w:val="000000"/>
                <w:sz w:val="19"/>
                <w:szCs w:val="19"/>
              </w:rPr>
              <w:t xml:space="preserve">Diesel revenue at €180.06M is the lowest fuel type and declining globally due to regulatory pressures. BMW should proactively phase out diesel-heavy models in Europe and redirect R&amp;D investment to Hybrid powertrains, which currently lead all fuel types at €220.60M and serve as an effective bridge technology for ICE-to-EV transition.</w:t>
            </w:r>
          </w:p>
        </w:tc>
      </w:tr>
    </w:tbl>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9A22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6</w:t>
            </w:r>
          </w:p>
        </w:tc>
        <w:tc>
          <w:tcPr>
            <w:tcW w:type="dxa" w:w="8760"/>
            <w:tcBorders>
              <w:top w:val="single" w:color="CCCCCC" w:sz="4"/>
              <w:left w:val="none" w:color="FFFFFF" w:sz="0"/>
              <w:bottom w:val="single" w:color="CCCCCC" w:sz="4"/>
              <w:right w:val="single" w:color="CCCCCC" w:sz="4"/>
            </w:tcBorders>
            <w:shd w:fill="FFF2CC" w:val="clear"/>
            <w:tcMar>
              <w:top w:type="dxa" w:w="100"/>
              <w:left w:type="dxa" w:w="180"/>
              <w:bottom w:type="dxa" w:w="100"/>
              <w:right w:type="dxa" w:w="180"/>
            </w:tcMar>
          </w:tcPr>
          <w:p>
            <w:r>
              <w:rPr>
                <w:rFonts w:ascii="Arial" w:cs="Arial" w:eastAsia="Arial" w:hAnsi="Arial"/>
                <w:b/>
                <w:bCs/>
                <w:color w:val="0D2B4E"/>
                <w:sz w:val="20"/>
                <w:szCs w:val="20"/>
              </w:rPr>
              <w:t xml:space="preserve">Leverage M Sport Premium Positioning for Margin Enhancement</w:t>
            </w:r>
          </w:p>
          <w:p>
            <w:pPr>
              <w:spacing w:before="40"/>
            </w:pPr>
            <w:r>
              <w:rPr>
                <w:rFonts w:ascii="Arial" w:cs="Arial" w:eastAsia="Arial" w:hAnsi="Arial"/>
                <w:color w:val="000000"/>
                <w:sz w:val="19"/>
                <w:szCs w:val="19"/>
              </w:rPr>
              <w:t xml:space="preserve">M3 and M5 have the highest profit margins (25.11-25.22%) in the entire portfolio. BMW should expand the M Sport lineup with more accessible M Performance derivatives (M135i, M235i) to capture higher-margin sales volume without diluting the M brand exclusivity.</w:t>
            </w:r>
          </w:p>
        </w:tc>
      </w:tr>
    </w:tbl>
    <w:p>
      <w:pPr>
        <w:spacing w:before="60"/>
      </w:pPr>
      <w:r>
        <w:rPr>
          <w:sz w:val="20"/>
          <w:szCs w:val="20"/>
        </w:rPr>
        <w:t xml:space="preserve"/>
      </w:r>
    </w:p>
    <w:p>
      <w:r>
        <w:br w:type="page"/>
      </w:r>
    </w:p>
    <w:p>
      <w:pPr>
        <w:pStyle w:val="Heading1"/>
        <w:pBdr>
          <w:bottom w:val="single" w:color="C9A22A" w:sz="8"/>
        </w:pBdr>
        <w:shd w:fill="0D2B4E" w:val="clear"/>
        <w:spacing w:after="200" w:before="360"/>
        <w:ind w:left="200" w:right="200"/>
      </w:pPr>
      <w:r>
        <w:rPr>
          <w:rFonts w:ascii="Arial" w:cs="Arial" w:eastAsia="Arial" w:hAnsi="Arial"/>
          <w:b/>
          <w:bCs/>
          <w:color w:val="FFFFFF"/>
          <w:sz w:val="32"/>
          <w:szCs w:val="32"/>
        </w:rPr>
        <w:t xml:space="preserve">08  |  TECHNICAL STACK &amp; TOOLS</w:t>
      </w:r>
    </w:p>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 / Technology</w:t>
            </w:r>
          </w:p>
        </w:tc>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Usage in Project</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Data Cleaning</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Microsoft Excel (Advanced)</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Phase 1: Deduplication, standardization, flag columns</w:t>
            </w:r>
          </w:p>
        </w:tc>
      </w:tr>
      <w:tr>
        <w:tc>
          <w:tcPr>
            <w:tcW w:type="dxa" w:w="31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Database</w:t>
            </w:r>
          </w:p>
        </w:tc>
        <w:tc>
          <w:tcPr>
            <w:tcW w:type="dxa" w:w="31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MySQL 8.0</w:t>
            </w:r>
          </w:p>
        </w:tc>
        <w:tc>
          <w:tcPr>
            <w:tcW w:type="dxa" w:w="31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Phase 2: KPI queries, aggregations, business metrics</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DB Connection</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Python SQLAlchemy + PyMySQL</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Phase 2: Automated data loading via to_sql()</w:t>
            </w:r>
          </w:p>
        </w:tc>
      </w:tr>
      <w:tr>
        <w:tc>
          <w:tcPr>
            <w:tcW w:type="dxa" w:w="31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Data Analysis</w:t>
            </w:r>
          </w:p>
        </w:tc>
        <w:tc>
          <w:tcPr>
            <w:tcW w:type="dxa" w:w="31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Python — Pandas, NumPy</w:t>
            </w:r>
          </w:p>
        </w:tc>
        <w:tc>
          <w:tcPr>
            <w:tcW w:type="dxa" w:w="31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Phase 3: EDA, cleaning, feature engineering</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Visualization</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Plotly, Matplotlib, Seaborn</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Phase 3: 13 charts including interactive choropleth</w:t>
            </w:r>
          </w:p>
        </w:tc>
      </w:tr>
      <w:tr>
        <w:tc>
          <w:tcPr>
            <w:tcW w:type="dxa" w:w="31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Machine Learning</w:t>
            </w:r>
          </w:p>
        </w:tc>
        <w:tc>
          <w:tcPr>
            <w:tcW w:type="dxa" w:w="31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Scikit-learn (K-Means)</w:t>
            </w:r>
          </w:p>
        </w:tc>
        <w:tc>
          <w:tcPr>
            <w:tcW w:type="dxa" w:w="31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Phase 3: Customer segmentation (K=4 clusters)</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Forecasting</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Scikit-learn (Linear Regression)</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Phase 3: 2025 revenue forecast €210M+</w:t>
            </w:r>
          </w:p>
        </w:tc>
      </w:tr>
      <w:tr>
        <w:tc>
          <w:tcPr>
            <w:tcW w:type="dxa" w:w="31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BI Dashboard</w:t>
            </w:r>
          </w:p>
        </w:tc>
        <w:tc>
          <w:tcPr>
            <w:tcW w:type="dxa" w:w="31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Microsoft Power BI Desktop</w:t>
            </w:r>
          </w:p>
        </w:tc>
        <w:tc>
          <w:tcPr>
            <w:tcW w:type="dxa" w:w="31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Phase 4: 4-page interactive dashboard</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DAX</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Power BI DAX</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10+ measures: YoY%, PY, YTD, Revenue M, etc.</w:t>
            </w:r>
          </w:p>
        </w:tc>
      </w:tr>
      <w:tr>
        <w:tc>
          <w:tcPr>
            <w:tcW w:type="dxa" w:w="31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IDE</w:t>
            </w:r>
          </w:p>
        </w:tc>
        <w:tc>
          <w:tcPr>
            <w:tcW w:type="dxa" w:w="31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Jupyter Notebook</w:t>
            </w:r>
          </w:p>
        </w:tc>
        <w:tc>
          <w:tcPr>
            <w:tcW w:type="dxa" w:w="31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Phase 3: Full EDA notebook</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Version Control</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GitHub</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Portfolio: DeveshShukla23</w:t>
            </w:r>
          </w:p>
        </w:tc>
      </w:tr>
    </w:tbl>
    <w:p>
      <w:pPr>
        <w:spacing w:before="60"/>
      </w:pPr>
      <w:r>
        <w:rPr>
          <w:sz w:val="20"/>
          <w:szCs w:val="20"/>
        </w:rPr>
        <w:t xml:space="preserve"/>
      </w:r>
    </w:p>
    <w:p>
      <w:r>
        <w:br w:type="page"/>
      </w:r>
    </w:p>
    <w:p>
      <w:pPr>
        <w:pStyle w:val="Heading1"/>
        <w:pBdr>
          <w:bottom w:val="single" w:color="C9A22A" w:sz="8"/>
        </w:pBdr>
        <w:shd w:fill="0D2B4E" w:val="clear"/>
        <w:spacing w:after="200" w:before="360"/>
        <w:ind w:left="200" w:right="200"/>
      </w:pPr>
      <w:r>
        <w:rPr>
          <w:rFonts w:ascii="Arial" w:cs="Arial" w:eastAsia="Arial" w:hAnsi="Arial"/>
          <w:b/>
          <w:bCs/>
          <w:color w:val="FFFFFF"/>
          <w:sz w:val="32"/>
          <w:szCs w:val="32"/>
        </w:rPr>
        <w:t xml:space="preserve">09  |  CONCLUSION</w:t>
      </w:r>
    </w:p>
    <w:p>
      <w:pPr>
        <w:spacing w:before="60"/>
      </w:pPr>
      <w:r>
        <w:rPr>
          <w:sz w:val="20"/>
          <w:szCs w:val="20"/>
        </w:rPr>
        <w:t xml:space="preserve"/>
      </w:r>
    </w:p>
    <w:p>
      <w:pPr>
        <w:spacing w:after="60" w:before="60"/>
        <w:jc w:val="both"/>
      </w:pPr>
      <w:r>
        <w:rPr>
          <w:rFonts w:ascii="Arial" w:cs="Arial" w:eastAsia="Arial" w:hAnsi="Arial"/>
          <w:color w:val="000000"/>
          <w:sz w:val="20"/>
          <w:szCs w:val="20"/>
        </w:rPr>
        <w:t xml:space="preserve">The BMW Global Sales Intelligence Dashboard project represents a complete, production-grade data analysis workflow executed across four phases over a 4,569-record real-world sales dataset. The project demonstrates proficiency across the full modern data analyst stack — from raw data quality assessment in Excel, through relational database querying in SQL, advanced statistical analysis and machine learning in Python, to executive-level business intelligence reporting in Power BI.</w:t>
      </w:r>
    </w:p>
    <w:p>
      <w:pPr>
        <w:spacing w:before="60"/>
      </w:pPr>
      <w:r>
        <w:rPr>
          <w:sz w:val="20"/>
          <w:szCs w:val="20"/>
        </w:rPr>
        <w:t xml:space="preserve"/>
      </w:r>
    </w:p>
    <w:p>
      <w:pPr>
        <w:spacing w:after="60" w:before="60"/>
        <w:jc w:val="both"/>
      </w:pPr>
      <w:r>
        <w:rPr>
          <w:rFonts w:ascii="Arial" w:cs="Arial" w:eastAsia="Arial" w:hAnsi="Arial"/>
          <w:color w:val="000000"/>
          <w:sz w:val="20"/>
          <w:szCs w:val="20"/>
        </w:rPr>
        <w:t xml:space="preserve">The analysis revealed several critical business insights: SUVs remain BMW's revenue backbone, the EV transition is happening faster than expected with 24.84% revenue share, USA leads globally while India represents the highest untapped growth opportunity, and Corporate Fleet B2B customers drive nearly half of all revenue.</w:t>
      </w:r>
    </w:p>
    <w:p>
      <w:pPr>
        <w:spacing w:before="60"/>
      </w:pPr>
      <w:r>
        <w:rPr>
          <w:sz w:val="20"/>
          <w:szCs w:val="20"/>
        </w:rPr>
        <w:t xml:space="preserve"/>
      </w:r>
    </w:p>
    <w:p>
      <w:pPr>
        <w:spacing w:after="60" w:before="60"/>
        <w:jc w:val="both"/>
      </w:pPr>
      <w:r>
        <w:rPr>
          <w:rFonts w:ascii="Arial" w:cs="Arial" w:eastAsia="Arial" w:hAnsi="Arial"/>
          <w:color w:val="000000"/>
          <w:sz w:val="20"/>
          <w:szCs w:val="20"/>
        </w:rPr>
        <w:t xml:space="preserve">The 4-page Power BI dashboard with BMW M5 Competition Black theme provides executives and analysts a single source of truth for monitoring BMW's global sales performance across all dimensions — time, region, model, and customer segment.</w:t>
      </w:r>
    </w:p>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C9A22A" w:sz="16"/>
              <w:bottom w:val="single" w:color="CCCCCC" w:sz="4"/>
              <w:right w:val="single" w:color="CCCCCC" w:sz="4"/>
            </w:tcBorders>
            <w:shd w:fill="BDD7EE" w:val="clear"/>
            <w:tcMar>
              <w:top w:type="dxa" w:w="100"/>
              <w:left w:type="dxa" w:w="180"/>
              <w:bottom w:type="dxa" w:w="100"/>
              <w:right w:type="dxa" w:w="180"/>
            </w:tcMar>
          </w:tcPr>
          <w:p>
            <w:r>
              <w:rPr>
                <w:rFonts w:ascii="Arial" w:cs="Arial" w:eastAsia="Arial" w:hAnsi="Arial"/>
                <w:b/>
                <w:bCs/>
                <w:color w:val="0D2B4E"/>
                <w:sz w:val="20"/>
                <w:szCs w:val="20"/>
              </w:rPr>
              <w:t xml:space="preserve">Project Impact Summary</w:t>
            </w:r>
          </w:p>
          <w:p>
            <w:pPr>
              <w:spacing w:before="60"/>
              <w:jc w:val="both"/>
            </w:pPr>
            <w:r>
              <w:rPr>
                <w:rFonts w:ascii="Arial" w:cs="Arial" w:eastAsia="Arial" w:hAnsi="Arial"/>
                <w:color w:val="000000"/>
                <w:sz w:val="19"/>
                <w:szCs w:val="19"/>
              </w:rPr>
              <w:t xml:space="preserve">This project showcases the complete data analyst skill set required in modern enterprise analytics: data quality management, SQL proficiency, Python-based EDA and ML, and executive dashboard design. The actionable insights and strategic recommendations derived from this analysis can directly influence BMW's regional strategy, product portfolio decisions, and customer acquisition priorities.</w:t>
            </w:r>
          </w:p>
        </w:tc>
      </w:tr>
    </w:tbl>
    <w:p>
      <w:pPr>
        <w:spacing w:before="12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A" w:sz="8"/>
              <w:left w:val="single" w:color="C9A22A" w:sz="8"/>
              <w:bottom w:val="single" w:color="C9A22A" w:sz="8"/>
              <w:right w:val="single" w:color="C9A22A" w:sz="8"/>
            </w:tcBorders>
            <w:shd w:fill="0D2B4E" w:val="clear"/>
            <w:tcMar>
              <w:top w:type="dxa" w:w="200"/>
              <w:left w:type="dxa" w:w="300"/>
              <w:bottom w:type="dxa" w:w="200"/>
              <w:right w:type="dxa" w:w="300"/>
            </w:tcMar>
          </w:tcPr>
          <w:p>
            <w:pPr>
              <w:spacing w:after="60"/>
              <w:jc w:val="center"/>
            </w:pPr>
            <w:r>
              <w:rPr>
                <w:rFonts w:ascii="Arial" w:cs="Arial" w:eastAsia="Arial" w:hAnsi="Arial"/>
                <w:b/>
                <w:bCs/>
                <w:color w:val="C9A22A"/>
                <w:sz w:val="28"/>
                <w:szCs w:val="28"/>
              </w:rPr>
              <w:t xml:space="preserve">Devesh Shukla</w:t>
            </w:r>
          </w:p>
          <w:p>
            <w:pPr>
              <w:spacing w:after="60"/>
              <w:jc w:val="center"/>
            </w:pPr>
            <w:r>
              <w:rPr>
                <w:rFonts w:ascii="Arial" w:cs="Arial" w:eastAsia="Arial" w:hAnsi="Arial"/>
                <w:color w:val="BDD7EE"/>
                <w:sz w:val="20"/>
                <w:szCs w:val="20"/>
              </w:rPr>
              <w:t xml:space="preserve">Data Analyst  |  Generative AI Professional</w:t>
            </w:r>
          </w:p>
          <w:p>
            <w:pPr>
              <w:jc w:val="center"/>
            </w:pPr>
            <w:r>
              <w:rPr>
                <w:rFonts w:ascii="Arial" w:cs="Arial" w:eastAsia="Arial" w:hAnsi="Arial"/>
                <w:color w:val="D9D9D9"/>
                <w:sz w:val="18"/>
                <w:szCs w:val="18"/>
              </w:rPr>
              <w:t xml:space="preserve">deveshshukla23.github.io  |  LinkedIn: devesh-shukla23  |  GitHub: DeveshShukla23</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pBdr>
      <w:spacing w:before="80"/>
      <w:jc w:val="center"/>
    </w:pPr>
    <w:r>
      <w:rPr>
        <w:rFonts w:ascii="Arial" w:cs="Arial" w:eastAsia="Arial" w:hAnsi="Arial"/>
        <w:color w:val="888888"/>
        <w:sz w:val="16"/>
        <w:szCs w:val="16"/>
      </w:rPr>
      <w:t xml:space="preserve">Devesh Shukla  |  Data Analyst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pBdr>
      <w:spacing w:after="80"/>
    </w:pPr>
    <w:r>
      <w:rPr>
        <w:rFonts w:ascii="Arial" w:cs="Arial" w:eastAsia="Arial" w:hAnsi="Arial"/>
        <w:color w:val="888888"/>
        <w:sz w:val="16"/>
        <w:szCs w:val="16"/>
      </w:rPr>
      <w:t xml:space="preserve">BMW Global Sales Intelligence Dashboard  |  Project Report  |  2020–2024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D2B4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2026-04-01T12:13:44.476Z</dcterms:created>
  <dcterms:modified xsi:type="dcterms:W3CDTF">2026-04-01T12:13:44.478Z</dcterms:modified>
</cp:coreProperties>
</file>

<file path=docProps/custom.xml><?xml version="1.0" encoding="utf-8"?>
<Properties xmlns="http://schemas.openxmlformats.org/officeDocument/2006/custom-properties" xmlns:vt="http://schemas.openxmlformats.org/officeDocument/2006/docPropsVTypes"/>
</file>