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30"/>
          <w:szCs w:val="30"/>
        </w:rPr>
        <w:t xml:space="preserve">ML Method Recommendations for AirSense — Feature-by-Feature Mapping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Based on: AirSense Project Documentation v2.0 (Devesh, CEP-group-project) cross-referenced with Karmoude, M. et al. (2025), "Machine learning for air quality prediction and data analysis," Science of the Total Environment, 1002, 180593.</w:t>
      </w:r>
    </w:p>
    <w:p>
      <w:pPr>
        <w:spacing w:after="200"/>
      </w:pPr>
      <w:r>
        <w:rPr>
          <w:sz w:val="18"/>
          <w:szCs w:val="18"/>
        </w:rPr>
        <w:t xml:space="preserve">AirSense currently runs entirely on mock TypeScript data and rule-based calculations, with Google Gemini handling natural-language output. The documentation notes the data model is “drop-in replaceable” with a live feed — so each row below maps a current module to the specific method the review found best for that task, without requiring any change to the existing components. Rows highlighted in green are the highest-priority, highest-leverage builds.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50"/>
        <w:gridCol w:w="2250"/>
        <w:gridCol w:w="56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Today</w:t>
            </w:r>
          </w:p>
        </w:tc>
        <w:tc>
          <w:tcPr>
            <w:tcW w:type="dxa" w:w="2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ML Task Type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Method</w:t>
            </w:r>
          </w:p>
        </w:tc>
        <w:tc>
          <w:tcPr>
            <w:tcW w:type="dxa" w:w="5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CityDetail — 24h hourly forecast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Mock line chart (AQI, PM2.5, temp, wind)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Short-term multivariate time-series forecasting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LightGBM / XGBoost first; LSTM once you have volume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Rakholia et al. (2024): LightGBM beat XGBoost, LSTM, and CNN-LSTM on short-term PM2.5 while being the cheapest to run — a better fit than jumping straight to deep learning at a CEP project's data volume.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CityDetail — 7-day daily forecast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Mock bar chart with seasonal-looking pattern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Medium-term forecasting with seasonality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Facebook Prophet; SARIMA+ML hybrid later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Waqas et al. (2024): Prophet is more interpretable and flexible for seasonal patterns than ARIMA — useful since each day already shows a recommendation string alongside the number.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CityDetail — 30-day trend / AQI number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Mock historical array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AQI index prediction on structured/tabular data</w:t>
            </w:r>
          </w:p>
        </w:tc>
        <w:tc>
          <w:tcPr>
            <w:tcW w:type="dxa" w:w="225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Random Forest Regressor (fallback: XGBoost/CatBoost)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single most-repeated winner across the review (Gupta et al. 2023; Oseni et al. 2024; Kumar and Pande 2022) — cheap, tabular-friendly, strong default.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Dashboard / CityData — inversionRisk field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Mock Low/Moderate/High/Severe label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Classifying nonlinear meteorological relationships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Random Forest / Gradient Boosting on the 12-field weather record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Qiu et al. (2022): RF specifically outperforms traditional statistics because it captures nonlinear meteorology–pollution interactions — exactly this field's job.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SourceAnalysis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mock sourceBreakdown percentages per category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Pollution-source attribution (the review's flagged literature gap, Sections 4.4/4.7)</w:t>
            </w:r>
          </w:p>
        </w:tc>
        <w:tc>
          <w:tcPr>
            <w:tcW w:type="dxa" w:w="225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XGBoost / CatBoost + SHAP for per-category % attribution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Yang et al. (2024)'s SHAP approach attributes AQI drivers (CO, PM10, etc.) by city/season — reuse the same tree model as the AQI task, just add SHAP on top. Highest differentiation-per-effort feature on this list.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InteractiveMap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 discrete city markers, no interpolation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Not yet a real spatial-grid task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Hold off on CNN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CNN (Kalantari et al. 2024) needs gridded raster data — 20 sparse points isn't that. Wait for MODIS AOD / NASA FIRMS (already on your roadmap) before reaching for CNN; until then this stays a visualization problem, not an ML one.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DataProvenance — outlier rejection, humidity correction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Described in docs, not yet implemented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Low-cost sensor calibration + anomaly detection (Sections 4.4, 7.2)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Start: simple anomaly removal before calibration. Later: RF for calibration; LSTM-Autoencoder + One-Class SVM for anomaly detection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Zhivkov (2021): removing top anomalies before calibration raised R² from 0.62 to 0.95 — a cheap first step. RF is the most repeated winner for calibrating low-cost PM/gas sensors against reference stations (Ionascu et al. 2024; Vajs et al. 2023).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CommunityFeed — discrepancy flag, reputation scoring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Rule-based upvotes + static reputation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Anomaly/outlier detection between citizen report and station reading</w:t>
            </w:r>
          </w:p>
        </w:tc>
        <w:tc>
          <w:tcPr>
            <w:tcW w:type="dxa" w:w="225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Same anomaly-detection pipeline as DataProvenance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is the Park et al. (2023) use case directly — corroborate ground-truth reports against sensor data instead of trusting either blindly. One model unlocks two features, and matches your own roadmap item “automated ML-based report validation.”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AlertsManager — predictive/proactive alerts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Threshold compares only against current AQI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Not a new model — reuse forecast output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 new method — feed it the CityDetail forecast model's output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Once a real forecast exists (row 1 above), “alert before threshold is crossed” is just reading that forecast, not a separate ML problem.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Simulator / Smart Recommendations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Rule-based WHO/EPA vulnerability multipliers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Deliberately keep non-ML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Keep it rule-based; if calibrated later, use RF/Decision Tree + SHAP or LIME — never a black box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Section 11 of the review makes this case explicitly: deep learning's lack of interpretability is a real barrier for health/policy-facing decisions. This module tells a parent whether their asthmatic child should go outside — the answer needs to be explainable.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CarbonCalculator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Deterministic emission-factor arithmetic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Not an ML task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 model needed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is LCA-style calculation (your Unit IV material), not prediction. Leave it as-is — don't force ML where a formula is already correct and auditable.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AwarenessHub (quiz / articles)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Gemini LLM-generated content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Outside this review's scope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review covers air-quality prediction ML specifically, not content generation — Gemini is already the right tool here.</w:t>
            </w:r>
          </w:p>
        </w:tc>
      </w:tr>
    </w:tbl>
    <w:p>
      <w:pPr>
        <w:spacing w:after="80" w:before="300"/>
      </w:pPr>
      <w:r>
        <w:rPr>
          <w:b/>
          <w:bCs/>
          <w:color w:val="1F3864"/>
          <w:sz w:val="24"/>
          <w:szCs w:val="24"/>
        </w:rPr>
        <w:t xml:space="preserve">If you build in order, do this</w:t>
      </w:r>
    </w:p>
    <w:p>
      <w:pPr>
        <w:spacing w:before="140"/>
      </w:pPr>
      <w:r>
        <w:rPr>
          <w:b/>
          <w:bCs/>
          <w:color w:val="1F3864"/>
          <w:sz w:val="19"/>
          <w:szCs w:val="19"/>
        </w:rPr>
        <w:t xml:space="preserve">1. Random Forest / XGBoost for AQI + pollutant forecasting first.</w:t>
      </w:r>
    </w:p>
    <w:p>
      <w:pPr>
        <w:spacing w:after="40"/>
      </w:pPr>
      <w:r>
        <w:rPr>
          <w:sz w:val="18"/>
          <w:szCs w:val="18"/>
        </w:rPr>
        <w:t xml:space="preserve">Tabular, cheap, no GPU needed, and the most-validated method family across the whole review. One model quietly upgrades CityDetail, Dashboard, and (via its output) AlertsManager all at once.</w:t>
      </w:r>
    </w:p>
    <w:p>
      <w:pPr>
        <w:spacing w:before="140"/>
      </w:pPr>
      <w:r>
        <w:rPr>
          <w:b/>
          <w:bCs/>
          <w:color w:val="1F3864"/>
          <w:sz w:val="19"/>
          <w:szCs w:val="19"/>
        </w:rPr>
        <w:t xml:space="preserve">2. Add SHAP on top of that same model for SourceAnalysis.</w:t>
      </w:r>
    </w:p>
    <w:p>
      <w:pPr>
        <w:spacing w:after="40"/>
      </w:pPr>
      <w:r>
        <w:rPr>
          <w:sz w:val="18"/>
          <w:szCs w:val="18"/>
        </w:rPr>
        <w:t xml:space="preserve">No new model family — just an interpretability layer on what you already built in step 1. Highest product-differentiation-per-effort ratio on this list.</w:t>
      </w:r>
    </w:p>
    <w:p>
      <w:pPr>
        <w:spacing w:before="140"/>
      </w:pPr>
      <w:r>
        <w:rPr>
          <w:b/>
          <w:bCs/>
          <w:color w:val="1F3864"/>
          <w:sz w:val="19"/>
          <w:szCs w:val="19"/>
        </w:rPr>
        <w:t xml:space="preserve">3. Simple anomaly detection for DataProvenance and CommunityFeed together.</w:t>
      </w:r>
    </w:p>
    <w:p>
      <w:pPr>
        <w:spacing w:after="40"/>
      </w:pPr>
      <w:r>
        <w:rPr>
          <w:sz w:val="18"/>
          <w:szCs w:val="18"/>
        </w:rPr>
        <w:t xml:space="preserve">Start with basic statistical outlier removal, not the full LSTM-Autoencoder + One-Class SVM stack. Same underlying technique, two features unlocked at once.</w:t>
      </w:r>
    </w:p>
    <w:p>
      <w:pPr>
        <w:spacing w:before="140"/>
      </w:pPr>
      <w:r>
        <w:rPr>
          <w:b/>
          <w:bCs/>
          <w:color w:val="1F3864"/>
          <w:sz w:val="19"/>
          <w:szCs w:val="19"/>
        </w:rPr>
        <w:t xml:space="preserve">4. Only reach for LSTM/hybrid models once “live API integration” is done and real time-series volume exists.</w:t>
      </w:r>
    </w:p>
    <w:p>
      <w:pPr>
        <w:spacing w:after="40"/>
      </w:pPr>
      <w:r>
        <w:rPr>
          <w:sz w:val="18"/>
          <w:szCs w:val="18"/>
        </w:rPr>
        <w:t xml:space="preserve">Deep learning needs data density a CEP mock-data phase doesn't have yet — building it now would just overfit to 20 synthetic cities.</w:t>
      </w:r>
    </w:p>
    <w:p>
      <w:pPr>
        <w:spacing w:before="140"/>
      </w:pPr>
      <w:r>
        <w:rPr>
          <w:b/>
          <w:bCs/>
          <w:color w:val="1F3864"/>
          <w:sz w:val="19"/>
          <w:szCs w:val="19"/>
        </w:rPr>
        <w:t xml:space="preserve">5. CNN / spatial deep learning waits for the satellite-imagery roadmap item.</w:t>
      </w:r>
    </w:p>
    <w:p>
      <w:pPr>
        <w:spacing w:after="40"/>
      </w:pPr>
      <w:r>
        <w:rPr>
          <w:sz w:val="18"/>
          <w:szCs w:val="18"/>
        </w:rPr>
        <w:t xml:space="preserve">No grid data yet, so there's no job for CNN yet.</w:t>
      </w:r>
    </w:p>
    <w:p>
      <w:pPr>
        <w:spacing w:after="80" w:before="260"/>
      </w:pPr>
      <w:r>
        <w:rPr>
          <w:b/>
          <w:bCs/>
          <w:color w:val="1F3864"/>
          <w:sz w:val="22"/>
          <w:szCs w:val="22"/>
        </w:rPr>
        <w:t xml:space="preserve">Architectural note</w:t>
      </w:r>
    </w:p>
    <w:p>
      <w:r>
        <w:rPr>
          <w:sz w:val="18"/>
          <w:szCs w:val="18"/>
        </w:rPr>
        <w:t xml:space="preserve">None of this runs in the browser. Since AirSense is currently a pure frontend SPA, these models would be served from the existing optional Express.js backend (or a small Python sidecar for the tree-based models, which are trivial to serve via scikit-learn/XGBoost behind a REST endpoint) — keeping every frontend component completely unchanged, exactly as the mock-data design already anticipated.</w:t>
      </w:r>
    </w:p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2026-08-27T04:27:59.355Z</dcterms:created>
  <dcterms:modified xsi:type="dcterms:W3CDTF">2026-08-27T04:27:59.371Z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