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Loan</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Loan is a corporate credit facility extended to legally registered entities including Sole Proprietorships, Partnerships, LLCs,Free Zone companies etc, to fund working capital, business expansion, or asset acquisition.</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Regulated by the Central Bank of the UAE (CBUAE), these loans are strictly segregated from personal retail lending and are governed by stringent corporate risk, compliance, and anti-money laundering (AML) frameworks.</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UAE banking structure, business loans are broadly split into Retail Business Loans (Micro/Small, high-volume, scorecard-based, often unsecured) and SME Corporate Loans (Medium/Larger, relationship-driven, heavily financial-backed, often structured or secured).</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Retail Business Loans (Micro &amp; Small Enterprises)</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Profile: </w:t>
      </w:r>
      <w:r w:rsidDel="00000000" w:rsidR="00000000" w:rsidRPr="00000000">
        <w:rPr>
          <w:rFonts w:ascii="Times New Roman" w:cs="Times New Roman" w:eastAsia="Times New Roman" w:hAnsi="Times New Roman"/>
          <w:rtl w:val="0"/>
        </w:rPr>
        <w:t xml:space="preserve">Companies with an annual turnover between AED 500,000 to AED 10–20 Million.</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Types</w:t>
      </w:r>
      <w:r w:rsidDel="00000000" w:rsidR="00000000" w:rsidRPr="00000000">
        <w:rPr>
          <w:rFonts w:ascii="Times New Roman" w:cs="Times New Roman" w:eastAsia="Times New Roman" w:hAnsi="Times New Roman"/>
          <w:rtl w:val="0"/>
        </w:rPr>
        <w:t xml:space="preserve">:Unsecured term loans, Merchant Point-of-Sale (POS) financing, Business Credit Cards, and minor working capital lines.</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Loan Consultancy Process: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Onboarding &amp; Cash Flow Scrubbing</w:t>
      </w:r>
    </w:p>
    <w:p w:rsidR="00000000" w:rsidDel="00000000" w:rsidP="00000000" w:rsidRDefault="00000000" w:rsidRPr="00000000" w14:paraId="0000000A">
      <w:pPr>
        <w:numPr>
          <w:ilvl w:val="0"/>
          <w:numId w:val="8"/>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AECB Alignment (Dual Scrutiny): </w:t>
      </w:r>
      <w:r w:rsidDel="00000000" w:rsidR="00000000" w:rsidRPr="00000000">
        <w:rPr>
          <w:rFonts w:ascii="Times New Roman" w:cs="Times New Roman" w:eastAsia="Times New Roman" w:hAnsi="Times New Roman"/>
          <w:rtl w:val="0"/>
        </w:rPr>
        <w:t xml:space="preserve">In Retail Loans, UAE banks rely heavily on "scorecard lending." Based on firm consensual authority, we coordinate to run a check on both the Company’s AECB score and the Principal Shareholder's personal AECB score.</w:t>
      </w:r>
    </w:p>
    <w:p w:rsidR="00000000" w:rsidDel="00000000" w:rsidP="00000000" w:rsidRDefault="00000000" w:rsidRPr="00000000" w14:paraId="0000000B">
      <w:pPr>
        <w:numPr>
          <w:ilvl w:val="0"/>
          <w:numId w:val="8"/>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The "Bounced Cheque" Audit:</w:t>
      </w:r>
      <w:r w:rsidDel="00000000" w:rsidR="00000000" w:rsidRPr="00000000">
        <w:rPr>
          <w:rFonts w:ascii="Times New Roman" w:cs="Times New Roman" w:eastAsia="Times New Roman" w:hAnsi="Times New Roman"/>
          <w:rtl w:val="0"/>
        </w:rPr>
        <w:t xml:space="preserve"> We thoroughly review the last 12 months of bank statements. In the UAE, even one or two outward bounced cheques due to insufficient funds (EFSR) may trigger an automatic system rejection. We guide clients to clean these up or wait out the cycle before applying.</w:t>
      </w:r>
    </w:p>
    <w:p w:rsidR="00000000" w:rsidDel="00000000" w:rsidP="00000000" w:rsidRDefault="00000000" w:rsidRPr="00000000" w14:paraId="0000000C">
      <w:pPr>
        <w:numPr>
          <w:ilvl w:val="0"/>
          <w:numId w:val="8"/>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Average Quarterly Balance (AQB) Calculation:</w:t>
      </w:r>
      <w:r w:rsidDel="00000000" w:rsidR="00000000" w:rsidRPr="00000000">
        <w:rPr>
          <w:rFonts w:ascii="Times New Roman" w:cs="Times New Roman" w:eastAsia="Times New Roman" w:hAnsi="Times New Roman"/>
          <w:rtl w:val="0"/>
        </w:rPr>
        <w:t xml:space="preserve"> We calculate the client’s real monthly transactional run rate. Banks generally benchmark the loan amount against the client's AQB.</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Structuring &amp; Solution Selection</w:t>
      </w:r>
    </w:p>
    <w:p w:rsidR="00000000" w:rsidDel="00000000" w:rsidP="00000000" w:rsidRDefault="00000000" w:rsidRPr="00000000" w14:paraId="0000000E">
      <w:pPr>
        <w:numPr>
          <w:ilvl w:val="0"/>
          <w:numId w:val="6"/>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Traditional Unsecured vs. POS Financing: </w:t>
      </w:r>
      <w:r w:rsidDel="00000000" w:rsidR="00000000" w:rsidRPr="00000000">
        <w:rPr>
          <w:rFonts w:ascii="Times New Roman" w:cs="Times New Roman" w:eastAsia="Times New Roman" w:hAnsi="Times New Roman"/>
          <w:rtl w:val="0"/>
        </w:rPr>
        <w:t xml:space="preserve">If the client is in retail, F&amp;B, or e-commerce, we guide them toward POS/Payment Gateway Loans.</w:t>
      </w:r>
    </w:p>
    <w:p w:rsidR="00000000" w:rsidDel="00000000" w:rsidP="00000000" w:rsidRDefault="00000000" w:rsidRPr="00000000" w14:paraId="0000000F">
      <w:pPr>
        <w:numPr>
          <w:ilvl w:val="0"/>
          <w:numId w:val="6"/>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VAT Return Triangulation: </w:t>
      </w:r>
      <w:r w:rsidDel="00000000" w:rsidR="00000000" w:rsidRPr="00000000">
        <w:rPr>
          <w:rFonts w:ascii="Times New Roman" w:cs="Times New Roman" w:eastAsia="Times New Roman" w:hAnsi="Times New Roman"/>
          <w:rtl w:val="0"/>
        </w:rPr>
        <w:t xml:space="preserve">We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guide clients 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ensure that the revenues reflected on the bank statements match the Federal Tax Authority (FTA) VAT returns perfectly. There are systems in place to cross-verify VAT filings against statement inflows.</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Fast-Track Packaging &amp; Submission</w:t>
      </w:r>
    </w:p>
    <w:p w:rsidR="00000000" w:rsidDel="00000000" w:rsidP="00000000" w:rsidRDefault="00000000" w:rsidRPr="00000000" w14:paraId="00000013">
      <w:pPr>
        <w:numPr>
          <w:ilvl w:val="0"/>
          <w:numId w:val="1"/>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Document Standardization:</w:t>
      </w:r>
      <w:r w:rsidDel="00000000" w:rsidR="00000000" w:rsidRPr="00000000">
        <w:rPr>
          <w:rFonts w:ascii="Times New Roman" w:cs="Times New Roman" w:eastAsia="Times New Roman" w:hAnsi="Times New Roman"/>
          <w:rtl w:val="0"/>
        </w:rPr>
        <w:t xml:space="preserve"> We gather to verify the standard package required by Dubai retail underwriters: Valid Trade License, Ejari (commercial tenancy contract), Memorandum of Association (MOA), and 6–12 months of bank statements.</w:t>
      </w:r>
    </w:p>
    <w:p w:rsidR="00000000" w:rsidDel="00000000" w:rsidP="00000000" w:rsidRDefault="00000000" w:rsidRPr="00000000" w14:paraId="00000014">
      <w:pPr>
        <w:numPr>
          <w:ilvl w:val="0"/>
          <w:numId w:val="1"/>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Personal Guarantee (PG) Structuring: </w:t>
      </w:r>
      <w:r w:rsidDel="00000000" w:rsidR="00000000" w:rsidRPr="00000000">
        <w:rPr>
          <w:rFonts w:ascii="Times New Roman" w:cs="Times New Roman" w:eastAsia="Times New Roman" w:hAnsi="Times New Roman"/>
          <w:rtl w:val="0"/>
        </w:rPr>
        <w:t xml:space="preserve">We prepare the client for the mandatory signing of a Personal Guarantee and a security post-dated cheque (PDC) for the full loan value, a standard security mechanism in UAE retail banking as per service provider institutions, banking law and practice</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Approval &amp; Drawdown</w:t>
      </w:r>
    </w:p>
    <w:p w:rsidR="00000000" w:rsidDel="00000000" w:rsidP="00000000" w:rsidRDefault="00000000" w:rsidRPr="00000000" w14:paraId="00000016">
      <w:pPr>
        <w:numPr>
          <w:ilvl w:val="0"/>
          <w:numId w:val="3"/>
        </w:numPr>
        <w:spacing w:after="24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Turnaround Monitoring: </w:t>
      </w:r>
      <w:r w:rsidDel="00000000" w:rsidR="00000000" w:rsidRPr="00000000">
        <w:rPr>
          <w:rFonts w:ascii="Times New Roman" w:cs="Times New Roman" w:eastAsia="Times New Roman" w:hAnsi="Times New Roman"/>
          <w:rtl w:val="0"/>
        </w:rPr>
        <w:t xml:space="preserve">Retail business loans are designed to be fast. We monitor automated underwriting gates. Upon approval, we cross check the setup fees  and insurance fees before signing the offer letter.</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SME Loans (Medium &amp; Corporate Enterprises)</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Profile:</w:t>
      </w:r>
      <w:r w:rsidDel="00000000" w:rsidR="00000000" w:rsidRPr="00000000">
        <w:rPr>
          <w:rFonts w:ascii="Times New Roman" w:cs="Times New Roman" w:eastAsia="Times New Roman" w:hAnsi="Times New Roman"/>
          <w:rtl w:val="0"/>
        </w:rPr>
        <w:t xml:space="preserve"> Companies with an annual turnover between AED 20 Million to AED 250 Million (aligned with the latest CBUAE SME Customer Protection Regulations).</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Types: </w:t>
      </w:r>
      <w:r w:rsidDel="00000000" w:rsidR="00000000" w:rsidRPr="00000000">
        <w:rPr>
          <w:rFonts w:ascii="Times New Roman" w:cs="Times New Roman" w:eastAsia="Times New Roman" w:hAnsi="Times New Roman"/>
          <w:rtl w:val="0"/>
        </w:rPr>
        <w:t xml:space="preserve">Structured Trade Finance (Letter of Credit, Trust Receipts), Bank Guarantees, Overdrafts (OD), Asset/Equipment Financing, and Commercial Mortgages.</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Comprehensive Financial Diagnostics</w:t>
      </w:r>
    </w:p>
    <w:p w:rsidR="00000000" w:rsidDel="00000000" w:rsidP="00000000" w:rsidRDefault="00000000" w:rsidRPr="00000000" w14:paraId="00000030">
      <w:pPr>
        <w:numPr>
          <w:ilvl w:val="0"/>
          <w:numId w:val="2"/>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Audited Financials Reconciliation:</w:t>
      </w:r>
      <w:r w:rsidDel="00000000" w:rsidR="00000000" w:rsidRPr="00000000">
        <w:rPr>
          <w:rFonts w:ascii="Times New Roman" w:cs="Times New Roman" w:eastAsia="Times New Roman" w:hAnsi="Times New Roman"/>
          <w:rtl w:val="0"/>
        </w:rPr>
        <w:t xml:space="preserve"> SME Corporate loans cannot rely on bank statements alone. We need to collect 2 to 3 years of audited financials stamped by a UAE-registered auditor. Further, verification is required that key ratios meet UAE commercial banking credit parameters:</w:t>
      </w:r>
    </w:p>
    <w:p w:rsidR="00000000" w:rsidDel="00000000" w:rsidP="00000000" w:rsidRDefault="00000000" w:rsidRPr="00000000" w14:paraId="00000031">
      <w:pPr>
        <w:numPr>
          <w:ilvl w:val="1"/>
          <w:numId w:val="2"/>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Service Coverage Ratio (DSCR): Ideally &gt;1.25</w:t>
      </w:r>
    </w:p>
    <w:p w:rsidR="00000000" w:rsidDel="00000000" w:rsidP="00000000" w:rsidRDefault="00000000" w:rsidRPr="00000000" w14:paraId="00000032">
      <w:pPr>
        <w:numPr>
          <w:ilvl w:val="1"/>
          <w:numId w:val="2"/>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Ratio (Debt-to-Equity): Ideally &lt;3:1</w:t>
      </w:r>
    </w:p>
    <w:p w:rsidR="00000000" w:rsidDel="00000000" w:rsidP="00000000" w:rsidRDefault="00000000" w:rsidRPr="00000000" w14:paraId="00000033">
      <w:pPr>
        <w:numPr>
          <w:ilvl w:val="0"/>
          <w:numId w:val="2"/>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Anti-Money Laundering (AML) &amp; KYC Sanity Check:</w:t>
      </w:r>
      <w:r w:rsidDel="00000000" w:rsidR="00000000" w:rsidRPr="00000000">
        <w:rPr>
          <w:rFonts w:ascii="Times New Roman" w:cs="Times New Roman" w:eastAsia="Times New Roman" w:hAnsi="Times New Roman"/>
          <w:rtl w:val="0"/>
        </w:rPr>
        <w:t xml:space="preserve"> We ensure the Ultimate Beneficial Owners (UBOs) are clearly mapped. Verify that no corporate transactions originate from or link to sanctioned jurisdictions, ensuring complete alignment with CBUAE guideline.</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Credit Facility Architecture</w:t>
      </w:r>
    </w:p>
    <w:p w:rsidR="00000000" w:rsidDel="00000000" w:rsidP="00000000" w:rsidRDefault="00000000" w:rsidRPr="00000000" w14:paraId="00000035">
      <w:pPr>
        <w:numPr>
          <w:ilvl w:val="0"/>
          <w:numId w:val="5"/>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Facility Bundling (The "Toolkit" Approach):</w:t>
      </w:r>
      <w:r w:rsidDel="00000000" w:rsidR="00000000" w:rsidRPr="00000000">
        <w:rPr>
          <w:rFonts w:ascii="Times New Roman" w:cs="Times New Roman" w:eastAsia="Times New Roman" w:hAnsi="Times New Roman"/>
          <w:rtl w:val="0"/>
        </w:rPr>
        <w:t xml:space="preserve"> Rather than asking for a flat cash loan from institutes, we structure a mixed facility. For example, for an engineering or trading firm, package:</w:t>
      </w:r>
    </w:p>
    <w:p w:rsidR="00000000" w:rsidDel="00000000" w:rsidP="00000000" w:rsidRDefault="00000000" w:rsidRPr="00000000" w14:paraId="00000036">
      <w:pPr>
        <w:numPr>
          <w:ilvl w:val="1"/>
          <w:numId w:val="5"/>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Overdraft Line for local supplier payroll.</w:t>
      </w:r>
    </w:p>
    <w:p w:rsidR="00000000" w:rsidDel="00000000" w:rsidP="00000000" w:rsidRDefault="00000000" w:rsidRPr="00000000" w14:paraId="00000037">
      <w:pPr>
        <w:numPr>
          <w:ilvl w:val="1"/>
          <w:numId w:val="5"/>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Letters of Credit (LCs) for global sourcing.</w:t>
      </w:r>
    </w:p>
    <w:p w:rsidR="00000000" w:rsidDel="00000000" w:rsidP="00000000" w:rsidRDefault="00000000" w:rsidRPr="00000000" w14:paraId="00000038">
      <w:pPr>
        <w:numPr>
          <w:ilvl w:val="1"/>
          <w:numId w:val="5"/>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Receipts (TR) to bridge the 60-to-90 day clearing gap.</w:t>
      </w:r>
    </w:p>
    <w:p w:rsidR="00000000" w:rsidDel="00000000" w:rsidP="00000000" w:rsidRDefault="00000000" w:rsidRPr="00000000" w14:paraId="00000039">
      <w:pPr>
        <w:numPr>
          <w:ilvl w:val="0"/>
          <w:numId w:val="5"/>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Collateral &amp; Security Asset Mapping:</w:t>
      </w:r>
      <w:r w:rsidDel="00000000" w:rsidR="00000000" w:rsidRPr="00000000">
        <w:rPr>
          <w:rFonts w:ascii="Times New Roman" w:cs="Times New Roman" w:eastAsia="Times New Roman" w:hAnsi="Times New Roman"/>
          <w:rtl w:val="0"/>
        </w:rPr>
        <w:t xml:space="preserve"> We identify clean corporate assets to lower the borrowing rate. This includes a registered mortgage on industrial warehouses, factories, office units, or a lien over receivables (Invoice Factoring).</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Information Memorandum (IM) &amp; Risk Pitching</w:t>
      </w:r>
    </w:p>
    <w:p w:rsidR="00000000" w:rsidDel="00000000" w:rsidP="00000000" w:rsidRDefault="00000000" w:rsidRPr="00000000" w14:paraId="0000003B">
      <w:pPr>
        <w:numPr>
          <w:ilvl w:val="0"/>
          <w:numId w:val="4"/>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The IM Pitch Deck</w:t>
      </w:r>
      <w:r w:rsidDel="00000000" w:rsidR="00000000" w:rsidRPr="00000000">
        <w:rPr>
          <w:rFonts w:ascii="Times New Roman" w:cs="Times New Roman" w:eastAsia="Times New Roman" w:hAnsi="Times New Roman"/>
          <w:rtl w:val="0"/>
        </w:rPr>
        <w:t xml:space="preserve">: Unlike retail, corporate SME loans require a formal human underwriting committee review. We guide firm to write a comprehensive Information Memorandum detailing:</w:t>
      </w:r>
    </w:p>
    <w:p w:rsidR="00000000" w:rsidDel="00000000" w:rsidP="00000000" w:rsidRDefault="00000000" w:rsidRPr="00000000" w14:paraId="0000003C">
      <w:pPr>
        <w:numPr>
          <w:ilvl w:val="1"/>
          <w:numId w:val="4"/>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outlook in the UAE/GCC market.</w:t>
      </w:r>
    </w:p>
    <w:p w:rsidR="00000000" w:rsidDel="00000000" w:rsidP="00000000" w:rsidRDefault="00000000" w:rsidRPr="00000000" w14:paraId="0000003D">
      <w:pPr>
        <w:numPr>
          <w:ilvl w:val="1"/>
          <w:numId w:val="4"/>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Working capital cycle (Days Inventory Outstanding + Days Sales Outstanding − Days Payable Outstanding).</w:t>
      </w:r>
    </w:p>
    <w:p w:rsidR="00000000" w:rsidDel="00000000" w:rsidP="00000000" w:rsidRDefault="00000000" w:rsidRPr="00000000" w14:paraId="0000003E">
      <w:pPr>
        <w:numPr>
          <w:ilvl w:val="1"/>
          <w:numId w:val="4"/>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utilization plan for the requested facility.</w:t>
      </w:r>
    </w:p>
    <w:p w:rsidR="00000000" w:rsidDel="00000000" w:rsidP="00000000" w:rsidRDefault="00000000" w:rsidRPr="00000000" w14:paraId="0000003F">
      <w:pPr>
        <w:numPr>
          <w:ilvl w:val="1"/>
          <w:numId w:val="4"/>
        </w:numPr>
        <w:spacing w:after="240" w:before="0" w:beforeAutospacing="0" w:line="240" w:lineRule="auto"/>
        <w:ind w:left="1440" w:hanging="360"/>
        <w:jc w:val="both"/>
      </w:pPr>
      <w:r w:rsidDel="00000000" w:rsidR="00000000" w:rsidRPr="00000000">
        <w:rPr>
          <w:rFonts w:ascii="Times New Roman" w:cs="Times New Roman" w:eastAsia="Times New Roman" w:hAnsi="Times New Roman"/>
          <w:b w:val="1"/>
          <w:bCs w:val="1"/>
          <w:rtl w:val="0"/>
        </w:rPr>
        <w:t xml:space="preserve">SME Customer Protection Adherence:</w:t>
      </w:r>
      <w:r w:rsidDel="00000000" w:rsidR="00000000" w:rsidRPr="00000000">
        <w:rPr>
          <w:rFonts w:ascii="Times New Roman" w:cs="Times New Roman" w:eastAsia="Times New Roman" w:hAnsi="Times New Roman"/>
          <w:rtl w:val="0"/>
        </w:rPr>
        <w:t xml:space="preserve"> We ensure the engagement aligns with the CBUAE SME Customer Protection Regulation (Circular 2/2026). We guide the firm to confirm that the bank provides a clear, bilingual (Arabic/English) Key Facts Statement highlighting all transparent pricing, variable margin spreads over EIBOR, and covenants, while verifying that "tied-selling/bundling" of unrequested insurance products is avoided.</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Credit Committee Management &amp; Facility Letter (FL) Execution</w:t>
      </w:r>
    </w:p>
    <w:p w:rsidR="00000000" w:rsidDel="00000000" w:rsidP="00000000" w:rsidRDefault="00000000" w:rsidRPr="00000000" w14:paraId="00000042">
      <w:pPr>
        <w:numPr>
          <w:ilvl w:val="0"/>
          <w:numId w:val="7"/>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Lender RFP and Negotiation:</w:t>
      </w:r>
      <w:r w:rsidDel="00000000" w:rsidR="00000000" w:rsidRPr="00000000">
        <w:rPr>
          <w:rFonts w:ascii="Times New Roman" w:cs="Times New Roman" w:eastAsia="Times New Roman" w:hAnsi="Times New Roman"/>
          <w:rtl w:val="0"/>
        </w:rPr>
        <w:t xml:space="preserve"> Based on client’s consensual authority, we present the IM to multiple corporate desks to all major financial institutions to create a competitive bidding environment on the EIBOR margin spread.</w:t>
      </w:r>
    </w:p>
    <w:p w:rsidR="00000000" w:rsidDel="00000000" w:rsidP="00000000" w:rsidRDefault="00000000" w:rsidRPr="00000000" w14:paraId="00000043">
      <w:pPr>
        <w:numPr>
          <w:ilvl w:val="0"/>
          <w:numId w:val="7"/>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Covenant Management:</w:t>
      </w:r>
      <w:r w:rsidDel="00000000" w:rsidR="00000000" w:rsidRPr="00000000">
        <w:rPr>
          <w:rFonts w:ascii="Times New Roman" w:cs="Times New Roman" w:eastAsia="Times New Roman" w:hAnsi="Times New Roman"/>
          <w:rtl w:val="0"/>
        </w:rPr>
        <w:t xml:space="preserve"> We then review the Final Facility Letter carefully. Ensure that the financial covenants (e.g., maintaining a specific minimum turnover through the lending bank’s account) are realistic and will not trigger technical defaults for clients during seasonal lulls.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