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ofjcfuo31eqp" w:id="0"/>
      <w:bookmarkEnd w:id="0"/>
      <w:r w:rsidDel="00000000" w:rsidR="00000000" w:rsidRPr="00000000">
        <w:rPr>
          <w:rFonts w:ascii="Times New Roman" w:cs="Times New Roman" w:eastAsia="Times New Roman" w:hAnsi="Times New Roman"/>
          <w:b w:val="1"/>
          <w:bCs w:val="1"/>
          <w:color w:val="000000"/>
          <w:sz w:val="22"/>
          <w:szCs w:val="22"/>
          <w:rtl w:val="0"/>
        </w:rPr>
        <w:t xml:space="preserve">1. Auto Insurance </w:t>
      </w:r>
    </w:p>
    <w:p w:rsidR="00000000" w:rsidDel="00000000" w:rsidP="00000000" w:rsidRDefault="00000000" w:rsidRPr="00000000" w14:paraId="00000002">
      <w:pPr>
        <w:pStyle w:val="Heading3"/>
        <w:keepNext w:val="0"/>
        <w:keepLines w:val="0"/>
        <w:spacing w:before="280" w:line="240" w:lineRule="auto"/>
        <w:jc w:val="both"/>
        <w:rPr>
          <w:rFonts w:ascii="Times New Roman" w:cs="Times New Roman" w:eastAsia="Times New Roman" w:hAnsi="Times New Roman"/>
          <w:sz w:val="22"/>
          <w:szCs w:val="22"/>
        </w:rPr>
      </w:pPr>
      <w:bookmarkStart w:colFirst="0" w:colLast="0" w:name="_i5co3gkaghsd" w:id="1"/>
      <w:bookmarkEnd w:id="1"/>
      <w:r w:rsidDel="00000000" w:rsidR="00000000" w:rsidRPr="00000000">
        <w:rPr>
          <w:rFonts w:ascii="Times New Roman" w:cs="Times New Roman" w:eastAsia="Times New Roman" w:hAnsi="Times New Roman"/>
          <w:sz w:val="22"/>
          <w:szCs w:val="22"/>
          <w:rtl w:val="0"/>
        </w:rPr>
        <w:t xml:space="preserve">When purchasing a vehicle through a UAE bank loan, central bank guidelines dictate that comprehensive motor coverage must be maintained throughout the financing period. Standard banking protocol dictates that a </w:t>
      </w:r>
      <w:r w:rsidDel="00000000" w:rsidR="00000000" w:rsidRPr="00000000">
        <w:rPr>
          <w:rFonts w:ascii="Times New Roman" w:cs="Times New Roman" w:eastAsia="Times New Roman" w:hAnsi="Times New Roman"/>
          <w:b w:val="1"/>
          <w:bCs w:val="1"/>
          <w:sz w:val="22"/>
          <w:szCs w:val="22"/>
          <w:rtl w:val="0"/>
        </w:rPr>
        <w:t xml:space="preserve">"Loss Payee Clause"</w:t>
      </w:r>
      <w:r w:rsidDel="00000000" w:rsidR="00000000" w:rsidRPr="00000000">
        <w:rPr>
          <w:rFonts w:ascii="Times New Roman" w:cs="Times New Roman" w:eastAsia="Times New Roman" w:hAnsi="Times New Roman"/>
          <w:sz w:val="22"/>
          <w:szCs w:val="22"/>
          <w:rtl w:val="0"/>
        </w:rPr>
        <w:t xml:space="preserve"> be integrated into the policy. This designation establishes the lending bank as the primary beneficiary, ensuring that the remaining loan balance is settled directly with the institution in the event of a write-off or severe accident.</w:t>
      </w:r>
    </w:p>
    <w:p w:rsidR="00000000" w:rsidDel="00000000" w:rsidP="00000000" w:rsidRDefault="00000000" w:rsidRPr="00000000" w14:paraId="00000003">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a5m837u65ucj" w:id="2"/>
      <w:bookmarkEnd w:id="2"/>
      <w:r w:rsidDel="00000000" w:rsidR="00000000" w:rsidRPr="00000000">
        <w:rPr>
          <w:rFonts w:ascii="Times New Roman" w:cs="Times New Roman" w:eastAsia="Times New Roman" w:hAnsi="Times New Roman"/>
          <w:b w:val="1"/>
          <w:bCs w:val="1"/>
          <w:color w:val="000000"/>
          <w:sz w:val="22"/>
          <w:szCs w:val="22"/>
          <w:rtl w:val="0"/>
        </w:rPr>
        <w:t xml:space="preserve">2. Mortgage Insurance</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Securing a residential or commercial mortgage in the UAE requires mandatory property and fire insurance before final approval. In line with local banking frameworks, the financing institution must be registered as the </w:t>
      </w:r>
      <w:r w:rsidDel="00000000" w:rsidR="00000000" w:rsidRPr="00000000">
        <w:rPr>
          <w:rFonts w:ascii="Times New Roman" w:cs="Times New Roman" w:eastAsia="Times New Roman" w:hAnsi="Times New Roman"/>
          <w:b w:val="1"/>
          <w:bCs w:val="1"/>
          <w:rtl w:val="0"/>
        </w:rPr>
        <w:t xml:space="preserve">first loss payee</w:t>
      </w:r>
      <w:r w:rsidDel="00000000" w:rsidR="00000000" w:rsidRPr="00000000">
        <w:rPr>
          <w:rFonts w:ascii="Times New Roman" w:cs="Times New Roman" w:eastAsia="Times New Roman" w:hAnsi="Times New Roman"/>
          <w:rtl w:val="0"/>
        </w:rPr>
        <w:t xml:space="preserve"> on the policy. This framework safeguards the physical asset against risks like structural damage, fire, or natural disasters, protecting the bank's financial stake while shielding the owner from catastrophic property loss.</w:t>
      </w:r>
    </w:p>
    <w:p w:rsidR="00000000" w:rsidDel="00000000" w:rsidP="00000000" w:rsidRDefault="00000000" w:rsidRPr="00000000" w14:paraId="00000005">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z59qcafl9kme" w:id="3"/>
      <w:bookmarkEnd w:id="3"/>
      <w:r w:rsidDel="00000000" w:rsidR="00000000" w:rsidRPr="00000000">
        <w:rPr>
          <w:rFonts w:ascii="Times New Roman" w:cs="Times New Roman" w:eastAsia="Times New Roman" w:hAnsi="Times New Roman"/>
          <w:b w:val="1"/>
          <w:bCs w:val="1"/>
          <w:color w:val="000000"/>
          <w:sz w:val="22"/>
          <w:szCs w:val="22"/>
          <w:rtl w:val="0"/>
        </w:rPr>
        <w:t xml:space="preserve">3. Credit Life &amp; Loan Protection Insurance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categorized as </w:t>
      </w:r>
      <w:r w:rsidDel="00000000" w:rsidR="00000000" w:rsidRPr="00000000">
        <w:rPr>
          <w:rFonts w:ascii="Times New Roman" w:cs="Times New Roman" w:eastAsia="Times New Roman" w:hAnsi="Times New Roman"/>
          <w:b w:val="1"/>
          <w:bCs w:val="1"/>
          <w:rtl w:val="0"/>
        </w:rPr>
        <w:t xml:space="preserve">Debt Liability Insurance</w:t>
      </w:r>
      <w:r w:rsidDel="00000000" w:rsidR="00000000" w:rsidRPr="00000000">
        <w:rPr>
          <w:rFonts w:ascii="Times New Roman" w:cs="Times New Roman" w:eastAsia="Times New Roman" w:hAnsi="Times New Roman"/>
          <w:rtl w:val="0"/>
        </w:rPr>
        <w:t xml:space="preserve">, this policy serves as a financial safety net for both the borrower and the lender. Most UAE banks mandate this coverage during the issuance of credit cards, personal loans, or mortgages to cover unforeseen events such as involuntary job loss, permanent disability, or death. If triggered, the policy steps in to clear the remaining debt, ensuring outstanding financial burdens do not pass on to family members or the borrower's estate.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