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&amp; Machinery Finance</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Machinery Financing is treated as traditional Asset Backed Lending (ABL) relying on the equipment itself as collateral, Project Finance is structured as Limited-Recourse or Non-Recourse Financing, where the bank relies strictly on the future cash flows generated by the project.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Project Finance (Special Purpose Vehicles &amp; Infrastructure)</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Profile:</w:t>
      </w:r>
      <w:r w:rsidDel="00000000" w:rsidR="00000000" w:rsidRPr="00000000">
        <w:rPr>
          <w:rFonts w:ascii="Times New Roman" w:cs="Times New Roman" w:eastAsia="Times New Roman" w:hAnsi="Times New Roman"/>
          <w:rtl w:val="0"/>
        </w:rPr>
        <w:t xml:space="preserve"> Massive manufacturing setups, infrastructure developments, or large-scale real estate projects.</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UAE Concept: </w:t>
      </w:r>
      <w:r w:rsidDel="00000000" w:rsidR="00000000" w:rsidRPr="00000000">
        <w:rPr>
          <w:rFonts w:ascii="Times New Roman" w:cs="Times New Roman" w:eastAsia="Times New Roman" w:hAnsi="Times New Roman"/>
          <w:rtl w:val="0"/>
        </w:rPr>
        <w:t xml:space="preserve">The bank lends to a Special Purpose Vehicle (SPV) created solely for the project, isolating the parent company's balance sheet from risk.</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Feasibility Modeling &amp; Bankability Check</w:t>
      </w:r>
    </w:p>
    <w:p w:rsidR="00000000" w:rsidDel="00000000" w:rsidP="00000000" w:rsidRDefault="00000000" w:rsidRPr="00000000" w14:paraId="00000007">
      <w:pPr>
        <w:numPr>
          <w:ilvl w:val="0"/>
          <w:numId w:val="6"/>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The 3-Way Financial Model:</w:t>
      </w:r>
      <w:r w:rsidDel="00000000" w:rsidR="00000000" w:rsidRPr="00000000">
        <w:rPr>
          <w:rFonts w:ascii="Times New Roman" w:cs="Times New Roman" w:eastAsia="Times New Roman" w:hAnsi="Times New Roman"/>
          <w:rtl w:val="0"/>
        </w:rPr>
        <w:t xml:space="preserve"> We build a meticulous financial model mapping out the Project's Income Statement, Balance Sheet, and Free Cash Flow to Equity (FCFE). UAE underwriting committees require a minimum Debt Service Coverage Ratio (DSCR) of 1.30× to 1.50×.</w:t>
      </w:r>
    </w:p>
    <w:p w:rsidR="00000000" w:rsidDel="00000000" w:rsidP="00000000" w:rsidRDefault="00000000" w:rsidRPr="00000000" w14:paraId="00000008">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Off-Take Agreement Structuring:</w:t>
      </w:r>
      <w:r w:rsidDel="00000000" w:rsidR="00000000" w:rsidRPr="00000000">
        <w:rPr>
          <w:rFonts w:ascii="Times New Roman" w:cs="Times New Roman" w:eastAsia="Times New Roman" w:hAnsi="Times New Roman"/>
          <w:rtl w:val="0"/>
        </w:rPr>
        <w:t xml:space="preserve"> Banks in UAE rarely fund projects based on speculation. We help secure a binding Off-Take Agreement (a guarantee from an eligible buyer to purchase the project’s future output) to make the deal "bankable."</w:t>
      </w:r>
    </w:p>
    <w:p w:rsidR="00000000" w:rsidDel="00000000" w:rsidP="00000000" w:rsidRDefault="00000000" w:rsidRPr="00000000" w14:paraId="00000009">
      <w:pPr>
        <w:numPr>
          <w:ilvl w:val="0"/>
          <w:numId w:val="6"/>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Equity to Debt Structuring:</w:t>
      </w:r>
      <w:r w:rsidDel="00000000" w:rsidR="00000000" w:rsidRPr="00000000">
        <w:rPr>
          <w:rFonts w:ascii="Times New Roman" w:cs="Times New Roman" w:eastAsia="Times New Roman" w:hAnsi="Times New Roman"/>
          <w:rtl w:val="0"/>
        </w:rPr>
        <w:t xml:space="preserve"> We help and guide the client to ensure the sponsors have their equity portion ready.The bank mandates that the client's equity is injected and utilized before a single bank dirham is disbursed.</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Risk Allocation &amp; Legal Architecture</w:t>
      </w:r>
    </w:p>
    <w:p w:rsidR="00000000" w:rsidDel="00000000" w:rsidP="00000000" w:rsidRDefault="00000000" w:rsidRPr="00000000" w14:paraId="0000000B">
      <w:pPr>
        <w:numPr>
          <w:ilvl w:val="0"/>
          <w:numId w:val="3"/>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SPV &amp; Escrow Account Setup: </w:t>
      </w:r>
      <w:r w:rsidDel="00000000" w:rsidR="00000000" w:rsidRPr="00000000">
        <w:rPr>
          <w:rFonts w:ascii="Times New Roman" w:cs="Times New Roman" w:eastAsia="Times New Roman" w:hAnsi="Times New Roman"/>
          <w:rtl w:val="0"/>
        </w:rPr>
        <w:t xml:space="preserve">We guide the client to open a project-specific Escrow Account with an authorized Dubai bank. All project inflows and construction outflows must legally clear through this account.</w:t>
      </w:r>
    </w:p>
    <w:p w:rsidR="00000000" w:rsidDel="00000000" w:rsidP="00000000" w:rsidRDefault="00000000" w:rsidRPr="00000000" w14:paraId="0000000C">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Collateral &amp; Security Package Assembly:</w:t>
      </w:r>
      <w:r w:rsidDel="00000000" w:rsidR="00000000" w:rsidRPr="00000000">
        <w:rPr>
          <w:rFonts w:ascii="Times New Roman" w:cs="Times New Roman" w:eastAsia="Times New Roman" w:hAnsi="Times New Roman"/>
          <w:rtl w:val="0"/>
        </w:rPr>
        <w:t xml:space="preserve"> Unlike corporate loans, standard project finance utilizes a comprehensive security bundle under UAE law:</w:t>
      </w:r>
    </w:p>
    <w:p w:rsidR="00000000" w:rsidDel="00000000" w:rsidP="00000000" w:rsidRDefault="00000000" w:rsidRPr="00000000" w14:paraId="0000000D">
      <w:pPr>
        <w:numPr>
          <w:ilvl w:val="1"/>
          <w:numId w:val="3"/>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Mortgage over the project land/concession rights.</w:t>
      </w:r>
    </w:p>
    <w:p w:rsidR="00000000" w:rsidDel="00000000" w:rsidP="00000000" w:rsidRDefault="00000000" w:rsidRPr="00000000" w14:paraId="0000000E">
      <w:pPr>
        <w:numPr>
          <w:ilvl w:val="1"/>
          <w:numId w:val="3"/>
        </w:numPr>
        <w:spacing w:after="0" w:afterAutospacing="0" w:before="0" w:beforeAutospacing="0" w:line="240" w:lineRule="auto"/>
        <w:ind w:left="1440" w:hanging="360"/>
        <w:jc w:val="both"/>
      </w:pPr>
      <w:r w:rsidDel="00000000" w:rsidR="00000000" w:rsidRPr="00000000">
        <w:rPr>
          <w:rFonts w:ascii="Times New Roman" w:cs="Times New Roman" w:eastAsia="Times New Roman" w:hAnsi="Times New Roman"/>
          <w:b w:val="1"/>
          <w:bCs w:val="1"/>
          <w:rtl w:val="0"/>
        </w:rPr>
        <w:t xml:space="preserve">Assignment of Project Contracts:</w:t>
      </w:r>
      <w:r w:rsidDel="00000000" w:rsidR="00000000" w:rsidRPr="00000000">
        <w:rPr>
          <w:rFonts w:ascii="Times New Roman" w:cs="Times New Roman" w:eastAsia="Times New Roman" w:hAnsi="Times New Roman"/>
          <w:rtl w:val="0"/>
        </w:rPr>
        <w:t xml:space="preserve"> Legal assignment of the EPC (Engineering, Procurement, Construction) contract and insurance policies directly to the lender.</w:t>
      </w:r>
    </w:p>
    <w:p w:rsidR="00000000" w:rsidDel="00000000" w:rsidP="00000000" w:rsidRDefault="00000000" w:rsidRPr="00000000" w14:paraId="0000000F">
      <w:pPr>
        <w:numPr>
          <w:ilvl w:val="1"/>
          <w:numId w:val="3"/>
        </w:numPr>
        <w:spacing w:after="240" w:before="0" w:beforeAutospacing="0" w:line="240" w:lineRule="auto"/>
        <w:ind w:left="1440" w:hanging="360"/>
        <w:jc w:val="both"/>
      </w:pPr>
      <w:r w:rsidDel="00000000" w:rsidR="00000000" w:rsidRPr="00000000">
        <w:rPr>
          <w:rFonts w:ascii="Times New Roman" w:cs="Times New Roman" w:eastAsia="Times New Roman" w:hAnsi="Times New Roman"/>
          <w:b w:val="1"/>
          <w:bCs w:val="1"/>
          <w:rtl w:val="0"/>
        </w:rPr>
        <w:t xml:space="preserve">Share Pledge:</w:t>
      </w:r>
      <w:r w:rsidDel="00000000" w:rsidR="00000000" w:rsidRPr="00000000">
        <w:rPr>
          <w:rFonts w:ascii="Times New Roman" w:cs="Times New Roman" w:eastAsia="Times New Roman" w:hAnsi="Times New Roman"/>
          <w:rtl w:val="0"/>
        </w:rPr>
        <w:t xml:space="preserve"> A registered pledge over the shares of the SPV with the relevant authority (e.g., DED or DIFC).</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Due Diligence &amp; Bank Consortium Syndication</w:t>
      </w:r>
    </w:p>
    <w:p w:rsidR="00000000" w:rsidDel="00000000" w:rsidP="00000000" w:rsidRDefault="00000000" w:rsidRPr="00000000" w14:paraId="00000011">
      <w:pPr>
        <w:numPr>
          <w:ilvl w:val="0"/>
          <w:numId w:val="4"/>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Independent Engineers/Valuers: </w:t>
      </w:r>
      <w:r w:rsidDel="00000000" w:rsidR="00000000" w:rsidRPr="00000000">
        <w:rPr>
          <w:rFonts w:ascii="Times New Roman" w:cs="Times New Roman" w:eastAsia="Times New Roman" w:hAnsi="Times New Roman"/>
          <w:rtl w:val="0"/>
        </w:rPr>
        <w:t xml:space="preserve">UAE banks appoints an external Technical Advisor (such as a certified engineering firm) at the client's expense to vet the construction timelines and cost estimates.(Subject to banking law and practice of UAE)</w:t>
      </w:r>
    </w:p>
    <w:p w:rsidR="00000000" w:rsidDel="00000000" w:rsidP="00000000" w:rsidRDefault="00000000" w:rsidRPr="00000000" w14:paraId="00000012">
      <w:pPr>
        <w:numPr>
          <w:ilvl w:val="0"/>
          <w:numId w:val="4"/>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Information Memorandum (IM) Pitching: </w:t>
      </w:r>
      <w:r w:rsidDel="00000000" w:rsidR="00000000" w:rsidRPr="00000000">
        <w:rPr>
          <w:rFonts w:ascii="Times New Roman" w:cs="Times New Roman" w:eastAsia="Times New Roman" w:hAnsi="Times New Roman"/>
          <w:rtl w:val="0"/>
        </w:rPr>
        <w:t xml:space="preserve">For projects exceeding AED 100 Million, we guide firms to pitch the IM to a consortium of local banks to arrange a Syndicated Loan Facility, mitigating single-bank risk exposure.(Subject to banking law and practice of UAE)</w:t>
      </w:r>
    </w:p>
    <w:p w:rsidR="00000000" w:rsidDel="00000000" w:rsidP="00000000" w:rsidRDefault="00000000" w:rsidRPr="00000000" w14:paraId="00000013">
      <w:pPr>
        <w:spacing w:after="240" w:before="24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Tranche Disbursal &amp; Drawdown Management</w:t>
      </w:r>
    </w:p>
    <w:p w:rsidR="00000000" w:rsidDel="00000000" w:rsidP="00000000" w:rsidRDefault="00000000" w:rsidRPr="00000000" w14:paraId="00000015">
      <w:pPr>
        <w:numPr>
          <w:ilvl w:val="0"/>
          <w:numId w:val="2"/>
        </w:numPr>
        <w:spacing w:after="24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Progress-Based Milestone Releases: Funds are not released in a lump sum. Based on the client's consensual authority, we coordinate with the bank's project monitors to release funding in tranches based on audited, certified construction milestones.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Machinery &amp; Heavy Equipment Finance</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Profile:</w:t>
      </w:r>
      <w:r w:rsidDel="00000000" w:rsidR="00000000" w:rsidRPr="00000000">
        <w:rPr>
          <w:rFonts w:ascii="Times New Roman" w:cs="Times New Roman" w:eastAsia="Times New Roman" w:hAnsi="Times New Roman"/>
          <w:rtl w:val="0"/>
        </w:rPr>
        <w:t xml:space="preserve"> Construction, logistics, healthcare, and industrial manufacturing firms acquiring yellow goods, production lines, or medical tech.</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Dubai Concept: </w:t>
      </w:r>
      <w:r w:rsidDel="00000000" w:rsidR="00000000" w:rsidRPr="00000000">
        <w:rPr>
          <w:rFonts w:ascii="Times New Roman" w:cs="Times New Roman" w:eastAsia="Times New Roman" w:hAnsi="Times New Roman"/>
          <w:rtl w:val="0"/>
        </w:rPr>
        <w:t xml:space="preserve">This is an Asset-Backed Loan (ABL) or Islamic Lease-to-Own (Ijara) where the asset itself represents the main security.</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Procurement &amp; Asset Verification</w:t>
      </w:r>
    </w:p>
    <w:p w:rsidR="00000000" w:rsidDel="00000000" w:rsidP="00000000" w:rsidRDefault="00000000" w:rsidRPr="00000000" w14:paraId="00000031">
      <w:pPr>
        <w:numPr>
          <w:ilvl w:val="0"/>
          <w:numId w:val="7"/>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Approved Dealer Validation:</w:t>
      </w:r>
      <w:r w:rsidDel="00000000" w:rsidR="00000000" w:rsidRPr="00000000">
        <w:rPr>
          <w:rFonts w:ascii="Times New Roman" w:cs="Times New Roman" w:eastAsia="Times New Roman" w:hAnsi="Times New Roman"/>
          <w:rtl w:val="0"/>
        </w:rPr>
        <w:t xml:space="preserve"> UAE banks maintain strict "Approved Supplier/Manufacturer Lists." We ensure the machinery vendor is on the selected bank's pre-approved panel. Buying from unlisted overseas suppliers requires Letter of Credit (LC) structuring.</w:t>
      </w:r>
    </w:p>
    <w:p w:rsidR="00000000" w:rsidDel="00000000" w:rsidP="00000000" w:rsidRDefault="00000000" w:rsidRPr="00000000" w14:paraId="00000032">
      <w:pPr>
        <w:numPr>
          <w:ilvl w:val="0"/>
          <w:numId w:val="7"/>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Down Payment &amp; Loan-to-Value (LTV) Optimization: </w:t>
      </w:r>
      <w:r w:rsidDel="00000000" w:rsidR="00000000" w:rsidRPr="00000000">
        <w:rPr>
          <w:rFonts w:ascii="Times New Roman" w:cs="Times New Roman" w:eastAsia="Times New Roman" w:hAnsi="Times New Roman"/>
          <w:rtl w:val="0"/>
        </w:rPr>
        <w:t xml:space="preserve">We budget the mandatory equity down payment. UAE asset-backed structures generally provide an LTV of 75% to 90%.</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Registry &amp; Legal Compliance</w:t>
      </w:r>
    </w:p>
    <w:p w:rsidR="00000000" w:rsidDel="00000000" w:rsidP="00000000" w:rsidRDefault="00000000" w:rsidRPr="00000000" w14:paraId="00000034">
      <w:pPr>
        <w:numPr>
          <w:ilvl w:val="0"/>
          <w:numId w:val="1"/>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EIRC (Emirates Integrated Registries Company) Check: </w:t>
      </w:r>
      <w:r w:rsidDel="00000000" w:rsidR="00000000" w:rsidRPr="00000000">
        <w:rPr>
          <w:rFonts w:ascii="Times New Roman" w:cs="Times New Roman" w:eastAsia="Times New Roman" w:hAnsi="Times New Roman"/>
          <w:rtl w:val="0"/>
        </w:rPr>
        <w:t xml:space="preserve">We conduct an asset title search. The bank generally register a possessory pledge/hypothecation over the movable machinery on the EIRC registry to prevent the client from selling or re-pledging the machine during the loan tenure.</w:t>
      </w:r>
    </w:p>
    <w:p w:rsidR="00000000" w:rsidDel="00000000" w:rsidP="00000000" w:rsidRDefault="00000000" w:rsidRPr="00000000" w14:paraId="00000035">
      <w:pPr>
        <w:numPr>
          <w:ilvl w:val="0"/>
          <w:numId w:val="1"/>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Tenure Matching: </w:t>
      </w:r>
      <w:r w:rsidDel="00000000" w:rsidR="00000000" w:rsidRPr="00000000">
        <w:rPr>
          <w:rFonts w:ascii="Times New Roman" w:cs="Times New Roman" w:eastAsia="Times New Roman" w:hAnsi="Times New Roman"/>
          <w:rtl w:val="0"/>
        </w:rPr>
        <w:t xml:space="preserve">We help clients to structure the amortization schedule relative to the useful life of the asset. UAE banks cap machinery financing at 4 to 7 years, ensuring the loan does not outlast the physical depreciation of the asset.</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Credit Underwriting &amp; Insurance Packaging</w:t>
      </w:r>
    </w:p>
    <w:p w:rsidR="00000000" w:rsidDel="00000000" w:rsidP="00000000" w:rsidRDefault="00000000" w:rsidRPr="00000000" w14:paraId="00000037">
      <w:pPr>
        <w:numPr>
          <w:ilvl w:val="0"/>
          <w:numId w:val="5"/>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Cash Flow Triangulation:</w:t>
      </w:r>
      <w:r w:rsidDel="00000000" w:rsidR="00000000" w:rsidRPr="00000000">
        <w:rPr>
          <w:rFonts w:ascii="Times New Roman" w:cs="Times New Roman" w:eastAsia="Times New Roman" w:hAnsi="Times New Roman"/>
          <w:rtl w:val="0"/>
        </w:rPr>
        <w:t xml:space="preserve"> Even though the loan is secured by the asset, the bank requires proof that the machinery will generate immediate revenue. Present contracts or pipeline projects that require this specific machinery.</w:t>
      </w:r>
    </w:p>
    <w:p w:rsidR="00000000" w:rsidDel="00000000" w:rsidP="00000000" w:rsidRDefault="00000000" w:rsidRPr="00000000" w14:paraId="00000038">
      <w:pPr>
        <w:numPr>
          <w:ilvl w:val="0"/>
          <w:numId w:val="5"/>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Mandatory Comprehensive Asset Insurance:</w:t>
      </w:r>
      <w:r w:rsidDel="00000000" w:rsidR="00000000" w:rsidRPr="00000000">
        <w:rPr>
          <w:rFonts w:ascii="Times New Roman" w:cs="Times New Roman" w:eastAsia="Times New Roman" w:hAnsi="Times New Roman"/>
          <w:rtl w:val="0"/>
        </w:rPr>
        <w:t xml:space="preserve"> We assist in packaging a specialized asset insurance policy with the bank listed as the Sole Loss Payee. The policy must cover operational damage, theft, and third-party liabilities common to Dubai industrial zones.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Disbursement &amp; Delivery Order</w:t>
      </w:r>
    </w:p>
    <w:p w:rsidR="00000000" w:rsidDel="00000000" w:rsidP="00000000" w:rsidRDefault="00000000" w:rsidRPr="00000000" w14:paraId="0000003A">
      <w:pPr>
        <w:numPr>
          <w:ilvl w:val="0"/>
          <w:numId w:val="8"/>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Direct-to-Dealer Payout:</w:t>
      </w:r>
      <w:r w:rsidDel="00000000" w:rsidR="00000000" w:rsidRPr="00000000">
        <w:rPr>
          <w:rFonts w:ascii="Times New Roman" w:cs="Times New Roman" w:eastAsia="Times New Roman" w:hAnsi="Times New Roman"/>
          <w:rtl w:val="0"/>
        </w:rPr>
        <w:t xml:space="preserve"> Upon approval of the Facility Letter, the bank cuts a manager’s cheque or processes a direct swift transfer directly to the machinery dealer, never to the client’s operational account.</w:t>
      </w:r>
    </w:p>
    <w:p w:rsidR="00000000" w:rsidDel="00000000" w:rsidP="00000000" w:rsidRDefault="00000000" w:rsidRPr="00000000" w14:paraId="0000003B">
      <w:pPr>
        <w:numPr>
          <w:ilvl w:val="0"/>
          <w:numId w:val="8"/>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Delivery &amp; Asset Inspection: </w:t>
      </w:r>
      <w:r w:rsidDel="00000000" w:rsidR="00000000" w:rsidRPr="00000000">
        <w:rPr>
          <w:rFonts w:ascii="Times New Roman" w:cs="Times New Roman" w:eastAsia="Times New Roman" w:hAnsi="Times New Roman"/>
          <w:rtl w:val="0"/>
        </w:rPr>
        <w:t xml:space="preserve">We guide clients to Coordinate the delivery of the machine, ensuring the bank’s asset management team physically inspects and tags the serial number of the asset to finalize the activation of the loan.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