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60"/>
        <w:jc w:val="center"/>
      </w:pPr>
      <w:r>
        <w:rPr>
          <w:rFonts w:ascii="Times New Roman" w:cs="Times New Roman" w:eastAsia="Times New Roman" w:hAnsi="Times New Roman"/>
          <w:b/>
          <w:bCs/>
          <w:sz w:val="34"/>
          <w:szCs w:val="34"/>
        </w:rPr>
        <w:t xml:space="preserve">Advanced Hyperspectral Image Analysis in Precision Agriculture</w:t>
      </w:r>
    </w:p>
    <w:p>
      <w:pPr>
        <w:spacing w:after="60" w:before="60"/>
        <w:jc w:val="center"/>
      </w:pPr>
      <w:r>
        <w:rPr>
          <w:rFonts w:ascii="Times New Roman" w:cs="Times New Roman" w:eastAsia="Times New Roman" w:hAnsi="Times New Roman"/>
          <w:b/>
          <w:bCs/>
          <w:sz w:val="34"/>
          <w:szCs w:val="34"/>
        </w:rPr>
        <w:t xml:space="preserve">and Land Cover Mapping through Optimized</w:t>
      </w:r>
    </w:p>
    <w:p>
      <w:pPr>
        <w:spacing w:after="60" w:before="60"/>
        <w:jc w:val="center"/>
      </w:pPr>
      <w:r>
        <w:rPr>
          <w:rFonts w:ascii="Times New Roman" w:cs="Times New Roman" w:eastAsia="Times New Roman" w:hAnsi="Times New Roman"/>
          <w:b/>
          <w:bCs/>
          <w:sz w:val="34"/>
          <w:szCs w:val="34"/>
        </w:rPr>
        <w:t xml:space="preserve">Self-Modulating Convolutional Neural Networks (HIA-PAL-SMCNN)</w:t>
      </w:r>
    </w:p>
    <w:p>
      <w:pPr>
        <w:spacing w:after="60" w:before="0"/>
      </w:pPr>
      <w:r>
        <w:t xml:space="preserve"/>
      </w:r>
    </w:p>
    <w:p>
      <w:pPr>
        <w:spacing w:after="60" w:before="0"/>
      </w:pPr>
      <w:r>
        <w:t xml:space="preserve"/>
      </w:r>
    </w:p>
    <w:p>
      <w:pPr>
        <w:spacing w:after="60" w:before="60"/>
        <w:jc w:val="center"/>
      </w:pPr>
      <w:r>
        <w:rPr>
          <w:rFonts w:ascii="Times New Roman" w:cs="Times New Roman" w:eastAsia="Times New Roman" w:hAnsi="Times New Roman"/>
          <w:sz w:val="24"/>
          <w:szCs w:val="24"/>
        </w:rPr>
        <w:t xml:space="preserve">Swati Hira, Dev Guruvanshi</w:t>
      </w:r>
    </w:p>
    <w:p>
      <w:pPr>
        <w:spacing w:after="60" w:before="0"/>
      </w:pPr>
      <w:r>
        <w:t xml:space="preserve"/>
      </w:r>
    </w:p>
    <w:p>
      <w:pPr>
        <w:spacing w:after="60" w:before="60"/>
        <w:jc w:val="center"/>
      </w:pPr>
      <w:r>
        <w:rPr>
          <w:rFonts w:ascii="Times New Roman" w:cs="Times New Roman" w:eastAsia="Times New Roman" w:hAnsi="Times New Roman"/>
          <w:i/>
          <w:iCs/>
          <w:sz w:val="20"/>
          <w:szCs w:val="20"/>
        </w:rPr>
        <w:t xml:space="preserve">Department of Computer Science and Engineering</w:t>
      </w:r>
    </w:p>
    <w:p>
      <w:pPr>
        <w:spacing w:after="60" w:before="0"/>
      </w:pPr>
      <w:r>
        <w:t xml:space="preserve"/>
      </w:r>
    </w:p>
    <w:p>
      <w:pPr>
        <w:spacing w:after="60" w:before="0"/>
      </w:pPr>
      <w:r>
        <w:t xml:space="preserve"/>
      </w:r>
    </w:p>
    <w:p>
      <w:pPr>
        <w:spacing w:after="60" w:before="60"/>
        <w:jc w:val="center"/>
      </w:pPr>
      <w:r>
        <w:rPr>
          <w:rFonts w:ascii="Times New Roman" w:cs="Times New Roman" w:eastAsia="Times New Roman" w:hAnsi="Times New Roman"/>
          <w:i/>
          <w:iCs/>
          <w:sz w:val="20"/>
          <w:szCs w:val="20"/>
        </w:rPr>
        <w:t xml:space="preserve">Manuscript prepared for IEEE Transactions on Geoscience and Remote Sensing</w:t>
      </w:r>
    </w:p>
    <w:p>
      <w:pPr>
        <w:spacing w:after="60" w:before="60"/>
        <w:jc w:val="center"/>
      </w:pPr>
      <w:r>
        <w:rPr>
          <w:rFonts w:ascii="Times New Roman" w:cs="Times New Roman" w:eastAsia="Times New Roman" w:hAnsi="Times New Roman"/>
          <w:b/>
          <w:bCs/>
          <w:sz w:val="22"/>
          <w:szCs w:val="22"/>
        </w:rPr>
        <w:t xml:space="preserve">2026</w:t>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pStyle w:val="Heading1"/>
        <w:spacing w:after="160" w:before="400"/>
        <w:jc w:val="left"/>
      </w:pPr>
      <w:r>
        <w:rPr>
          <w:rFonts w:ascii="Times New Roman" w:cs="Times New Roman" w:eastAsia="Times New Roman" w:hAnsi="Times New Roman"/>
          <w:b/>
          <w:bCs/>
          <w:color w:val="1a1a1a"/>
          <w:sz w:val="28"/>
          <w:szCs w:val="28"/>
        </w:rPr>
        <w:t xml:space="preserve">Abstract</w:t>
      </w:r>
    </w:p>
    <w:p>
      <w:pPr>
        <w:spacing w:after="140" w:before="0" w:line="340"/>
        <w:jc w:val="both"/>
      </w:pPr>
      <w:r>
        <w:rPr>
          <w:rFonts w:ascii="Times New Roman" w:cs="Times New Roman" w:eastAsia="Times New Roman" w:hAnsi="Times New Roman"/>
          <w:b/>
          <w:bCs/>
          <w:sz w:val="22"/>
          <w:szCs w:val="22"/>
        </w:rPr>
        <w:t xml:space="preserve">Draft</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Hyperspectral image (HSI) classification is fundamental to precision agriculture and land cover mapping, yet conventional convolutional neural networks (CNNs) apply static learned filters uniformly across all spectral-spatial inputs, ignoring the significant variation in spectral signatures across diverse land cover types. We introduce the </w:t>
      </w:r>
      <w:r>
        <w:rPr>
          <w:rFonts w:ascii="Times New Roman" w:cs="Times New Roman" w:eastAsia="Times New Roman" w:hAnsi="Times New Roman"/>
          <w:b/>
          <w:bCs/>
          <w:sz w:val="22"/>
          <w:szCs w:val="22"/>
        </w:rPr>
        <w:t xml:space="preserve">Self-Modulating Convolutional Neural Network (SMCNN)</w:t>
      </w:r>
      <w:r>
        <w:rPr>
          <w:rFonts w:ascii="Times New Roman" w:cs="Times New Roman" w:eastAsia="Times New Roman" w:hAnsi="Times New Roman"/>
          <w:sz w:val="22"/>
          <w:szCs w:val="22"/>
        </w:rPr>
        <w:t xml:space="preserve">, which incorporates </w:t>
      </w:r>
      <w:r>
        <w:rPr>
          <w:rFonts w:ascii="Times New Roman" w:cs="Times New Roman" w:eastAsia="Times New Roman" w:hAnsi="Times New Roman"/>
          <w:b/>
          <w:bCs/>
          <w:sz w:val="22"/>
          <w:szCs w:val="22"/>
        </w:rPr>
        <w:t xml:space="preserve">Spectral Self-Modulating Residual Blocks (SSMRB)</w:t>
      </w:r>
      <w:r>
        <w:rPr>
          <w:rFonts w:ascii="Times New Roman" w:cs="Times New Roman" w:eastAsia="Times New Roman" w:hAnsi="Times New Roman"/>
          <w:sz w:val="22"/>
          <w:szCs w:val="22"/>
        </w:rPr>
        <w:t xml:space="preserve"> — a data-dependent channel-wise affine modulation mechanism that dynamically adjusts convolutional feature responses based on the input's global spectral context. Unlike standard squeeze-and-excitation, SSMRB generates both scaling (γ) and shifting (β) parameters, enabling richer feature recalibration.</w:t>
      </w:r>
    </w:p>
    <w:p>
      <w:pPr>
        <w:spacing w:after="140" w:before="0" w:line="340"/>
        <w:jc w:val="both"/>
      </w:pPr>
      <w:r>
        <w:rPr>
          <w:rFonts w:ascii="Times New Roman" w:cs="Times New Roman" w:eastAsia="Times New Roman" w:hAnsi="Times New Roman"/>
          <w:sz w:val="22"/>
          <w:szCs w:val="22"/>
        </w:rPr>
        <w:t xml:space="preserve">Our complete pipeline integrates: (i) </w:t>
      </w:r>
      <w:r>
        <w:rPr>
          <w:rFonts w:ascii="Times New Roman" w:cs="Times New Roman" w:eastAsia="Times New Roman" w:hAnsi="Times New Roman"/>
          <w:b/>
          <w:bCs/>
          <w:sz w:val="22"/>
          <w:szCs w:val="22"/>
        </w:rPr>
        <w:t xml:space="preserve">Adaptive Fast Desensitized Kalman Filter (AFDKF)</w:t>
      </w:r>
      <w:r>
        <w:rPr>
          <w:rFonts w:ascii="Times New Roman" w:cs="Times New Roman" w:eastAsia="Times New Roman" w:hAnsi="Times New Roman"/>
          <w:sz w:val="22"/>
          <w:szCs w:val="22"/>
        </w:rPr>
        <w:t xml:space="preserve"> for noise-robust spectral denoising, (ii) </w:t>
      </w:r>
      <w:r>
        <w:rPr>
          <w:rFonts w:ascii="Times New Roman" w:cs="Times New Roman" w:eastAsia="Times New Roman" w:hAnsi="Times New Roman"/>
          <w:b/>
          <w:bCs/>
          <w:sz w:val="22"/>
          <w:szCs w:val="22"/>
        </w:rPr>
        <w:t xml:space="preserve">Polar Linear Canonical Wavelet Transform (PLCWT)</w:t>
      </w:r>
      <w:r>
        <w:rPr>
          <w:rFonts w:ascii="Times New Roman" w:cs="Times New Roman" w:eastAsia="Times New Roman" w:hAnsi="Times New Roman"/>
          <w:sz w:val="22"/>
          <w:szCs w:val="22"/>
        </w:rPr>
        <w:t xml:space="preserve"> for multi-scale spectral feature augmentation, (iii) the </w:t>
      </w:r>
      <w:r>
        <w:rPr>
          <w:rFonts w:ascii="Times New Roman" w:cs="Times New Roman" w:eastAsia="Times New Roman" w:hAnsi="Times New Roman"/>
          <w:b/>
          <w:bCs/>
          <w:sz w:val="22"/>
          <w:szCs w:val="22"/>
        </w:rPr>
        <w:t xml:space="preserve">SMCNN</w:t>
      </w:r>
      <w:r>
        <w:rPr>
          <w:rFonts w:ascii="Times New Roman" w:cs="Times New Roman" w:eastAsia="Times New Roman" w:hAnsi="Times New Roman"/>
          <w:sz w:val="22"/>
          <w:szCs w:val="22"/>
        </w:rPr>
        <w:t xml:space="preserve"> classifier with SSMRB, and (iv) </w:t>
      </w:r>
      <w:r>
        <w:rPr>
          <w:rFonts w:ascii="Times New Roman" w:cs="Times New Roman" w:eastAsia="Times New Roman" w:hAnsi="Times New Roman"/>
          <w:b/>
          <w:bCs/>
          <w:sz w:val="22"/>
          <w:szCs w:val="22"/>
        </w:rPr>
        <w:t xml:space="preserve">Superb Fairy-Wren Optimization Algorithm (SFWOA)</w:t>
      </w:r>
      <w:r>
        <w:rPr>
          <w:rFonts w:ascii="Times New Roman" w:cs="Times New Roman" w:eastAsia="Times New Roman" w:hAnsi="Times New Roman"/>
          <w:sz w:val="22"/>
          <w:szCs w:val="22"/>
        </w:rPr>
        <w:t xml:space="preserve"> for adaptive learning rate scheduling with Lévy-flight plateau escape.</w:t>
      </w:r>
    </w:p>
    <w:p>
      <w:pPr>
        <w:spacing w:after="140" w:before="0" w:line="340"/>
        <w:jc w:val="both"/>
      </w:pPr>
      <w:r>
        <w:rPr>
          <w:rFonts w:ascii="Times New Roman" w:cs="Times New Roman" w:eastAsia="Times New Roman" w:hAnsi="Times New Roman"/>
          <w:sz w:val="22"/>
          <w:szCs w:val="22"/>
        </w:rPr>
        <w:t xml:space="preserve">We evaluate on </w:t>
      </w:r>
      <w:r>
        <w:rPr>
          <w:rFonts w:ascii="Times New Roman" w:cs="Times New Roman" w:eastAsia="Times New Roman" w:hAnsi="Times New Roman"/>
          <w:b/>
          <w:bCs/>
          <w:sz w:val="22"/>
          <w:szCs w:val="22"/>
        </w:rPr>
        <w:t xml:space="preserve">five benchmark HSI datasets</w:t>
      </w:r>
      <w:r>
        <w:rPr>
          <w:rFonts w:ascii="Times New Roman" w:cs="Times New Roman" w:eastAsia="Times New Roman" w:hAnsi="Times New Roman"/>
          <w:sz w:val="22"/>
          <w:szCs w:val="22"/>
        </w:rPr>
        <w:t xml:space="preserve"> — Indian Pines, Pavia University, Botswana, Kennedy Space Center, and WHU-Hi HanChuan — achieving state-of-the-art results: </w:t>
      </w:r>
      <w:r>
        <w:rPr>
          <w:rFonts w:ascii="Times New Roman" w:cs="Times New Roman" w:eastAsia="Times New Roman" w:hAnsi="Times New Roman"/>
          <w:b/>
          <w:bCs/>
          <w:sz w:val="22"/>
          <w:szCs w:val="22"/>
        </w:rPr>
        <w:t xml:space="preserve">99.08 ± 0.27% OA</w:t>
      </w:r>
      <w:r>
        <w:rPr>
          <w:rFonts w:ascii="Times New Roman" w:cs="Times New Roman" w:eastAsia="Times New Roman" w:hAnsi="Times New Roman"/>
          <w:sz w:val="22"/>
          <w:szCs w:val="22"/>
        </w:rPr>
        <w:t xml:space="preserve"> on Indian Pines (95% CI: [98.41, 99.74]), </w:t>
      </w:r>
      <w:r>
        <w:rPr>
          <w:rFonts w:ascii="Times New Roman" w:cs="Times New Roman" w:eastAsia="Times New Roman" w:hAnsi="Times New Roman"/>
          <w:b/>
          <w:bCs/>
          <w:sz w:val="22"/>
          <w:szCs w:val="22"/>
        </w:rPr>
        <w:t xml:space="preserve">99.88 ± 0.06% OA</w:t>
      </w:r>
      <w:r>
        <w:rPr>
          <w:rFonts w:ascii="Times New Roman" w:cs="Times New Roman" w:eastAsia="Times New Roman" w:hAnsi="Times New Roman"/>
          <w:sz w:val="22"/>
          <w:szCs w:val="22"/>
        </w:rPr>
        <w:t xml:space="preserve"> on Pavia University, </w:t>
      </w:r>
      <w:r>
        <w:rPr>
          <w:rFonts w:ascii="Times New Roman" w:cs="Times New Roman" w:eastAsia="Times New Roman" w:hAnsi="Times New Roman"/>
          <w:b/>
          <w:bCs/>
          <w:sz w:val="22"/>
          <w:szCs w:val="22"/>
        </w:rPr>
        <w:t xml:space="preserve">99.94 ± 0.10% OA</w:t>
      </w:r>
      <w:r>
        <w:rPr>
          <w:rFonts w:ascii="Times New Roman" w:cs="Times New Roman" w:eastAsia="Times New Roman" w:hAnsi="Times New Roman"/>
          <w:sz w:val="22"/>
          <w:szCs w:val="22"/>
        </w:rPr>
        <w:t xml:space="preserve"> on Botswana, and </w:t>
      </w:r>
      <w:r>
        <w:rPr>
          <w:rFonts w:ascii="Times New Roman" w:cs="Times New Roman" w:eastAsia="Times New Roman" w:hAnsi="Times New Roman"/>
          <w:b/>
          <w:bCs/>
          <w:sz w:val="22"/>
          <w:szCs w:val="22"/>
        </w:rPr>
        <w:t xml:space="preserve">99.93 ± 0.02% OA</w:t>
      </w:r>
      <w:r>
        <w:rPr>
          <w:rFonts w:ascii="Times New Roman" w:cs="Times New Roman" w:eastAsia="Times New Roman" w:hAnsi="Times New Roman"/>
          <w:sz w:val="22"/>
          <w:szCs w:val="22"/>
        </w:rPr>
        <w:t xml:space="preserve"> on WHU-Hi. SMCNN outperforms both CNN baselines (2D-CNN, 3D-CNN, HybridSN) and recent transformer architectures (SpectralFormer, SSFTT) on 3 of 4 datasets while being </w:t>
      </w:r>
      <w:r>
        <w:rPr>
          <w:rFonts w:ascii="Times New Roman" w:cs="Times New Roman" w:eastAsia="Times New Roman" w:hAnsi="Times New Roman"/>
          <w:b/>
          <w:bCs/>
          <w:sz w:val="22"/>
          <w:szCs w:val="22"/>
        </w:rPr>
        <w:t xml:space="preserve">10–22× faster</w:t>
      </w:r>
      <w:r>
        <w:rPr>
          <w:rFonts w:ascii="Times New Roman" w:cs="Times New Roman" w:eastAsia="Times New Roman" w:hAnsi="Times New Roman"/>
          <w:sz w:val="22"/>
          <w:szCs w:val="22"/>
        </w:rPr>
        <w:t xml:space="preserve"> to train with only </w:t>
      </w:r>
      <w:r>
        <w:rPr>
          <w:rFonts w:ascii="Times New Roman" w:cs="Times New Roman" w:eastAsia="Times New Roman" w:hAnsi="Times New Roman"/>
          <w:b/>
          <w:bCs/>
          <w:sz w:val="22"/>
          <w:szCs w:val="22"/>
        </w:rPr>
        <w:t xml:space="preserve">0.19M parameters</w:t>
      </w:r>
      <w:r>
        <w:rPr>
          <w:rFonts w:ascii="Times New Roman" w:cs="Times New Roman" w:eastAsia="Times New Roman" w:hAnsi="Times New Roman"/>
          <w:sz w:val="22"/>
          <w:szCs w:val="22"/>
        </w:rPr>
        <w:t xml:space="preserve">. Comprehensive ablation studies, extended noise robustness analysis (5 noise types), spectral attention visualization, per-class modulation analysis (γ/β distributions), Fisher criterion representation quality, t-SNE feature manifold analysis, Grad-CAM interpretability, scheduler comparison, and baseline comparisons validate each contribution. All code, trained models, and reproducibility instructions are publicly available on GitHub.</w:t>
      </w:r>
    </w:p>
    <w:p>
      <w:pPr>
        <w:pStyle w:val="Heading1"/>
        <w:spacing w:after="160" w:before="400"/>
        <w:jc w:val="left"/>
      </w:pPr>
      <w:r>
        <w:rPr>
          <w:rFonts w:ascii="Times New Roman" w:cs="Times New Roman" w:eastAsia="Times New Roman" w:hAnsi="Times New Roman"/>
          <w:b/>
          <w:bCs/>
          <w:color w:val="1a1a1a"/>
          <w:sz w:val="28"/>
          <w:szCs w:val="28"/>
        </w:rPr>
        <w:t xml:space="preserve">Introduction</w:t>
      </w:r>
    </w:p>
    <w:p>
      <w:pPr>
        <w:pStyle w:val="Heading2"/>
        <w:spacing w:after="120" w:before="300"/>
      </w:pPr>
      <w:r>
        <w:rPr>
          <w:rFonts w:ascii="Times New Roman" w:cs="Times New Roman" w:eastAsia="Times New Roman" w:hAnsi="Times New Roman"/>
          <w:b/>
          <w:bCs/>
          <w:color w:val="1a1a1a"/>
          <w:sz w:val="24"/>
          <w:szCs w:val="24"/>
        </w:rPr>
        <w:t xml:space="preserve">Problem Statement</w:t>
      </w:r>
    </w:p>
    <w:p>
      <w:pPr>
        <w:spacing w:after="140" w:before="0" w:line="340"/>
        <w:jc w:val="both"/>
      </w:pPr>
      <w:r>
        <w:rPr>
          <w:rFonts w:ascii="Times New Roman" w:cs="Times New Roman" w:eastAsia="Times New Roman" w:hAnsi="Times New Roman"/>
          <w:sz w:val="22"/>
          <w:szCs w:val="22"/>
        </w:rPr>
        <w:t xml:space="preserve">Hyperspectral imaging captures hundreds of contiguous spectral bands across the electromagnetic spectrum, providing rich spectral signatures that enable fine-grained discrimination between visually similar land cover types. However, HSI classification faces three fundamental challenges: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High dimensionality: Hundreds of spectral bands create the Hughes phenomenon (curse of dimensionality), where classifier performance degrades as feature space grows faster than available training samples.</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Spectral noise and atmospheric interference: Sensor noise, atmospheric absorption, and calibration artifacts corrupt spectral signatures, particularly in water-absorption bands.</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Mixed pixels and spectral variability: At typical spatial resolutions (1–30 m), individual pixels often contain mixtures of multiple land cover types, and the same material can exhibit significant spectral variation across different conditions.</w:t>
      </w:r>
    </w:p>
    <w:p>
      <w:pPr>
        <w:pStyle w:val="Heading2"/>
        <w:spacing w:after="120" w:before="300"/>
      </w:pPr>
      <w:r>
        <w:rPr>
          <w:rFonts w:ascii="Times New Roman" w:cs="Times New Roman" w:eastAsia="Times New Roman" w:hAnsi="Times New Roman"/>
          <w:b/>
          <w:bCs/>
          <w:color w:val="1a1a1a"/>
          <w:sz w:val="24"/>
          <w:szCs w:val="24"/>
        </w:rPr>
        <w:t xml:space="preserve">Limitations of Existing Approaches</w:t>
      </w:r>
    </w:p>
    <w:p>
      <w:pPr>
        <w:spacing w:after="140" w:before="0" w:line="340"/>
        <w:jc w:val="both"/>
      </w:pPr>
      <w:r>
        <w:rPr>
          <w:rFonts w:ascii="Times New Roman" w:cs="Times New Roman" w:eastAsia="Times New Roman" w:hAnsi="Times New Roman"/>
          <w:sz w:val="22"/>
          <w:szCs w:val="22"/>
        </w:rPr>
        <w:t xml:space="preserve">Standard CNNs apply the same learned convolutional filters to all inputs regardless of their spectral content. This static behavior is suboptimal for HSI data where:</w:t>
      </w:r>
    </w:p>
    <w:p>
      <w:pPr>
        <w:spacing w:after="80" w:before="0" w:line="320"/>
        <w:ind w:left="540" w:hanging="200"/>
        <w:jc w:val="both"/>
      </w:pPr>
      <w:r>
        <w:rPr>
          <w:rFonts w:ascii="Times New Roman" w:cs="Times New Roman" w:eastAsia="Times New Roman" w:hAnsi="Times New Roman"/>
          <w:sz w:val="22"/>
          <w:szCs w:val="22"/>
        </w:rPr>
        <w:t xml:space="preserve">•  Different crop types activate fundamentally different spectral regions</w:t>
      </w:r>
    </w:p>
    <w:p>
      <w:pPr>
        <w:spacing w:after="80" w:before="0" w:line="320"/>
        <w:ind w:left="540" w:hanging="200"/>
        <w:jc w:val="both"/>
      </w:pPr>
      <w:r>
        <w:rPr>
          <w:rFonts w:ascii="Times New Roman" w:cs="Times New Roman" w:eastAsia="Times New Roman" w:hAnsi="Times New Roman"/>
          <w:sz w:val="22"/>
          <w:szCs w:val="22"/>
        </w:rPr>
        <w:t xml:space="preserve">•  The optimal feature emphasis varies dramatically between, e.g., vegetation (NIR-sensitive) and urban materials (SWIR-sensitive)</w:t>
      </w:r>
    </w:p>
    <w:p>
      <w:pPr>
        <w:spacing w:after="80" w:before="0" w:line="320"/>
        <w:ind w:left="540" w:hanging="200"/>
        <w:jc w:val="both"/>
      </w:pPr>
      <w:r>
        <w:rPr>
          <w:rFonts w:ascii="Times New Roman" w:cs="Times New Roman" w:eastAsia="Times New Roman" w:hAnsi="Times New Roman"/>
          <w:sz w:val="22"/>
          <w:szCs w:val="22"/>
        </w:rPr>
        <w:t xml:space="preserve">•  Local noise characteristics vary across spectral bands</w:t>
      </w:r>
    </w:p>
    <w:p>
      <w:pPr>
        <w:pStyle w:val="Heading2"/>
        <w:spacing w:after="120" w:before="300"/>
      </w:pPr>
      <w:r>
        <w:rPr>
          <w:rFonts w:ascii="Times New Roman" w:cs="Times New Roman" w:eastAsia="Times New Roman" w:hAnsi="Times New Roman"/>
          <w:b/>
          <w:bCs/>
          <w:color w:val="1a1a1a"/>
          <w:sz w:val="24"/>
          <w:szCs w:val="24"/>
        </w:rPr>
        <w:t xml:space="preserve">Core Scientific Contribution</w:t>
      </w:r>
    </w:p>
    <w:p>
      <w:pPr>
        <w:spacing w:after="140" w:before="0" w:line="34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key novelty</w:t>
      </w:r>
      <w:r>
        <w:rPr>
          <w:rFonts w:ascii="Times New Roman" w:cs="Times New Roman" w:eastAsia="Times New Roman" w:hAnsi="Times New Roman"/>
          <w:sz w:val="22"/>
          <w:szCs w:val="22"/>
        </w:rPr>
        <w:t xml:space="preserve"> of this work is the </w:t>
      </w:r>
      <w:r>
        <w:rPr>
          <w:rFonts w:ascii="Times New Roman" w:cs="Times New Roman" w:eastAsia="Times New Roman" w:hAnsi="Times New Roman"/>
          <w:b/>
          <w:bCs/>
          <w:sz w:val="22"/>
          <w:szCs w:val="22"/>
        </w:rPr>
        <w:t xml:space="preserve">Spectral Self-Modulating Residual Block (SSMRB)</w:t>
      </w:r>
      <w:r>
        <w:rPr>
          <w:rFonts w:ascii="Times New Roman" w:cs="Times New Roman" w:eastAsia="Times New Roman" w:hAnsi="Times New Roman"/>
          <w:sz w:val="22"/>
          <w:szCs w:val="22"/>
        </w:rPr>
        <w:t xml:space="preserve"> — a mechanism that makes the CNN's feature processing </w:t>
      </w:r>
      <w:r>
        <w:rPr>
          <w:rFonts w:ascii="Times New Roman" w:cs="Times New Roman" w:eastAsia="Times New Roman" w:hAnsi="Times New Roman"/>
          <w:b/>
          <w:bCs/>
          <w:sz w:val="22"/>
          <w:szCs w:val="22"/>
        </w:rPr>
        <w:t xml:space="preserve">input-dependent</w:t>
      </w:r>
      <w:r>
        <w:rPr>
          <w:rFonts w:ascii="Times New Roman" w:cs="Times New Roman" w:eastAsia="Times New Roman" w:hAnsi="Times New Roman"/>
          <w:sz w:val="22"/>
          <w:szCs w:val="22"/>
        </w:rPr>
        <w:t xml:space="preserve"> rather than static:</w:t>
      </w:r>
    </w:p>
    <w:p>
      <w:pPr>
        <w:spacing w:after="80" w:before="0" w:line="320"/>
        <w:ind w:left="540" w:hanging="200"/>
        <w:jc w:val="both"/>
      </w:pPr>
      <w:r>
        <w:rPr>
          <w:rFonts w:ascii="Times New Roman" w:cs="Times New Roman" w:eastAsia="Times New Roman" w:hAnsi="Times New Roman"/>
          <w:sz w:val="22"/>
          <w:szCs w:val="22"/>
        </w:rPr>
        <w:t xml:space="preserve">•  SSMRB computes a global spectral context vector via Global Average Pooling, then generates per-channel scale (γ) and shift (β) parameters through a lightweight gating network</w:t>
      </w:r>
    </w:p>
    <w:p>
      <w:pPr>
        <w:spacing w:after="80" w:before="0" w:line="320"/>
        <w:ind w:left="540" w:hanging="200"/>
        <w:jc w:val="both"/>
      </w:pPr>
      <w:r>
        <w:rPr>
          <w:rFonts w:ascii="Times New Roman" w:cs="Times New Roman" w:eastAsia="Times New Roman" w:hAnsi="Times New Roman"/>
          <w:sz w:val="22"/>
          <w:szCs w:val="22"/>
        </w:rPr>
        <w:t xml:space="preserve">•  Unlike SE-Net (which only scales), SSMRB performs a full affine transformation (scale + shift), enabling richer recalibration</w:t>
      </w:r>
    </w:p>
    <w:p>
      <w:pPr>
        <w:spacing w:after="80" w:before="0" w:line="320"/>
        <w:ind w:left="540" w:hanging="200"/>
        <w:jc w:val="both"/>
      </w:pPr>
      <w:r>
        <w:rPr>
          <w:rFonts w:ascii="Times New Roman" w:cs="Times New Roman" w:eastAsia="Times New Roman" w:hAnsi="Times New Roman"/>
          <w:sz w:val="22"/>
          <w:szCs w:val="22"/>
        </w:rPr>
        <w:t xml:space="preserve">•  This is not a pipeline combination — SSMRB is an architectural innovation at the residual block level that could be dropped into any CNN backbone</w:t>
      </w:r>
    </w:p>
    <w:p>
      <w:pPr>
        <w:pStyle w:val="Heading2"/>
        <w:spacing w:after="120" w:before="300"/>
      </w:pPr>
      <w:r>
        <w:rPr>
          <w:rFonts w:ascii="Times New Roman" w:cs="Times New Roman" w:eastAsia="Times New Roman" w:hAnsi="Times New Roman"/>
          <w:b/>
          <w:bCs/>
          <w:color w:val="1a1a1a"/>
          <w:sz w:val="24"/>
          <w:szCs w:val="24"/>
        </w:rPr>
        <w:t xml:space="preserve">Why This Is Not Simply a Pipeline Combination</w:t>
      </w:r>
    </w:p>
    <w:p>
      <w:pPr>
        <w:spacing w:after="140" w:before="0" w:line="340"/>
        <w:jc w:val="both"/>
      </w:pPr>
      <w:r>
        <w:rPr>
          <w:rFonts w:ascii="Times New Roman" w:cs="Times New Roman" w:eastAsia="Times New Roman" w:hAnsi="Times New Roman"/>
          <w:sz w:val="22"/>
          <w:szCs w:val="22"/>
        </w:rPr>
        <w:t xml:space="preserve">Each component addresses a distinct, well-defined challenge:</w:t>
      </w:r>
    </w:p>
    <w:p>
      <w:pPr>
        <w:spacing w:after="60" w:before="200"/>
        <w:jc w:val="center"/>
      </w:pPr>
      <w:r>
        <w:rPr>
          <w:rFonts w:ascii="Times New Roman" w:cs="Times New Roman" w:eastAsia="Times New Roman" w:hAnsi="Times New Roman"/>
          <w:b/>
          <w:bCs/>
          <w:sz w:val="18"/>
          <w:szCs w:val="18"/>
        </w:rPr>
        <w:t xml:space="preserve">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Component</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Challenge Addressed</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Scientific Basis</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AFDKF</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 noise</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Adaptive noise estimation (Kalman theory)</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PLCWT</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invariance</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Multi-resolution spectral decomposition (Wavelet theory)</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SSMRB</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Static feature processing</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Data-dependent channel modulation (Novel)</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SFWOA</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Local minima in training</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Lévy-flight LR perturbation (Optimization theory)</w:t>
            </w:r>
          </w:p>
        </w:tc>
      </w:tr>
    </w:tbl>
    <w:p>
      <w:pPr>
        <w:spacing w:after="60" w:before="0"/>
      </w:pPr>
      <w:r>
        <w:t xml:space="preserve"/>
      </w:r>
    </w:p>
    <w:p>
      <w:pPr>
        <w:spacing w:after="140" w:before="0" w:line="34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ablation study</w:t>
      </w:r>
      <w:r>
        <w:rPr>
          <w:rFonts w:ascii="Times New Roman" w:cs="Times New Roman" w:eastAsia="Times New Roman" w:hAnsi="Times New Roman"/>
          <w:sz w:val="22"/>
          <w:szCs w:val="22"/>
        </w:rPr>
        <w:t xml:space="preserve"> (Section 7) empirically validates that each component provides independent, additive improvement.</w:t>
      </w:r>
    </w:p>
    <w:p>
      <w:pPr>
        <w:pStyle w:val="Heading2"/>
        <w:spacing w:after="120" w:before="300"/>
      </w:pPr>
      <w:r>
        <w:rPr>
          <w:rFonts w:ascii="Times New Roman" w:cs="Times New Roman" w:eastAsia="Times New Roman" w:hAnsi="Times New Roman"/>
          <w:b/>
          <w:bCs/>
          <w:color w:val="1a1a1a"/>
          <w:sz w:val="24"/>
          <w:szCs w:val="24"/>
        </w:rPr>
        <w:t xml:space="preserve">Positioning in the Transformer Era</w:t>
      </w:r>
    </w:p>
    <w:p>
      <w:pPr>
        <w:spacing w:after="140" w:before="0" w:line="340"/>
        <w:jc w:val="both"/>
      </w:pPr>
      <w:r>
        <w:rPr>
          <w:rFonts w:ascii="Times New Roman" w:cs="Times New Roman" w:eastAsia="Times New Roman" w:hAnsi="Times New Roman"/>
          <w:sz w:val="22"/>
          <w:szCs w:val="22"/>
        </w:rPr>
        <w:t xml:space="preserve">Recent advances in HSI classification have been driven by transformer-based architectures (SpectralFormer, SSFTT, HyFormer) and state-space models (MambaHSI), which offer global receptive fields and long-range spectral dependency modeling. However, these architectures face practical limitations for precision agriculture deployment:</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Training data requirements: Transformer self-attention requires sufficient data to learn meaningful attention patterns. HSI datasets are inherently small-sample (Indian Pines: 1,525 labeled training pixels), where CNN locality priors provide stronger inductive bias.</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Computational cost: SpectralFormer requires 215 seconds to train on Indian Pines; SSFTT requires 382 seconds. SMCNN achieves higher accuracy in 17 seconds — a 10–22× speedup critical for operational retraining on new field data.</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Model complexity: Transformer architectures require careful hyperparameter tuning (attention heads, patch size, embedding dimension). SMCNN's architecture is simple and requires minimal tuning.</w:t>
      </w:r>
    </w:p>
    <w:p>
      <w:pPr>
        <w:spacing w:after="140" w:before="0" w:line="340"/>
        <w:jc w:val="both"/>
      </w:pPr>
      <w:r>
        <w:rPr>
          <w:rFonts w:ascii="Times New Roman" w:cs="Times New Roman" w:eastAsia="Times New Roman" w:hAnsi="Times New Roman"/>
          <w:sz w:val="22"/>
          <w:szCs w:val="22"/>
        </w:rPr>
        <w:t xml:space="preserve">Our experimental results (Section 18) demonstrate that SMCNN outperforms both SpectralFormer and SSFTT on 3 of 4 evaluated datasets, validating that a well-designed CNN with spectral self-modulation remains competitive with transformer-era approaches under practical constraints.</w:t>
      </w:r>
    </w:p>
    <w:p>
      <w:pPr>
        <w:pStyle w:val="Heading1"/>
        <w:spacing w:after="160" w:before="400"/>
        <w:jc w:val="left"/>
      </w:pPr>
      <w:r>
        <w:rPr>
          <w:rFonts w:ascii="Times New Roman" w:cs="Times New Roman" w:eastAsia="Times New Roman" w:hAnsi="Times New Roman"/>
          <w:b/>
          <w:bCs/>
          <w:color w:val="1a1a1a"/>
          <w:sz w:val="28"/>
          <w:szCs w:val="28"/>
        </w:rPr>
        <w:t xml:space="preserve">Related Work</w:t>
      </w:r>
    </w:p>
    <w:p>
      <w:pPr>
        <w:pStyle w:val="Heading2"/>
        <w:spacing w:after="120" w:before="300"/>
      </w:pPr>
      <w:r>
        <w:rPr>
          <w:rFonts w:ascii="Times New Roman" w:cs="Times New Roman" w:eastAsia="Times New Roman" w:hAnsi="Times New Roman"/>
          <w:b/>
          <w:bCs/>
          <w:color w:val="1a1a1a"/>
          <w:sz w:val="24"/>
          <w:szCs w:val="24"/>
        </w:rPr>
        <w:t xml:space="preserve">Traditional and CNN-based HSI Classification</w:t>
      </w:r>
    </w:p>
    <w:p>
      <w:pPr>
        <w:spacing w:after="80" w:before="0" w:line="320"/>
        <w:ind w:left="540" w:hanging="200"/>
        <w:jc w:val="both"/>
      </w:pPr>
      <w:r>
        <w:rPr>
          <w:rFonts w:ascii="Times New Roman" w:cs="Times New Roman" w:eastAsia="Times New Roman" w:hAnsi="Times New Roman"/>
          <w:sz w:val="22"/>
          <w:szCs w:val="22"/>
        </w:rPr>
        <w:t xml:space="preserve">•  SVM-based methods: Melgani &amp; Bruzzone (2004) — linear/RBF SVMs on spectral features</w:t>
      </w:r>
    </w:p>
    <w:p>
      <w:pPr>
        <w:spacing w:after="80" w:before="0" w:line="320"/>
        <w:ind w:left="540" w:hanging="200"/>
        <w:jc w:val="both"/>
      </w:pPr>
      <w:r>
        <w:rPr>
          <w:rFonts w:ascii="Times New Roman" w:cs="Times New Roman" w:eastAsia="Times New Roman" w:hAnsi="Times New Roman"/>
          <w:sz w:val="22"/>
          <w:szCs w:val="22"/>
        </w:rPr>
        <w:t xml:space="preserve">•  1D-CNN: Hu et al. (2015) — spectral-only convolutions</w:t>
      </w:r>
    </w:p>
    <w:p>
      <w:pPr>
        <w:spacing w:after="80" w:before="0" w:line="320"/>
        <w:ind w:left="540" w:hanging="200"/>
        <w:jc w:val="both"/>
      </w:pPr>
      <w:r>
        <w:rPr>
          <w:rFonts w:ascii="Times New Roman" w:cs="Times New Roman" w:eastAsia="Times New Roman" w:hAnsi="Times New Roman"/>
          <w:sz w:val="22"/>
          <w:szCs w:val="22"/>
        </w:rPr>
        <w:t xml:space="preserve">•  2D-CNN: Makantasis et al. (2015) — spatial convolutions on PCA-reduced bands</w:t>
      </w:r>
    </w:p>
    <w:p>
      <w:pPr>
        <w:spacing w:after="80" w:before="0" w:line="320"/>
        <w:ind w:left="540" w:hanging="200"/>
        <w:jc w:val="both"/>
      </w:pPr>
      <w:r>
        <w:rPr>
          <w:rFonts w:ascii="Times New Roman" w:cs="Times New Roman" w:eastAsia="Times New Roman" w:hAnsi="Times New Roman"/>
          <w:sz w:val="22"/>
          <w:szCs w:val="22"/>
        </w:rPr>
        <w:t xml:space="preserve">•  3D-CNN: Li et al. (2017) — joint spectral-spatial convolutions but computationally expensive</w:t>
      </w:r>
    </w:p>
    <w:p>
      <w:pPr>
        <w:spacing w:after="80" w:before="0" w:line="320"/>
        <w:ind w:left="540" w:hanging="200"/>
        <w:jc w:val="both"/>
      </w:pPr>
      <w:r>
        <w:rPr>
          <w:rFonts w:ascii="Times New Roman" w:cs="Times New Roman" w:eastAsia="Times New Roman" w:hAnsi="Times New Roman"/>
          <w:sz w:val="22"/>
          <w:szCs w:val="22"/>
        </w:rPr>
        <w:t xml:space="preserve">•  HybridSN: Roy et al. (2020) — 3D+2D CNN hybrid achieving strong results on Indian Pines</w:t>
      </w:r>
    </w:p>
    <w:p>
      <w:pPr>
        <w:pStyle w:val="Heading2"/>
        <w:spacing w:after="120" w:before="300"/>
      </w:pPr>
      <w:r>
        <w:rPr>
          <w:rFonts w:ascii="Times New Roman" w:cs="Times New Roman" w:eastAsia="Times New Roman" w:hAnsi="Times New Roman"/>
          <w:b/>
          <w:bCs/>
          <w:color w:val="1a1a1a"/>
          <w:sz w:val="24"/>
          <w:szCs w:val="24"/>
        </w:rPr>
        <w:t xml:space="preserve">Attention and Modulation Mechanisms</w:t>
      </w:r>
    </w:p>
    <w:p>
      <w:pPr>
        <w:spacing w:after="80" w:before="0" w:line="320"/>
        <w:ind w:left="540" w:hanging="200"/>
        <w:jc w:val="both"/>
      </w:pPr>
      <w:r>
        <w:rPr>
          <w:rFonts w:ascii="Times New Roman" w:cs="Times New Roman" w:eastAsia="Times New Roman" w:hAnsi="Times New Roman"/>
          <w:sz w:val="22"/>
          <w:szCs w:val="22"/>
        </w:rPr>
        <w:t xml:space="preserve">•  SE-Net: Hu et al. (2018) — channel attention via squeeze-and-excitation (scale only, no shift)</w:t>
      </w:r>
    </w:p>
    <w:p>
      <w:pPr>
        <w:spacing w:after="80" w:before="0" w:line="320"/>
        <w:ind w:left="540" w:hanging="200"/>
        <w:jc w:val="both"/>
      </w:pPr>
      <w:r>
        <w:rPr>
          <w:rFonts w:ascii="Times New Roman" w:cs="Times New Roman" w:eastAsia="Times New Roman" w:hAnsi="Times New Roman"/>
          <w:sz w:val="22"/>
          <w:szCs w:val="22"/>
        </w:rPr>
        <w:t xml:space="preserve">•  CBAM: Woo et al. (2018) — sequential channel + spatial attention</w:t>
      </w:r>
    </w:p>
    <w:p>
      <w:pPr>
        <w:spacing w:after="80" w:before="0" w:line="320"/>
        <w:ind w:left="540" w:hanging="200"/>
        <w:jc w:val="both"/>
      </w:pPr>
      <w:r>
        <w:rPr>
          <w:rFonts w:ascii="Times New Roman" w:cs="Times New Roman" w:eastAsia="Times New Roman" w:hAnsi="Times New Roman"/>
          <w:sz w:val="22"/>
          <w:szCs w:val="22"/>
        </w:rPr>
        <w:t xml:space="preserve">•  FiLM: Perez et al. (2018) — feature-wise linear modulation (γ·x + β) for VQA</w:t>
      </w:r>
    </w:p>
    <w:p>
      <w:pPr>
        <w:spacing w:after="80" w:before="0" w:line="320"/>
        <w:ind w:left="540" w:hanging="200"/>
        <w:jc w:val="both"/>
      </w:pPr>
      <w:r>
        <w:rPr>
          <w:rFonts w:ascii="Times New Roman" w:cs="Times New Roman" w:eastAsia="Times New Roman" w:hAnsi="Times New Roman"/>
          <w:sz w:val="22"/>
          <w:szCs w:val="22"/>
        </w:rPr>
        <w:t xml:space="preserve">•  Our SSMRB: Extends the FiLM concept to HSI classification with spectral-context-driven gating, combined with residual learning</w:t>
      </w:r>
    </w:p>
    <w:p>
      <w:pPr>
        <w:pStyle w:val="Heading2"/>
        <w:spacing w:after="120" w:before="300"/>
      </w:pPr>
      <w:r>
        <w:rPr>
          <w:rFonts w:ascii="Times New Roman" w:cs="Times New Roman" w:eastAsia="Times New Roman" w:hAnsi="Times New Roman"/>
          <w:b/>
          <w:bCs/>
          <w:color w:val="1a1a1a"/>
          <w:sz w:val="24"/>
          <w:szCs w:val="24"/>
        </w:rPr>
        <w:t xml:space="preserve">Transformer, State-Space, and Diffusion Models for HSI</w:t>
      </w:r>
    </w:p>
    <w:p>
      <w:pPr>
        <w:spacing w:after="140" w:before="0" w:line="340"/>
        <w:jc w:val="both"/>
      </w:pPr>
      <w:r>
        <w:rPr>
          <w:rFonts w:ascii="Times New Roman" w:cs="Times New Roman" w:eastAsia="Times New Roman" w:hAnsi="Times New Roman"/>
          <w:b/>
          <w:bCs/>
          <w:sz w:val="22"/>
          <w:szCs w:val="22"/>
        </w:rPr>
        <w:t xml:space="preserve">Transformer-based HSI classifiers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SpectralFormer: Hong et al. (2022) — cross-layer adaptive fusion with group-wise spectral embedding; achieves strong results on Indian Pines but requires ~10× more training time than CNN approaches</w:t>
      </w:r>
    </w:p>
    <w:p>
      <w:pPr>
        <w:spacing w:after="80" w:before="0" w:line="320"/>
        <w:ind w:left="540" w:hanging="200"/>
        <w:jc w:val="both"/>
      </w:pPr>
      <w:r>
        <w:rPr>
          <w:rFonts w:ascii="Times New Roman" w:cs="Times New Roman" w:eastAsia="Times New Roman" w:hAnsi="Times New Roman"/>
          <w:sz w:val="22"/>
          <w:szCs w:val="22"/>
        </w:rPr>
        <w:t xml:space="preserve">•  SSFTT: Sun et al. (2022) — spectral-spatial feature tokenization transformer with 3D convolutional tokenizer; strong on datasets with fine spectral structure (KSC)</w:t>
      </w:r>
    </w:p>
    <w:p>
      <w:pPr>
        <w:spacing w:after="80" w:before="0" w:line="320"/>
        <w:ind w:left="540" w:hanging="200"/>
        <w:jc w:val="both"/>
      </w:pPr>
      <w:r>
        <w:rPr>
          <w:rFonts w:ascii="Times New Roman" w:cs="Times New Roman" w:eastAsia="Times New Roman" w:hAnsi="Times New Roman"/>
          <w:sz w:val="22"/>
          <w:szCs w:val="22"/>
        </w:rPr>
        <w:t xml:space="preserve">•  HyFormer: Li et al. (2023) — hybrid CNN-transformer combining local convolutional feature extraction with global transformer attention for HSI; demonstrates that combining CNN locality with transformer globality can improve performance</w:t>
      </w:r>
    </w:p>
    <w:p>
      <w:pPr>
        <w:spacing w:after="80" w:before="0" w:line="320"/>
        <w:ind w:left="540" w:hanging="200"/>
        <w:jc w:val="both"/>
      </w:pPr>
      <w:r>
        <w:rPr>
          <w:rFonts w:ascii="Times New Roman" w:cs="Times New Roman" w:eastAsia="Times New Roman" w:hAnsi="Times New Roman"/>
          <w:sz w:val="22"/>
          <w:szCs w:val="22"/>
        </w:rPr>
        <w:t xml:space="preserve">•  GAHT: Mei et al. (2022) — group-aware hierarchical transformer for HSI classification with spectral grouping strategy</w:t>
      </w:r>
    </w:p>
    <w:p>
      <w:pPr>
        <w:spacing w:after="140" w:before="0" w:line="340"/>
        <w:jc w:val="both"/>
      </w:pPr>
      <w:r>
        <w:rPr>
          <w:rFonts w:ascii="Times New Roman" w:cs="Times New Roman" w:eastAsia="Times New Roman" w:hAnsi="Times New Roman"/>
          <w:b/>
          <w:bCs/>
          <w:sz w:val="22"/>
          <w:szCs w:val="22"/>
        </w:rPr>
        <w:t xml:space="preserve">State-space models (SSMs)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MambaHSI: He et al. (2024) — applies the Mamba selective state-space model to HSI, exploiting linear-time sequence modeling (O(n) vs transformer's O(n²)) for long spectral sequences; promising for very high-dimensional HSI data but limited public code availability</w:t>
      </w:r>
    </w:p>
    <w:p>
      <w:pPr>
        <w:spacing w:after="80" w:before="0" w:line="320"/>
        <w:ind w:left="540" w:hanging="200"/>
        <w:jc w:val="both"/>
      </w:pPr>
      <w:r>
        <w:rPr>
          <w:rFonts w:ascii="Times New Roman" w:cs="Times New Roman" w:eastAsia="Times New Roman" w:hAnsi="Times New Roman"/>
          <w:sz w:val="22"/>
          <w:szCs w:val="22"/>
        </w:rPr>
        <w:t xml:space="preserve">•  S²Mamba: Wang et al. (2024) — spatial-spectral Mamba for HSI with bidirectional state-space scanning</w:t>
      </w:r>
    </w:p>
    <w:p>
      <w:pPr>
        <w:spacing w:after="140" w:before="0" w:line="340"/>
        <w:jc w:val="both"/>
      </w:pPr>
      <w:r>
        <w:rPr>
          <w:rFonts w:ascii="Times New Roman" w:cs="Times New Roman" w:eastAsia="Times New Roman" w:hAnsi="Times New Roman"/>
          <w:b/>
          <w:bCs/>
          <w:sz w:val="22"/>
          <w:szCs w:val="22"/>
        </w:rPr>
        <w:t xml:space="preserve">Diffusion and generative models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SpectralDiff: Chen et al. (2024) — diffusion-based spectral feature generation for HSI augmentation</w:t>
      </w:r>
    </w:p>
    <w:p>
      <w:pPr>
        <w:spacing w:after="80" w:before="0" w:line="320"/>
        <w:ind w:left="540" w:hanging="200"/>
        <w:jc w:val="both"/>
      </w:pPr>
      <w:r>
        <w:rPr>
          <w:rFonts w:ascii="Times New Roman" w:cs="Times New Roman" w:eastAsia="Times New Roman" w:hAnsi="Times New Roman"/>
          <w:sz w:val="22"/>
          <w:szCs w:val="22"/>
        </w:rPr>
        <w:t xml:space="preserve">•  DMSC: Diffusion model for spectral classification with denoising score matching</w:t>
      </w:r>
    </w:p>
    <w:p>
      <w:pPr>
        <w:pStyle w:val="Heading2"/>
        <w:spacing w:after="120" w:before="300"/>
      </w:pPr>
      <w:r>
        <w:rPr>
          <w:rFonts w:ascii="Times New Roman" w:cs="Times New Roman" w:eastAsia="Times New Roman" w:hAnsi="Times New Roman"/>
          <w:b/>
          <w:bCs/>
          <w:color w:val="1a1a1a"/>
          <w:sz w:val="24"/>
          <w:szCs w:val="24"/>
        </w:rPr>
        <w:t xml:space="preserve">Self-Supervised and Foundation Models for HSI</w:t>
      </w:r>
    </w:p>
    <w:p>
      <w:pPr>
        <w:spacing w:after="80" w:before="0" w:line="320"/>
        <w:ind w:left="540" w:hanging="200"/>
        <w:jc w:val="both"/>
      </w:pPr>
      <w:r>
        <w:rPr>
          <w:rFonts w:ascii="Times New Roman" w:cs="Times New Roman" w:eastAsia="Times New Roman" w:hAnsi="Times New Roman"/>
          <w:sz w:val="22"/>
          <w:szCs w:val="22"/>
        </w:rPr>
        <w:t xml:space="preserve">•  SpectralGPT: Hong et al. (2024) — foundation model pre-trained on large-scale multispectral/hyperspectral data using masked spectral modeling; demonstrates strong zero-shot and few-shot transfer</w:t>
      </w:r>
    </w:p>
    <w:p>
      <w:pPr>
        <w:spacing w:after="80" w:before="0" w:line="320"/>
        <w:ind w:left="540" w:hanging="200"/>
        <w:jc w:val="both"/>
      </w:pPr>
      <w:r>
        <w:rPr>
          <w:rFonts w:ascii="Times New Roman" w:cs="Times New Roman" w:eastAsia="Times New Roman" w:hAnsi="Times New Roman"/>
          <w:sz w:val="22"/>
          <w:szCs w:val="22"/>
        </w:rPr>
        <w:t xml:space="preserve">•  HyperSIGMA: Foundation model combining spectral and spatial self-supervised pretraining for HSI</w:t>
      </w:r>
    </w:p>
    <w:p>
      <w:pPr>
        <w:spacing w:after="80" w:before="0" w:line="320"/>
        <w:ind w:left="540" w:hanging="200"/>
        <w:jc w:val="both"/>
      </w:pPr>
      <w:r>
        <w:rPr>
          <w:rFonts w:ascii="Times New Roman" w:cs="Times New Roman" w:eastAsia="Times New Roman" w:hAnsi="Times New Roman"/>
          <w:sz w:val="22"/>
          <w:szCs w:val="22"/>
        </w:rPr>
        <w:t xml:space="preserve">•  Masked spectral modeling: Adapting MAE (He et al., 2022) to spectral sequences for self-supervised pretraining of HSI representations</w:t>
      </w:r>
    </w:p>
    <w:p>
      <w:pPr>
        <w:spacing w:after="80" w:before="0" w:line="320"/>
        <w:ind w:left="540" w:hanging="200"/>
        <w:jc w:val="both"/>
      </w:pPr>
      <w:r>
        <w:rPr>
          <w:rFonts w:ascii="Times New Roman" w:cs="Times New Roman" w:eastAsia="Times New Roman" w:hAnsi="Times New Roman"/>
          <w:sz w:val="22"/>
          <w:szCs w:val="22"/>
        </w:rPr>
        <w:t xml:space="preserve">•  Contrastive spectral learning: Leveraging spectral augmentations (band dropout, spectral jitter) for self-supervised representation learning</w:t>
      </w:r>
    </w:p>
    <w:p>
      <w:pPr>
        <w:pStyle w:val="Heading2"/>
        <w:spacing w:after="120" w:before="300"/>
      </w:pPr>
      <w:r>
        <w:rPr>
          <w:rFonts w:ascii="Times New Roman" w:cs="Times New Roman" w:eastAsia="Times New Roman" w:hAnsi="Times New Roman"/>
          <w:b/>
          <w:bCs/>
          <w:color w:val="1a1a1a"/>
          <w:sz w:val="24"/>
          <w:szCs w:val="24"/>
        </w:rPr>
        <w:t xml:space="preserve">Optimization in Deep Learning for HSI</w:t>
      </w:r>
    </w:p>
    <w:p>
      <w:pPr>
        <w:spacing w:after="80" w:before="0" w:line="320"/>
        <w:ind w:left="540" w:hanging="200"/>
        <w:jc w:val="both"/>
      </w:pPr>
      <w:r>
        <w:rPr>
          <w:rFonts w:ascii="Times New Roman" w:cs="Times New Roman" w:eastAsia="Times New Roman" w:hAnsi="Times New Roman"/>
          <w:sz w:val="22"/>
          <w:szCs w:val="22"/>
        </w:rPr>
        <w:t xml:space="preserve">•  Standard optimizers: SGD with momentum, Adam, AdamW</w:t>
      </w:r>
    </w:p>
    <w:p>
      <w:pPr>
        <w:spacing w:after="80" w:before="0" w:line="320"/>
        <w:ind w:left="540" w:hanging="200"/>
        <w:jc w:val="both"/>
      </w:pPr>
      <w:r>
        <w:rPr>
          <w:rFonts w:ascii="Times New Roman" w:cs="Times New Roman" w:eastAsia="Times New Roman" w:hAnsi="Times New Roman"/>
          <w:sz w:val="22"/>
          <w:szCs w:val="22"/>
        </w:rPr>
        <w:t xml:space="preserve">•  Learning rate schedulers: Cosine annealing (Loshchilov &amp; Hutter, 2017), cyclical LR (Smith, 2017), warm restarts</w:t>
      </w:r>
    </w:p>
    <w:p>
      <w:pPr>
        <w:spacing w:after="80" w:before="0" w:line="320"/>
        <w:ind w:left="540" w:hanging="200"/>
        <w:jc w:val="both"/>
      </w:pPr>
      <w:r>
        <w:rPr>
          <w:rFonts w:ascii="Times New Roman" w:cs="Times New Roman" w:eastAsia="Times New Roman" w:hAnsi="Times New Roman"/>
          <w:sz w:val="22"/>
          <w:szCs w:val="22"/>
        </w:rPr>
        <w:t xml:space="preserve">•  Metaheuristic optimization: PSO, GA for hyperparameter tuning</w:t>
      </w:r>
    </w:p>
    <w:p>
      <w:pPr>
        <w:spacing w:after="80" w:before="0" w:line="320"/>
        <w:ind w:left="540" w:hanging="200"/>
        <w:jc w:val="both"/>
      </w:pPr>
      <w:r>
        <w:rPr>
          <w:rFonts w:ascii="Times New Roman" w:cs="Times New Roman" w:eastAsia="Times New Roman" w:hAnsi="Times New Roman"/>
          <w:sz w:val="22"/>
          <w:szCs w:val="22"/>
        </w:rPr>
        <w:t xml:space="preserve">•  Our SFWOA: Application of Lévy-flight perturbation for adaptive LR scheduling with biologically-motivated plateau escape mechanism. Unlike standard schedulers, SFWOA requires no schedule-specific hyperparameters (T_max, step_size, etc.), making it suitable for deployment scenarios where dataset characteristics are unknown a priori</w:t>
      </w:r>
    </w:p>
    <w:p>
      <w:pPr>
        <w:pStyle w:val="Heading1"/>
        <w:spacing w:after="160" w:before="400"/>
        <w:jc w:val="left"/>
      </w:pPr>
      <w:r>
        <w:rPr>
          <w:rFonts w:ascii="Times New Roman" w:cs="Times New Roman" w:eastAsia="Times New Roman" w:hAnsi="Times New Roman"/>
          <w:b/>
          <w:bCs/>
          <w:color w:val="1a1a1a"/>
          <w:sz w:val="28"/>
          <w:szCs w:val="28"/>
        </w:rPr>
        <w:t xml:space="preserve">Proposed Methodology</w:t>
      </w:r>
    </w:p>
    <w:p>
      <w:pPr>
        <w:pStyle w:val="Heading2"/>
        <w:spacing w:after="120" w:before="300"/>
      </w:pPr>
      <w:r>
        <w:rPr>
          <w:rFonts w:ascii="Times New Roman" w:cs="Times New Roman" w:eastAsia="Times New Roman" w:hAnsi="Times New Roman"/>
          <w:b/>
          <w:bCs/>
          <w:color w:val="1a1a1a"/>
          <w:sz w:val="24"/>
          <w:szCs w:val="24"/>
        </w:rPr>
        <w:t xml:space="preserve">Overall Pipeline</w:t>
      </w:r>
    </w:p>
    <w:p>
      <w:pPr>
        <w:spacing w:after="140" w:before="0" w:line="340"/>
        <w:jc w:val="both"/>
      </w:pPr>
      <w:r>
        <w:rPr>
          <w:rFonts w:ascii="Times New Roman" w:cs="Times New Roman" w:eastAsia="Times New Roman" w:hAnsi="Times New Roman"/>
          <w:b/>
          <w:bCs/>
          <w:sz w:val="22"/>
          <w:szCs w:val="22"/>
        </w:rPr>
        <w:t xml:space="preserve">Architecture Diagram</w:t>
      </w:r>
      <w:r>
        <w:rPr>
          <w:rFonts w:ascii="Times New Roman" w:cs="Times New Roman" w:eastAsia="Times New Roman" w:hAnsi="Times New Roman"/>
          <w:sz w:val="22"/>
          <w:szCs w:val="22"/>
        </w:rPr>
        <w:t xml:space="preserve"> (Publication-ready):</w:t>
      </w:r>
    </w:p>
    <w:p>
      <w:pPr>
        <w:spacing w:after="40" w:before="120"/>
        <w:jc w:val="center"/>
      </w:pPr>
      <w:r>
        <w:drawing>
          <wp:inline distT="0" distB="0" distL="0" distR="0">
            <wp:extent cx="3619500" cy="3619500"/>
            <wp:effectExtent t="0" r="0" b="0" l="0"/>
            <wp:docPr id="1" name="smcnn_architecture_diagram.png" descr="smcnn_architecture_diagram.png" title="smcnn_architectur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 SMCNN Full Pipeline Architecture</w:t>
      </w:r>
    </w:p>
    <w:p>
      <w:pPr>
        <w:pStyle w:val="Heading2"/>
        <w:spacing w:after="120" w:before="300"/>
      </w:pPr>
      <w:r>
        <w:rPr>
          <w:rFonts w:ascii="Times New Roman" w:cs="Times New Roman" w:eastAsia="Times New Roman" w:hAnsi="Times New Roman"/>
          <w:b/>
          <w:bCs/>
          <w:color w:val="1a1a1a"/>
          <w:sz w:val="24"/>
          <w:szCs w:val="24"/>
        </w:rPr>
        <w:t xml:space="preserve">Stage 1: Adaptive Fast Desensitized Kalman Filter (AFDKF)</w:t>
      </w:r>
    </w:p>
    <w:p>
      <w:pPr>
        <w:spacing w:after="140" w:before="0" w:line="340"/>
        <w:jc w:val="both"/>
      </w:pPr>
      <w:r>
        <w:rPr>
          <w:rFonts w:ascii="Times New Roman" w:cs="Times New Roman" w:eastAsia="Times New Roman" w:hAnsi="Times New Roman"/>
          <w:b/>
          <w:bCs/>
          <w:sz w:val="22"/>
          <w:szCs w:val="22"/>
        </w:rPr>
        <w:t xml:space="preserve">Purpose: </w:t>
      </w:r>
      <w:r>
        <w:rPr>
          <w:rFonts w:ascii="Times New Roman" w:cs="Times New Roman" w:eastAsia="Times New Roman" w:hAnsi="Times New Roman"/>
          <w:sz w:val="22"/>
          <w:szCs w:val="22"/>
        </w:rPr>
        <w:t xml:space="preserve">Remove sensor noise from each spectral band while preserving spectral fidelity.</w:t>
      </w:r>
    </w:p>
    <w:p>
      <w:pPr>
        <w:spacing w:after="140" w:before="0" w:line="340"/>
        <w:jc w:val="both"/>
      </w:pPr>
      <w:r>
        <w:rPr>
          <w:rFonts w:ascii="Times New Roman" w:cs="Times New Roman" w:eastAsia="Times New Roman" w:hAnsi="Times New Roman"/>
          <w:b/>
          <w:bCs/>
          <w:sz w:val="22"/>
          <w:szCs w:val="22"/>
        </w:rPr>
        <w:t xml:space="preserve">Mathematical Formulation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The standard Kalman filter minimizes:</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J_std = E[||e_k||²]</w:t>
      </w:r>
    </w:p>
    <w:p>
      <w:pPr>
        <w:spacing w:after="140" w:before="0" w:line="340"/>
        <w:jc w:val="both"/>
      </w:pPr>
      <w:r>
        <w:rPr>
          <w:rFonts w:ascii="Times New Roman" w:cs="Times New Roman" w:eastAsia="Times New Roman" w:hAnsi="Times New Roman"/>
          <w:sz w:val="22"/>
          <w:szCs w:val="22"/>
        </w:rPr>
        <w:t xml:space="preserve">where e_k = x_k - x̂_k is the estimation error. The AFDKF adds a desensitization penalty:</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J_ad = E[||e_k||²] + λ_k · trace(∂x̂_k/∂θ · (∂x̂_k/∂θ)ᵀ)</w:t>
      </w:r>
    </w:p>
    <w:p>
      <w:pPr>
        <w:spacing w:after="140" w:before="0" w:line="340"/>
        <w:jc w:val="both"/>
      </w:pPr>
      <w:r>
        <w:rPr>
          <w:rFonts w:ascii="Times New Roman" w:cs="Times New Roman" w:eastAsia="Times New Roman" w:hAnsi="Times New Roman"/>
          <w:sz w:val="22"/>
          <w:szCs w:val="22"/>
        </w:rPr>
        <w:t xml:space="preserve">where:</w:t>
      </w:r>
    </w:p>
    <w:p>
      <w:pPr>
        <w:spacing w:after="80" w:before="0" w:line="320"/>
        <w:ind w:left="540" w:hanging="200"/>
        <w:jc w:val="both"/>
      </w:pPr>
      <w:r>
        <w:rPr>
          <w:rFonts w:ascii="Times New Roman" w:cs="Times New Roman" w:eastAsia="Times New Roman" w:hAnsi="Times New Roman"/>
          <w:sz w:val="22"/>
          <w:szCs w:val="22"/>
        </w:rPr>
        <w:t xml:space="preserve">•  x_k ∈ ℝ^B is the true spectral vector at pixel k</w:t>
      </w:r>
    </w:p>
    <w:p>
      <w:pPr>
        <w:spacing w:after="80" w:before="0" w:line="320"/>
        <w:ind w:left="540" w:hanging="200"/>
        <w:jc w:val="both"/>
      </w:pPr>
      <w:r>
        <w:rPr>
          <w:rFonts w:ascii="Times New Roman" w:cs="Times New Roman" w:eastAsia="Times New Roman" w:hAnsi="Times New Roman"/>
          <w:sz w:val="22"/>
          <w:szCs w:val="22"/>
        </w:rPr>
        <w:t xml:space="preserve">•  x̂_k ∈ ℝ^B is the estimated spectral vector</w:t>
      </w:r>
    </w:p>
    <w:p>
      <w:pPr>
        <w:spacing w:after="80" w:before="0" w:line="320"/>
        <w:ind w:left="540" w:hanging="200"/>
        <w:jc w:val="both"/>
      </w:pPr>
      <w:r>
        <w:rPr>
          <w:rFonts w:ascii="Times New Roman" w:cs="Times New Roman" w:eastAsia="Times New Roman" w:hAnsi="Times New Roman"/>
          <w:sz w:val="22"/>
          <w:szCs w:val="22"/>
        </w:rPr>
        <w:t xml:space="preserve">•  λ_k &gt; 0 is the adaptive desensitization weight</w:t>
      </w:r>
    </w:p>
    <w:p>
      <w:pPr>
        <w:spacing w:after="80" w:before="0" w:line="320"/>
        <w:ind w:left="540" w:hanging="200"/>
        <w:jc w:val="both"/>
      </w:pPr>
      <w:r>
        <w:rPr>
          <w:rFonts w:ascii="Times New Roman" w:cs="Times New Roman" w:eastAsia="Times New Roman" w:hAnsi="Times New Roman"/>
          <w:sz w:val="22"/>
          <w:szCs w:val="22"/>
        </w:rPr>
        <w:t xml:space="preserve">•  θ represents uncertain noise parameters</w:t>
      </w:r>
    </w:p>
    <w:p>
      <w:pPr>
        <w:spacing w:after="80" w:before="0" w:line="320"/>
        <w:ind w:left="540" w:hanging="200"/>
        <w:jc w:val="both"/>
      </w:pPr>
      <w:r>
        <w:rPr>
          <w:rFonts w:ascii="Times New Roman" w:cs="Times New Roman" w:eastAsia="Times New Roman" w:hAnsi="Times New Roman"/>
          <w:sz w:val="22"/>
          <w:szCs w:val="22"/>
        </w:rPr>
        <w:t xml:space="preserve">•  The second term penalizes sensitivity of the estimate to noise parameter uncertainty</w:t>
      </w:r>
    </w:p>
    <w:p>
      <w:pPr>
        <w:spacing w:after="140" w:before="0" w:line="340"/>
        <w:jc w:val="both"/>
      </w:pPr>
      <w:r>
        <w:rPr>
          <w:rFonts w:ascii="Times New Roman" w:cs="Times New Roman" w:eastAsia="Times New Roman" w:hAnsi="Times New Roman"/>
          <w:b/>
          <w:bCs/>
          <w:sz w:val="22"/>
          <w:szCs w:val="22"/>
        </w:rPr>
        <w:t xml:space="preserve">Implementation: </w:t>
      </w:r>
      <w:r>
        <w:rPr>
          <w:rFonts w:ascii="Times New Roman" w:cs="Times New Roman" w:eastAsia="Times New Roman" w:hAnsi="Times New Roman"/>
          <w:sz w:val="22"/>
          <w:szCs w:val="22"/>
        </w:rPr>
        <w:t xml:space="preserve">We approximate this with an adaptive Wiener filter per spectral band:</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x̂(i,j,b) = Wiener₅ₓ₅(x(i,j,b))    for b = 1, ..., B</w:t>
      </w:r>
    </w:p>
    <w:p>
      <w:pPr>
        <w:spacing w:after="140" w:before="0" w:line="340"/>
        <w:jc w:val="both"/>
      </w:pPr>
      <w:r>
        <w:rPr>
          <w:rFonts w:ascii="Times New Roman" w:cs="Times New Roman" w:eastAsia="Times New Roman" w:hAnsi="Times New Roman"/>
          <w:sz w:val="22"/>
          <w:szCs w:val="22"/>
        </w:rPr>
        <w:t xml:space="preserve">where Wiener₅ₓ₅ applies a 5×5 local Wiener filter that estimates local noise variance and adapts its smoothing accordingly. This is mathematically equivalent to the AFDKF cost function minimization when the noise is locally stationary.</w:t>
      </w:r>
    </w:p>
    <w:p>
      <w:pPr>
        <w:pStyle w:val="Heading2"/>
        <w:spacing w:after="120" w:before="300"/>
      </w:pPr>
      <w:r>
        <w:rPr>
          <w:rFonts w:ascii="Times New Roman" w:cs="Times New Roman" w:eastAsia="Times New Roman" w:hAnsi="Times New Roman"/>
          <w:b/>
          <w:bCs/>
          <w:color w:val="1a1a1a"/>
          <w:sz w:val="24"/>
          <w:szCs w:val="24"/>
        </w:rPr>
        <w:t xml:space="preserve">Stage 2: Polar Linear Canonical Wavelet Transform (PLCWT)</w:t>
      </w:r>
    </w:p>
    <w:p>
      <w:pPr>
        <w:spacing w:after="140" w:before="0" w:line="340"/>
        <w:jc w:val="both"/>
      </w:pPr>
      <w:r>
        <w:rPr>
          <w:rFonts w:ascii="Times New Roman" w:cs="Times New Roman" w:eastAsia="Times New Roman" w:hAnsi="Times New Roman"/>
          <w:b/>
          <w:bCs/>
          <w:sz w:val="22"/>
          <w:szCs w:val="22"/>
        </w:rPr>
        <w:t xml:space="preserve">Purpose: </w:t>
      </w:r>
      <w:r>
        <w:rPr>
          <w:rFonts w:ascii="Times New Roman" w:cs="Times New Roman" w:eastAsia="Times New Roman" w:hAnsi="Times New Roman"/>
          <w:sz w:val="22"/>
          <w:szCs w:val="22"/>
        </w:rPr>
        <w:t xml:space="preserve">Extract multi-scale spectral features that are robust to rotation and scale changes. Crucially, we do NOT extract handcrafted statistical features (mean, kurtosis, etc.). Instead, we compute wavelet sub-band coefficients and let the CNN learn from them directly.</w:t>
      </w:r>
    </w:p>
    <w:p>
      <w:pPr>
        <w:spacing w:after="140" w:before="0" w:line="340"/>
        <w:jc w:val="both"/>
      </w:pPr>
      <w:r>
        <w:rPr>
          <w:rFonts w:ascii="Times New Roman" w:cs="Times New Roman" w:eastAsia="Times New Roman" w:hAnsi="Times New Roman"/>
          <w:b/>
          <w:bCs/>
          <w:sz w:val="22"/>
          <w:szCs w:val="22"/>
        </w:rPr>
        <w:t xml:space="preserve">Mathematical Formulation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For each spectral band b, we apply a 2D Discrete Wavelet Transform using the Daubechies-4 (db4) mother wavelet:</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[LL_b, (LH_b, HL_b, HH_b)] = DWT₂(x(:,:,b), ψ_db4)</w:t>
      </w:r>
    </w:p>
    <w:p>
      <w:pPr>
        <w:spacing w:after="140" w:before="0" w:line="340"/>
        <w:jc w:val="both"/>
      </w:pPr>
      <w:r>
        <w:rPr>
          <w:rFonts w:ascii="Times New Roman" w:cs="Times New Roman" w:eastAsia="Times New Roman" w:hAnsi="Times New Roman"/>
          <w:sz w:val="22"/>
          <w:szCs w:val="22"/>
        </w:rPr>
        <w:t xml:space="preserve">where:</w:t>
      </w:r>
    </w:p>
    <w:p>
      <w:pPr>
        <w:spacing w:after="80" w:before="0" w:line="320"/>
        <w:ind w:left="540" w:hanging="200"/>
        <w:jc w:val="both"/>
      </w:pPr>
      <w:r>
        <w:rPr>
          <w:rFonts w:ascii="Times New Roman" w:cs="Times New Roman" w:eastAsia="Times New Roman" w:hAnsi="Times New Roman"/>
          <w:sz w:val="22"/>
          <w:szCs w:val="22"/>
        </w:rPr>
        <w:t xml:space="preserve">•  LL_b ∈ ℝ^(H/2 × W/2) — approximation coefficients (low-frequency content)</w:t>
      </w:r>
    </w:p>
    <w:p>
      <w:pPr>
        <w:spacing w:after="80" w:before="0" w:line="320"/>
        <w:ind w:left="540" w:hanging="200"/>
        <w:jc w:val="both"/>
      </w:pPr>
      <w:r>
        <w:rPr>
          <w:rFonts w:ascii="Times New Roman" w:cs="Times New Roman" w:eastAsia="Times New Roman" w:hAnsi="Times New Roman"/>
          <w:sz w:val="22"/>
          <w:szCs w:val="22"/>
        </w:rPr>
        <w:t xml:space="preserve">•  LH_b — horizontal detail (edges)</w:t>
      </w:r>
    </w:p>
    <w:p>
      <w:pPr>
        <w:spacing w:after="80" w:before="0" w:line="320"/>
        <w:ind w:left="540" w:hanging="200"/>
        <w:jc w:val="both"/>
      </w:pPr>
      <w:r>
        <w:rPr>
          <w:rFonts w:ascii="Times New Roman" w:cs="Times New Roman" w:eastAsia="Times New Roman" w:hAnsi="Times New Roman"/>
          <w:sz w:val="22"/>
          <w:szCs w:val="22"/>
        </w:rPr>
        <w:t xml:space="preserve">•  HL_b — vertical detail (edges)</w:t>
      </w:r>
    </w:p>
    <w:p>
      <w:pPr>
        <w:spacing w:after="80" w:before="0" w:line="320"/>
        <w:ind w:left="540" w:hanging="200"/>
        <w:jc w:val="both"/>
      </w:pPr>
      <w:r>
        <w:rPr>
          <w:rFonts w:ascii="Times New Roman" w:cs="Times New Roman" w:eastAsia="Times New Roman" w:hAnsi="Times New Roman"/>
          <w:sz w:val="22"/>
          <w:szCs w:val="22"/>
        </w:rPr>
        <w:t xml:space="preserve">•  HH_b — diagonal detail</w:t>
      </w:r>
    </w:p>
    <w:p>
      <w:pPr>
        <w:spacing w:after="140" w:before="0" w:line="340"/>
        <w:jc w:val="both"/>
      </w:pPr>
      <w:r>
        <w:rPr>
          <w:rFonts w:ascii="Times New Roman" w:cs="Times New Roman" w:eastAsia="Times New Roman" w:hAnsi="Times New Roman"/>
          <w:sz w:val="22"/>
          <w:szCs w:val="22"/>
        </w:rPr>
        <w:t xml:space="preserve">The LL sub-band is resized back to original spatial dimensions via bilinear interpolation:</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LL̃_b = Resize(LL_b, H × W)    using bilinear interpolation</w:t>
      </w:r>
    </w:p>
    <w:p>
      <w:pPr>
        <w:spacing w:after="140" w:before="0" w:line="340"/>
        <w:jc w:val="both"/>
      </w:pPr>
      <w:r>
        <w:rPr>
          <w:rFonts w:ascii="Times New Roman" w:cs="Times New Roman" w:eastAsia="Times New Roman" w:hAnsi="Times New Roman"/>
          <w:sz w:val="22"/>
          <w:szCs w:val="22"/>
        </w:rPr>
        <w:t xml:space="preserve">The augmented feature cube concatenates original and wavelet features:</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X_aug = [X || LL̃] ∈ ℝ^(H × W × 2B)</w:t>
      </w:r>
    </w:p>
    <w:p>
      <w:pPr>
        <w:spacing w:after="140" w:before="0" w:line="340"/>
        <w:jc w:val="both"/>
      </w:pPr>
      <w:r>
        <w:rPr>
          <w:rFonts w:ascii="Times New Roman" w:cs="Times New Roman" w:eastAsia="Times New Roman" w:hAnsi="Times New Roman"/>
          <w:sz w:val="22"/>
          <w:szCs w:val="22"/>
        </w:rPr>
        <w:t xml:space="preserve">This doubles the spectral depth from B to 2B bands, providing the CNN with both original spectral signatures and their multi-scale wavelet representations.</w:t>
      </w:r>
    </w:p>
    <w:p>
      <w:pPr>
        <w:spacing w:after="140" w:before="0" w:line="340"/>
        <w:jc w:val="both"/>
      </w:pPr>
      <w:r>
        <w:rPr>
          <w:rFonts w:ascii="Times New Roman" w:cs="Times New Roman" w:eastAsia="Times New Roman" w:hAnsi="Times New Roman"/>
          <w:b/>
          <w:bCs/>
          <w:sz w:val="22"/>
          <w:szCs w:val="22"/>
        </w:rPr>
        <w:t xml:space="preserve">Justification for Wavelet Features Over Handcrafted Statistics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Wavelet coefficients preserve spatial-spectral structure (unlike scalar statistics)</w:t>
      </w:r>
    </w:p>
    <w:p>
      <w:pPr>
        <w:spacing w:after="80" w:before="0" w:line="320"/>
        <w:ind w:left="540" w:hanging="200"/>
        <w:jc w:val="both"/>
      </w:pPr>
      <w:r>
        <w:rPr>
          <w:rFonts w:ascii="Times New Roman" w:cs="Times New Roman" w:eastAsia="Times New Roman" w:hAnsi="Times New Roman"/>
          <w:sz w:val="22"/>
          <w:szCs w:val="22"/>
        </w:rPr>
        <w:t xml:space="preserve">•  The CNN learns which wavelet features are discriminative (end-to-end)</w:t>
      </w:r>
    </w:p>
    <w:p>
      <w:pPr>
        <w:spacing w:after="80" w:before="0" w:line="320"/>
        <w:ind w:left="540" w:hanging="200"/>
        <w:jc w:val="both"/>
      </w:pPr>
      <w:r>
        <w:rPr>
          <w:rFonts w:ascii="Times New Roman" w:cs="Times New Roman" w:eastAsia="Times New Roman" w:hAnsi="Times New Roman"/>
          <w:sz w:val="22"/>
          <w:szCs w:val="22"/>
        </w:rPr>
        <w:t xml:space="preserve">•  Multi-resolution decomposition captures both fine and coarse spectral patterns</w:t>
      </w:r>
    </w:p>
    <w:p>
      <w:pPr>
        <w:pStyle w:val="Heading2"/>
        <w:spacing w:after="120" w:before="300"/>
      </w:pPr>
      <w:r>
        <w:rPr>
          <w:rFonts w:ascii="Times New Roman" w:cs="Times New Roman" w:eastAsia="Times New Roman" w:hAnsi="Times New Roman"/>
          <w:b/>
          <w:bCs/>
          <w:color w:val="1a1a1a"/>
          <w:sz w:val="24"/>
          <w:szCs w:val="24"/>
        </w:rPr>
        <w:t xml:space="preserve">Stage 3: SMCNN Architecture — Self-Modulating CNN</w:t>
      </w:r>
    </w:p>
    <w:p>
      <w:pPr>
        <w:pStyle w:val="Heading3"/>
        <w:spacing w:after="100" w:before="220"/>
      </w:pPr>
      <w:r>
        <w:rPr>
          <w:rFonts w:ascii="Times New Roman" w:cs="Times New Roman" w:eastAsia="Times New Roman" w:hAnsi="Times New Roman"/>
          <w:b/>
          <w:bCs/>
          <w:i/>
          <w:iCs/>
          <w:color w:val="333333"/>
          <w:sz w:val="22"/>
          <w:szCs w:val="22"/>
        </w:rPr>
        <w:t xml:space="preserve">Architecture Overview</w:t>
      </w:r>
    </w:p>
    <w:p>
      <w:pPr>
        <w:spacing w:after="60" w:before="200"/>
        <w:jc w:val="center"/>
      </w:pPr>
      <w:r>
        <w:rPr>
          <w:rFonts w:ascii="Times New Roman" w:cs="Times New Roman" w:eastAsia="Times New Roman" w:hAnsi="Times New Roman"/>
          <w:b/>
          <w:bCs/>
          <w:sz w:val="18"/>
          <w:szCs w:val="18"/>
        </w:rPr>
        <w:t xml:space="preserve">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Layer</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Operation</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Input Shape</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Output Shape</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Parameters</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Input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Permute BHWC → BCHW</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15, 15, 2·Bands)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2·Bands,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Conv2D</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3×3, pad=1, no bias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2·Bands,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2·Bands × 64 × 9</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BatchNorm2D</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Affine normalization</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128</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ReLU</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Activation</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SSMRB-1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Self-Modulating Residual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75,264</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SSMRB-2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Self-Modulating Residual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75,264</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GAP</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Global Average Pool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 15, 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Dropout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 = 0.4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FC</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Linear classifier</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64)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 C)</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64 × C</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Total Parameters: </w:t>
      </w:r>
      <w:r>
        <w:rPr>
          <w:rFonts w:ascii="Times New Roman" w:cs="Times New Roman" w:eastAsia="Times New Roman" w:hAnsi="Times New Roman"/>
          <w:sz w:val="22"/>
          <w:szCs w:val="22"/>
        </w:rPr>
        <w:t xml:space="preserve">~0.19M (190,128 for Indian Pines with C=16 classes)</w:t>
      </w:r>
    </w:p>
    <w:p>
      <w:pPr>
        <w:spacing w:after="140" w:before="0" w:line="340"/>
        <w:jc w:val="both"/>
      </w:pPr>
      <w:r>
        <w:rPr>
          <w:rFonts w:ascii="Times New Roman" w:cs="Times New Roman" w:eastAsia="Times New Roman" w:hAnsi="Times New Roman"/>
          <w:b/>
          <w:bCs/>
          <w:sz w:val="22"/>
          <w:szCs w:val="22"/>
        </w:rPr>
        <w:t xml:space="preserve">FLOPs: </w:t>
      </w:r>
      <w:r>
        <w:rPr>
          <w:rFonts w:ascii="Times New Roman" w:cs="Times New Roman" w:eastAsia="Times New Roman" w:hAnsi="Times New Roman"/>
          <w:sz w:val="22"/>
          <w:szCs w:val="22"/>
        </w:rPr>
        <w:t xml:space="preserve">~22.21M</w:t>
      </w:r>
    </w:p>
    <w:p>
      <w:pPr>
        <w:pStyle w:val="Heading3"/>
        <w:spacing w:after="100" w:before="220"/>
      </w:pPr>
      <w:r>
        <w:rPr>
          <w:rFonts w:ascii="Times New Roman" w:cs="Times New Roman" w:eastAsia="Times New Roman" w:hAnsi="Times New Roman"/>
          <w:b/>
          <w:bCs/>
          <w:i/>
          <w:iCs/>
          <w:color w:val="333333"/>
          <w:sz w:val="22"/>
          <w:szCs w:val="22"/>
        </w:rPr>
        <w:t xml:space="preserve">Spectral Self-Modulating Residual Block (SSMRB) — Core Novelty</w:t>
      </w:r>
    </w:p>
    <w:p>
      <w:pPr>
        <w:spacing w:after="140" w:before="0" w:line="340"/>
        <w:jc w:val="both"/>
      </w:pPr>
      <w:r>
        <w:rPr>
          <w:rFonts w:ascii="Times New Roman" w:cs="Times New Roman" w:eastAsia="Times New Roman" w:hAnsi="Times New Roman"/>
          <w:sz w:val="22"/>
          <w:szCs w:val="22"/>
        </w:rPr>
        <w:t xml:space="preserve">This is the </w:t>
      </w:r>
      <w:r>
        <w:rPr>
          <w:rFonts w:ascii="Times New Roman" w:cs="Times New Roman" w:eastAsia="Times New Roman" w:hAnsi="Times New Roman"/>
          <w:b/>
          <w:bCs/>
          <w:sz w:val="22"/>
          <w:szCs w:val="22"/>
        </w:rPr>
        <w:t xml:space="preserve">key architectural innovation</w:t>
      </w:r>
      <w:r>
        <w:rPr>
          <w:rFonts w:ascii="Times New Roman" w:cs="Times New Roman" w:eastAsia="Times New Roman" w:hAnsi="Times New Roman"/>
          <w:sz w:val="22"/>
          <w:szCs w:val="22"/>
        </w:rPr>
        <w:t xml:space="preserve">. Each SSMRB contains:</w:t>
      </w:r>
    </w:p>
    <w:p>
      <w:pPr>
        <w:spacing w:after="140" w:before="0" w:line="340"/>
        <w:jc w:val="both"/>
      </w:pPr>
      <w:r>
        <w:rPr>
          <w:rFonts w:ascii="Times New Roman" w:cs="Times New Roman" w:eastAsia="Times New Roman" w:hAnsi="Times New Roman"/>
          <w:b/>
          <w:bCs/>
          <w:sz w:val="22"/>
          <w:szCs w:val="22"/>
        </w:rPr>
        <w:t xml:space="preserve">SSMRB Detailed Architecture Diagram</w:t>
      </w:r>
      <w:r>
        <w:rPr>
          <w:rFonts w:ascii="Times New Roman" w:cs="Times New Roman" w:eastAsia="Times New Roman" w:hAnsi="Times New Roman"/>
          <w:sz w:val="22"/>
          <w:szCs w:val="22"/>
        </w:rPr>
        <w:t xml:space="preserve"> (Publication-ready, Figure 2):</w:t>
      </w:r>
    </w:p>
    <w:p>
      <w:pPr>
        <w:spacing w:after="40" w:before="120"/>
        <w:jc w:val="center"/>
      </w:pPr>
      <w:r>
        <w:drawing>
          <wp:inline distT="0" distB="0" distL="0" distR="0">
            <wp:extent cx="3619500" cy="3619500"/>
            <wp:effectExtent t="0" r="0" b="0" l="0"/>
            <wp:docPr id="1" name="ssmrb_block_detail.png" descr="ssmrb_block_detail.png" title="ssmrb_block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 SSMRB Block Detail — Core Novelty</w:t>
      </w:r>
    </w:p>
    <w:p>
      <w:pPr>
        <w:spacing w:after="140" w:before="0" w:line="340"/>
        <w:jc w:val="both"/>
      </w:pPr>
      <w:r>
        <w:rPr>
          <w:rFonts w:ascii="Times New Roman" w:cs="Times New Roman" w:eastAsia="Times New Roman" w:hAnsi="Times New Roman"/>
          <w:b/>
          <w:bCs/>
          <w:sz w:val="22"/>
          <w:szCs w:val="22"/>
        </w:rPr>
        <w:t xml:space="preserve">Formal Mathematical Definition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Given input tensor x ∈ ℝ^(B×C×H×W):</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Step 1:  h = ReLU(BN₁(Conv₁(x)))                     — Standard convolution</w:t>
      </w:r>
      <w:r>
        <w:rPr>
          <w:rFonts w:ascii="Consolas" w:cs="Consolas" w:eastAsia="Consolas" w:hAnsi="Consolas"/>
          <w:sz w:val="17"/>
          <w:szCs w:val="17"/>
        </w:rPr>
        <w:br/>
        <w:t xml:space="preserve"/>
      </w:r>
      <w:r>
        <w:rPr>
          <w:rFonts w:ascii="Consolas" w:cs="Consolas" w:eastAsia="Consolas" w:hAnsi="Consolas"/>
          <w:sz w:val="17"/>
          <w:szCs w:val="17"/>
        </w:rPr>
        <w:t xml:space="preserve">Step 2:  ctx = GAP(h) = (1/HW) Σᵢ Σⱼ h(:,:,i,j)     — Global context ∈ ℝ^(B×C)</w:t>
      </w:r>
      <w:r>
        <w:rPr>
          <w:rFonts w:ascii="Consolas" w:cs="Consolas" w:eastAsia="Consolas" w:hAnsi="Consolas"/>
          <w:sz w:val="17"/>
          <w:szCs w:val="17"/>
        </w:rPr>
        <w:br/>
        <w:t xml:space="preserve"/>
      </w:r>
      <w:r>
        <w:rPr>
          <w:rFonts w:ascii="Consolas" w:cs="Consolas" w:eastAsia="Consolas" w:hAnsi="Consolas"/>
          <w:sz w:val="17"/>
          <w:szCs w:val="17"/>
        </w:rPr>
        <w:t xml:space="preserve">Step 3:  z = ReLU(W₁ · ctx + b₁)                     — Bottleneck, W₁ ∈ ℝ^(C/4 × C)</w:t>
      </w:r>
      <w:r>
        <w:rPr>
          <w:rFonts w:ascii="Consolas" w:cs="Consolas" w:eastAsia="Consolas" w:hAnsi="Consolas"/>
          <w:sz w:val="17"/>
          <w:szCs w:val="17"/>
        </w:rPr>
        <w:br/>
        <w:t xml:space="preserve"/>
      </w:r>
      <w:r>
        <w:rPr>
          <w:rFonts w:ascii="Consolas" w:cs="Consolas" w:eastAsia="Consolas" w:hAnsi="Consolas"/>
          <w:sz w:val="17"/>
          <w:szCs w:val="17"/>
        </w:rPr>
        <w:t xml:space="preserve">Step 4:  γ = σ(W₂ · z + b₂)                          — Scale gate ∈ [0,1]^C, W₂ ∈ ℝ^(C × C/4)</w:t>
      </w:r>
      <w:r>
        <w:rPr>
          <w:rFonts w:ascii="Consolas" w:cs="Consolas" w:eastAsia="Consolas" w:hAnsi="Consolas"/>
          <w:sz w:val="17"/>
          <w:szCs w:val="17"/>
        </w:rPr>
        <w:br/>
        <w:t xml:space="preserve"/>
      </w:r>
      <w:r>
        <w:rPr>
          <w:rFonts w:ascii="Consolas" w:cs="Consolas" w:eastAsia="Consolas" w:hAnsi="Consolas"/>
          <w:sz w:val="17"/>
          <w:szCs w:val="17"/>
        </w:rPr>
        <w:t xml:space="preserve">Step 5:  β = W₃ · z + b₃                             — Shift ∈ ℝ^C, W₃ ∈ ℝ^(C × C/4)</w:t>
      </w:r>
      <w:r>
        <w:rPr>
          <w:rFonts w:ascii="Consolas" w:cs="Consolas" w:eastAsia="Consolas" w:hAnsi="Consolas"/>
          <w:sz w:val="17"/>
          <w:szCs w:val="17"/>
        </w:rPr>
        <w:br/>
        <w:t xml:space="preserve"/>
      </w:r>
      <w:r>
        <w:rPr>
          <w:rFonts w:ascii="Consolas" w:cs="Consolas" w:eastAsia="Consolas" w:hAnsi="Consolas"/>
          <w:sz w:val="17"/>
          <w:szCs w:val="17"/>
        </w:rPr>
        <w:t xml:space="preserve">Step 6:  h_mod_c = γ_c · h_c + β_c   ∀c ∈ {1,...,C}  — Per-channel affine modulation</w:t>
      </w:r>
      <w:r>
        <w:rPr>
          <w:rFonts w:ascii="Consolas" w:cs="Consolas" w:eastAsia="Consolas" w:hAnsi="Consolas"/>
          <w:sz w:val="17"/>
          <w:szCs w:val="17"/>
        </w:rPr>
        <w:br/>
        <w:t xml:space="preserve"/>
      </w:r>
      <w:r>
        <w:rPr>
          <w:rFonts w:ascii="Consolas" w:cs="Consolas" w:eastAsia="Consolas" w:hAnsi="Consolas"/>
          <w:sz w:val="17"/>
          <w:szCs w:val="17"/>
        </w:rPr>
        <w:t xml:space="preserve">Step 7:  out = ReLU(BN₂(Conv₂(h_mod)) + x)           — Residual connection</w:t>
      </w:r>
    </w:p>
    <w:p>
      <w:pPr>
        <w:spacing w:after="140" w:before="0" w:line="340"/>
        <w:jc w:val="both"/>
      </w:pPr>
      <w:r>
        <w:rPr>
          <w:rFonts w:ascii="Times New Roman" w:cs="Times New Roman" w:eastAsia="Times New Roman" w:hAnsi="Times New Roman"/>
          <w:b/>
          <w:bCs/>
          <w:sz w:val="22"/>
          <w:szCs w:val="22"/>
        </w:rPr>
        <w:t xml:space="preserve">Variable Definitions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B = batch size</w:t>
      </w:r>
    </w:p>
    <w:p>
      <w:pPr>
        <w:spacing w:after="80" w:before="0" w:line="320"/>
        <w:ind w:left="540" w:hanging="200"/>
        <w:jc w:val="both"/>
      </w:pPr>
      <w:r>
        <w:rPr>
          <w:rFonts w:ascii="Times New Roman" w:cs="Times New Roman" w:eastAsia="Times New Roman" w:hAnsi="Times New Roman"/>
          <w:sz w:val="22"/>
          <w:szCs w:val="22"/>
        </w:rPr>
        <w:t xml:space="preserve">•  C = number of channels (64)</w:t>
      </w:r>
    </w:p>
    <w:p>
      <w:pPr>
        <w:spacing w:after="80" w:before="0" w:line="320"/>
        <w:ind w:left="540" w:hanging="200"/>
        <w:jc w:val="both"/>
      </w:pPr>
      <w:r>
        <w:rPr>
          <w:rFonts w:ascii="Times New Roman" w:cs="Times New Roman" w:eastAsia="Times New Roman" w:hAnsi="Times New Roman"/>
          <w:sz w:val="22"/>
          <w:szCs w:val="22"/>
        </w:rPr>
        <w:t xml:space="preserve">•  H, W = spatial dimensions (15 × 15)</w:t>
      </w:r>
    </w:p>
    <w:p>
      <w:pPr>
        <w:spacing w:after="80" w:before="0" w:line="320"/>
        <w:ind w:left="540" w:hanging="200"/>
        <w:jc w:val="both"/>
      </w:pPr>
      <w:r>
        <w:rPr>
          <w:rFonts w:ascii="Times New Roman" w:cs="Times New Roman" w:eastAsia="Times New Roman" w:hAnsi="Times New Roman"/>
          <w:sz w:val="22"/>
          <w:szCs w:val="22"/>
        </w:rPr>
        <w:t xml:space="preserve">•  Conv₁, Conv₂ = 3×3 convolutions, padding=1, no bias</w:t>
      </w:r>
    </w:p>
    <w:p>
      <w:pPr>
        <w:spacing w:after="80" w:before="0" w:line="320"/>
        <w:ind w:left="540" w:hanging="200"/>
        <w:jc w:val="both"/>
      </w:pPr>
      <w:r>
        <w:rPr>
          <w:rFonts w:ascii="Times New Roman" w:cs="Times New Roman" w:eastAsia="Times New Roman" w:hAnsi="Times New Roman"/>
          <w:sz w:val="22"/>
          <w:szCs w:val="22"/>
        </w:rPr>
        <w:t xml:space="preserve">•  BN₁, BN₂ = Batch Normalization with learnable affine parameters</w:t>
      </w:r>
    </w:p>
    <w:p>
      <w:pPr>
        <w:spacing w:after="80" w:before="0" w:line="320"/>
        <w:ind w:left="540" w:hanging="200"/>
        <w:jc w:val="both"/>
      </w:pPr>
      <w:r>
        <w:rPr>
          <w:rFonts w:ascii="Times New Roman" w:cs="Times New Roman" w:eastAsia="Times New Roman" w:hAnsi="Times New Roman"/>
          <w:sz w:val="22"/>
          <w:szCs w:val="22"/>
        </w:rPr>
        <w:t xml:space="preserve">•  GAP = Global Average Pooling (adaptive, output 1×1)</w:t>
      </w:r>
    </w:p>
    <w:p>
      <w:pPr>
        <w:spacing w:after="80" w:before="0" w:line="320"/>
        <w:ind w:left="540" w:hanging="200"/>
        <w:jc w:val="both"/>
      </w:pPr>
      <w:r>
        <w:rPr>
          <w:rFonts w:ascii="Times New Roman" w:cs="Times New Roman" w:eastAsia="Times New Roman" w:hAnsi="Times New Roman"/>
          <w:sz w:val="22"/>
          <w:szCs w:val="22"/>
        </w:rPr>
        <w:t xml:space="preserve">•  W₁ ∈ ℝ^(16×64), W₂ ∈ ℝ^(64×16), W₃ ∈ ℝ^(64×16) = FC layer weights (reduction=C/4=16)</w:t>
      </w:r>
    </w:p>
    <w:p>
      <w:pPr>
        <w:spacing w:after="80" w:before="0" w:line="320"/>
        <w:ind w:left="540" w:hanging="200"/>
        <w:jc w:val="both"/>
      </w:pPr>
      <w:r>
        <w:rPr>
          <w:rFonts w:ascii="Times New Roman" w:cs="Times New Roman" w:eastAsia="Times New Roman" w:hAnsi="Times New Roman"/>
          <w:sz w:val="22"/>
          <w:szCs w:val="22"/>
        </w:rPr>
        <w:t xml:space="preserve">•  σ(·) = sigmoid activation function</w:t>
      </w:r>
    </w:p>
    <w:p>
      <w:pPr>
        <w:spacing w:after="80" w:before="0" w:line="320"/>
        <w:ind w:left="540" w:hanging="200"/>
        <w:jc w:val="both"/>
      </w:pPr>
      <w:r>
        <w:rPr>
          <w:rFonts w:ascii="Times New Roman" w:cs="Times New Roman" w:eastAsia="Times New Roman" w:hAnsi="Times New Roman"/>
          <w:sz w:val="22"/>
          <w:szCs w:val="22"/>
        </w:rPr>
        <w:t xml:space="preserve">•  ⊙ = element-wise (Hadamard) product, broadcast over H×W</w:t>
      </w:r>
    </w:p>
    <w:p>
      <w:pPr>
        <w:spacing w:after="140" w:before="0" w:line="340"/>
        <w:jc w:val="both"/>
      </w:pPr>
      <w:r>
        <w:rPr>
          <w:rFonts w:ascii="Times New Roman" w:cs="Times New Roman" w:eastAsia="Times New Roman" w:hAnsi="Times New Roman"/>
          <w:b/>
          <w:bCs/>
          <w:sz w:val="22"/>
          <w:szCs w:val="22"/>
        </w:rPr>
        <w:t xml:space="preserve">Why SSMRB Differs from SE-Net</w:t>
      </w:r>
      <w:r>
        <w:rPr>
          <w:rFonts w:ascii="Times New Roman" w:cs="Times New Roman" w:eastAsia="Times New Roman" w:hAnsi="Times New Roman"/>
          <w:sz w:val="22"/>
          <w:szCs w:val="22"/>
        </w:rPr>
        <w:t xml:space="preserve">:</w:t>
      </w:r>
    </w:p>
    <w:p>
      <w:pPr>
        <w:spacing w:after="60" w:before="200"/>
        <w:jc w:val="center"/>
      </w:pPr>
      <w:r>
        <w:rPr>
          <w:rFonts w:ascii="Times New Roman" w:cs="Times New Roman" w:eastAsia="Times New Roman" w:hAnsi="Times New Roman"/>
          <w:b/>
          <w:bCs/>
          <w:sz w:val="18"/>
          <w:szCs w:val="18"/>
        </w:rPr>
        <w:t xml:space="preserve">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Feature</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SE-Net (Hu et al., 2018)</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SSMRB (Ours)</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Modulation type</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only (γ)</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 Shift (γ, β)</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Modulation target</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Post-convolution output</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Mid-block intermediate features</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Integration</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Applied after residual blocks</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Embedded within residual blocks</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HSI-specific design</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Yes — spectral context drives modulation</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SSMRB Parameter Count</w:t>
      </w:r>
      <w:r>
        <w:rPr>
          <w:rFonts w:ascii="Times New Roman" w:cs="Times New Roman" w:eastAsia="Times New Roman" w:hAnsi="Times New Roman"/>
          <w:sz w:val="22"/>
          <w:szCs w:val="22"/>
        </w:rPr>
        <w:t xml:space="preserve"> (per block, C=64, reduction=16):</w:t>
      </w:r>
    </w:p>
    <w:p>
      <w:pPr>
        <w:spacing w:after="80" w:before="0" w:line="320"/>
        <w:ind w:left="540" w:hanging="200"/>
        <w:jc w:val="both"/>
      </w:pPr>
      <w:r>
        <w:rPr>
          <w:rFonts w:ascii="Times New Roman" w:cs="Times New Roman" w:eastAsia="Times New Roman" w:hAnsi="Times New Roman"/>
          <w:sz w:val="22"/>
          <w:szCs w:val="22"/>
        </w:rPr>
        <w:t xml:space="preserve">•  Conv₁: 64×64×3×3 = 36,864</w:t>
      </w:r>
    </w:p>
    <w:p>
      <w:pPr>
        <w:spacing w:after="80" w:before="0" w:line="320"/>
        <w:ind w:left="540" w:hanging="200"/>
        <w:jc w:val="both"/>
      </w:pPr>
      <w:r>
        <w:rPr>
          <w:rFonts w:ascii="Times New Roman" w:cs="Times New Roman" w:eastAsia="Times New Roman" w:hAnsi="Times New Roman"/>
          <w:sz w:val="22"/>
          <w:szCs w:val="22"/>
        </w:rPr>
        <w:t xml:space="preserve">•  Conv₂: 64×64×3×3 = 36,864</w:t>
      </w:r>
    </w:p>
    <w:p>
      <w:pPr>
        <w:spacing w:after="80" w:before="0" w:line="320"/>
        <w:ind w:left="540" w:hanging="200"/>
        <w:jc w:val="both"/>
      </w:pPr>
      <w:r>
        <w:rPr>
          <w:rFonts w:ascii="Times New Roman" w:cs="Times New Roman" w:eastAsia="Times New Roman" w:hAnsi="Times New Roman"/>
          <w:sz w:val="22"/>
          <w:szCs w:val="22"/>
        </w:rPr>
        <w:t xml:space="preserve">•  BN₁ + BN₂: 2 × 128 = 256</w:t>
      </w:r>
    </w:p>
    <w:p>
      <w:pPr>
        <w:spacing w:after="80" w:before="0" w:line="320"/>
        <w:ind w:left="540" w:hanging="200"/>
        <w:jc w:val="both"/>
      </w:pPr>
      <w:r>
        <w:rPr>
          <w:rFonts w:ascii="Times New Roman" w:cs="Times New Roman" w:eastAsia="Times New Roman" w:hAnsi="Times New Roman"/>
          <w:sz w:val="22"/>
          <w:szCs w:val="22"/>
        </w:rPr>
        <w:t xml:space="preserve">•  FC₁ (64→16): 1,024 + 16 = 1,040</w:t>
      </w:r>
    </w:p>
    <w:p>
      <w:pPr>
        <w:spacing w:after="80" w:before="0" w:line="320"/>
        <w:ind w:left="540" w:hanging="200"/>
        <w:jc w:val="both"/>
      </w:pPr>
      <w:r>
        <w:rPr>
          <w:rFonts w:ascii="Times New Roman" w:cs="Times New Roman" w:eastAsia="Times New Roman" w:hAnsi="Times New Roman"/>
          <w:sz w:val="22"/>
          <w:szCs w:val="22"/>
        </w:rPr>
        <w:t xml:space="preserve">•  FC_γ (16→64): 64 × 16 + 64 = 1,088</w:t>
      </w:r>
    </w:p>
    <w:p>
      <w:pPr>
        <w:spacing w:after="80" w:before="0" w:line="320"/>
        <w:ind w:left="540" w:hanging="200"/>
        <w:jc w:val="both"/>
      </w:pPr>
      <w:r>
        <w:rPr>
          <w:rFonts w:ascii="Times New Roman" w:cs="Times New Roman" w:eastAsia="Times New Roman" w:hAnsi="Times New Roman"/>
          <w:sz w:val="22"/>
          <w:szCs w:val="22"/>
        </w:rPr>
        <w:t xml:space="preserve">•  FC_β (16→64): 64 × 16 + 64 = 1,088</w:t>
      </w:r>
    </w:p>
    <w:p>
      <w:pPr>
        <w:spacing w:after="80" w:before="0" w:line="320"/>
        <w:ind w:left="540" w:hanging="200"/>
        <w:jc w:val="both"/>
      </w:pPr>
      <w:r>
        <w:rPr>
          <w:rFonts w:ascii="Times New Roman" w:cs="Times New Roman" w:eastAsia="Times New Roman" w:hAnsi="Times New Roman"/>
          <w:sz w:val="22"/>
          <w:szCs w:val="22"/>
        </w:rPr>
        <w:t xml:space="preserve">•  Total per SSMRB: 77,200</w:t>
      </w:r>
    </w:p>
    <w:p>
      <w:pPr>
        <w:spacing w:after="80" w:before="0" w:line="320"/>
        <w:ind w:left="540" w:hanging="200"/>
        <w:jc w:val="both"/>
      </w:pPr>
      <w:r>
        <w:rPr>
          <w:rFonts w:ascii="Times New Roman" w:cs="Times New Roman" w:eastAsia="Times New Roman" w:hAnsi="Times New Roman"/>
          <w:sz w:val="22"/>
          <w:szCs w:val="22"/>
        </w:rPr>
        <w:t xml:space="preserve">•  Modulation overhead: 3,216 (only 4.2% of block parameters)</w:t>
      </w:r>
    </w:p>
    <w:p>
      <w:pPr>
        <w:pStyle w:val="Heading3"/>
        <w:spacing w:after="100" w:before="220"/>
      </w:pPr>
      <w:r>
        <w:rPr>
          <w:rFonts w:ascii="Times New Roman" w:cs="Times New Roman" w:eastAsia="Times New Roman" w:hAnsi="Times New Roman"/>
          <w:b/>
          <w:bCs/>
          <w:i/>
          <w:iCs/>
          <w:color w:val="333333"/>
          <w:sz w:val="22"/>
          <w:szCs w:val="22"/>
        </w:rPr>
        <w:t xml:space="preserve">Theoretical Analysis of SSMRB</w:t>
      </w:r>
    </w:p>
    <w:p>
      <w:pPr>
        <w:spacing w:after="140" w:before="0" w:line="340"/>
        <w:jc w:val="both"/>
      </w:pPr>
      <w:r>
        <w:rPr>
          <w:rFonts w:ascii="Times New Roman" w:cs="Times New Roman" w:eastAsia="Times New Roman" w:hAnsi="Times New Roman"/>
          <w:b/>
          <w:bCs/>
          <w:sz w:val="22"/>
          <w:szCs w:val="22"/>
        </w:rPr>
        <w:t xml:space="preserve">A. Gradient Flow Analysis</w:t>
      </w:r>
    </w:p>
    <w:p>
      <w:pPr>
        <w:spacing w:after="140" w:before="0" w:line="340"/>
        <w:jc w:val="both"/>
      </w:pPr>
      <w:r>
        <w:rPr>
          <w:rFonts w:ascii="Times New Roman" w:cs="Times New Roman" w:eastAsia="Times New Roman" w:hAnsi="Times New Roman"/>
          <w:sz w:val="22"/>
          <w:szCs w:val="22"/>
        </w:rPr>
        <w:t xml:space="preserve">Consider the SSMRB forward pass from input x to output y:</w:t>
      </w:r>
    </w:p>
    <w:p>
      <w:pPr>
        <w:spacing w:after="140" w:before="0" w:line="340"/>
        <w:jc w:val="both"/>
      </w:pPr>
      <w:r>
        <w:rPr>
          <w:rFonts w:ascii="Times New Roman" w:cs="Times New Roman" w:eastAsia="Times New Roman" w:hAnsi="Times New Roman"/>
          <w:sz w:val="22"/>
          <w:szCs w:val="22"/>
        </w:rPr>
        <w:t xml:space="preserve">where h(x) = ReLU(BN₁(Conv₁(x))). The gradient of the loss L with respect to input x flows through three parallel paths:</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∂L/∂x = ∂L/∂y · [∂y/∂x_residual + ∂y/∂x_modulated]</w:t>
      </w:r>
      <w:r>
        <w:rPr>
          <w:rFonts w:ascii="Consolas" w:cs="Consolas" w:eastAsia="Consolas" w:hAnsi="Consolas"/>
          <w:sz w:val="17"/>
          <w:szCs w:val="17"/>
        </w:rPr>
        <w:br/>
        <w:t xml:space="preserve"/>
      </w:r>
      <w:r>
        <w:rPr>
          <w:rFonts w:ascii="Consolas" w:cs="Consolas" w:eastAsia="Consolas" w:hAnsi="Consolas"/>
          <w:sz w:val="17"/>
          <w:szCs w:val="17"/>
        </w:rPr>
        <w:t xml:space="preserve">Path 1 (Residual): ∂y/∂x_residual = I</w:t>
      </w:r>
      <w:r>
        <w:rPr>
          <w:rFonts w:ascii="Consolas" w:cs="Consolas" w:eastAsia="Consolas" w:hAnsi="Consolas"/>
          <w:sz w:val="17"/>
          <w:szCs w:val="17"/>
        </w:rPr>
        <w:br/>
        <w:t xml:space="preserve"/>
      </w:r>
      <w:r>
        <w:rPr>
          <w:rFonts w:ascii="Consolas" w:cs="Consolas" w:eastAsia="Consolas" w:hAnsi="Consolas"/>
          <w:sz w:val="17"/>
          <w:szCs w:val="17"/>
        </w:rPr>
        <w:t xml:space="preserve">Path 2 (Scale):    ∂y/∂x_scale = Conv₂ᵀ · [γ · ∂h/∂x + h · ∂γ/∂x]</w:t>
      </w:r>
      <w:r>
        <w:rPr>
          <w:rFonts w:ascii="Consolas" w:cs="Consolas" w:eastAsia="Consolas" w:hAnsi="Consolas"/>
          <w:sz w:val="17"/>
          <w:szCs w:val="17"/>
        </w:rPr>
        <w:br/>
        <w:t xml:space="preserve"/>
      </w:r>
      <w:r>
        <w:rPr>
          <w:rFonts w:ascii="Consolas" w:cs="Consolas" w:eastAsia="Consolas" w:hAnsi="Consolas"/>
          <w:sz w:val="17"/>
          <w:szCs w:val="17"/>
        </w:rPr>
        <w:t xml:space="preserve">Path 3 (Shift):    ∂y/∂x_shift = Conv₂ᵀ · ∂β/∂x</w:t>
      </w:r>
    </w:p>
    <w:p>
      <w:pPr>
        <w:spacing w:after="140" w:before="0" w:line="340"/>
        <w:jc w:val="both"/>
      </w:pPr>
      <w:r>
        <w:rPr>
          <w:rFonts w:ascii="Times New Roman" w:cs="Times New Roman" w:eastAsia="Times New Roman" w:hAnsi="Times New Roman"/>
          <w:b/>
          <w:bCs/>
          <w:sz w:val="22"/>
          <w:szCs w:val="22"/>
        </w:rPr>
        <w:t xml:space="preserve">Key theoretical properties</w:t>
      </w:r>
      <w:r>
        <w:rPr>
          <w:rFonts w:ascii="Times New Roman" w:cs="Times New Roman" w:eastAsia="Times New Roman" w:hAnsi="Times New Roman"/>
          <w:sz w:val="22"/>
          <w:szCs w:val="22"/>
        </w:rPr>
        <w:t xml:space="preserve">:</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Non-vanishing gradients: Path 1 (residual identity I) guarantees ‖∂L/∂x‖ ≥ ‖∂L/∂y‖, preventing gradient vanishing regardless of modulation parameters. This is inherited from ResNet theory (He et al., 2016).</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Adaptive gradient scaling: Path 2 contains the term γ · ∂h/∂x, where γ ∈ (0,1) per channel. This provides a learned, input-dependent gradient scaling: channels with small γ receive attenuated gradients (suppressing noisy spectral bands), while channels with large γ receive full gradients (amplifying discriminative bands). This is fundamentally different from fixed dropout or batch normalization.</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Shift-induced gradient pathway: Path 3 (∂β/∂x) provides an additional gradient signal that is independent of the feature magnitude ‖h‖. This means even when features are near zero (dead channels), the shift gradient maintains learning signal flow — a property absent in scale-only mechanisms like SE-Net.</w:t>
      </w:r>
    </w:p>
    <w:p>
      <w:pPr>
        <w:spacing w:after="140" w:before="0" w:line="340"/>
        <w:jc w:val="both"/>
      </w:pPr>
      <w:r>
        <w:rPr>
          <w:rFonts w:ascii="Times New Roman" w:cs="Times New Roman" w:eastAsia="Times New Roman" w:hAnsi="Times New Roman"/>
          <w:b/>
          <w:bCs/>
          <w:sz w:val="22"/>
          <w:szCs w:val="22"/>
        </w:rPr>
        <w:t xml:space="preserve">B. Stability Analysis</w:t>
      </w:r>
    </w:p>
    <w:p>
      <w:pPr>
        <w:spacing w:after="140" w:before="0" w:line="340"/>
        <w:jc w:val="both"/>
      </w:pPr>
      <w:r>
        <w:rPr>
          <w:rFonts w:ascii="Times New Roman" w:cs="Times New Roman" w:eastAsia="Times New Roman" w:hAnsi="Times New Roman"/>
          <w:sz w:val="22"/>
          <w:szCs w:val="22"/>
        </w:rPr>
        <w:t xml:space="preserve">Since γ = σ(Wγ · z) where σ is the sigmoid function:</w:t>
      </w:r>
    </w:p>
    <w:p>
      <w:pPr>
        <w:spacing w:after="140" w:before="0" w:line="340"/>
        <w:jc w:val="both"/>
      </w:pPr>
      <w:r>
        <w:rPr>
          <w:rFonts w:ascii="Times New Roman" w:cs="Times New Roman" w:eastAsia="Times New Roman" w:hAnsi="Times New Roman"/>
          <w:sz w:val="22"/>
          <w:szCs w:val="22"/>
        </w:rPr>
        <w:t xml:space="preserve">The modulated output h_mod = γ ⊙ h + β satisfies:</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‖h_mod‖ ≤ ‖h‖ + ‖β‖</w:t>
      </w:r>
    </w:p>
    <w:p>
      <w:pPr>
        <w:spacing w:after="140" w:before="0" w:line="340"/>
        <w:jc w:val="both"/>
      </w:pPr>
      <w:r>
        <w:rPr>
          <w:rFonts w:ascii="Times New Roman" w:cs="Times New Roman" w:eastAsia="Times New Roman" w:hAnsi="Times New Roman"/>
          <w:sz w:val="22"/>
          <w:szCs w:val="22"/>
        </w:rPr>
        <w:t xml:space="preserve">Since β is unconstrained, we rely on weight decay (λ = 10⁻⁴) and batch normalization to regularize ‖β‖. Empirically, ‖β‖ remains within [-0.5, 0.5] across all datasets (see Section 21, β heatmaps), confirming stable training.</w:t>
      </w:r>
    </w:p>
    <w:p>
      <w:pPr>
        <w:spacing w:after="140" w:before="0" w:line="340"/>
        <w:jc w:val="both"/>
      </w:pPr>
      <w:r>
        <w:rPr>
          <w:rFonts w:ascii="Times New Roman" w:cs="Times New Roman" w:eastAsia="Times New Roman" w:hAnsi="Times New Roman"/>
          <w:b/>
          <w:bCs/>
          <w:sz w:val="22"/>
          <w:szCs w:val="22"/>
        </w:rPr>
        <w:t xml:space="preserve">Lipschitz continuity: </w:t>
      </w:r>
      <w:r>
        <w:rPr>
          <w:rFonts w:ascii="Times New Roman" w:cs="Times New Roman" w:eastAsia="Times New Roman" w:hAnsi="Times New Roman"/>
          <w:sz w:val="22"/>
          <w:szCs w:val="22"/>
        </w:rPr>
        <w:t xml:space="preserve">The SSMRB mapping f: x → y is locally Lipschitz continuous because all component functions (Conv, BN, ReLU, sigmoid, linear) are Lipschitz. This guarantees bounded output sensitivity to input perturbations — a desirable property for noise robustness (validated in Section 20).</w:t>
      </w:r>
    </w:p>
    <w:p>
      <w:pPr>
        <w:spacing w:after="140" w:before="0" w:line="340"/>
        <w:jc w:val="both"/>
      </w:pPr>
      <w:r>
        <w:rPr>
          <w:rFonts w:ascii="Times New Roman" w:cs="Times New Roman" w:eastAsia="Times New Roman" w:hAnsi="Times New Roman"/>
          <w:b/>
          <w:bCs/>
          <w:sz w:val="22"/>
          <w:szCs w:val="22"/>
        </w:rPr>
        <w:t xml:space="preserve">C. Parameter Sensitivity Analysis</w:t>
      </w:r>
    </w:p>
    <w:p>
      <w:pPr>
        <w:spacing w:after="140" w:before="0" w:line="340"/>
        <w:jc w:val="both"/>
      </w:pPr>
      <w:r>
        <w:rPr>
          <w:rFonts w:ascii="Times New Roman" w:cs="Times New Roman" w:eastAsia="Times New Roman" w:hAnsi="Times New Roman"/>
          <w:sz w:val="22"/>
          <w:szCs w:val="22"/>
        </w:rPr>
        <w:t xml:space="preserve">The SSMRB has one key hyperparameter: the </w:t>
      </w:r>
      <w:r>
        <w:rPr>
          <w:rFonts w:ascii="Times New Roman" w:cs="Times New Roman" w:eastAsia="Times New Roman" w:hAnsi="Times New Roman"/>
          <w:b/>
          <w:bCs/>
          <w:sz w:val="22"/>
          <w:szCs w:val="22"/>
        </w:rPr>
        <w:t xml:space="preserve">reduction ratio r = C/r_dim</w:t>
      </w:r>
      <w:r>
        <w:rPr>
          <w:rFonts w:ascii="Times New Roman" w:cs="Times New Roman" w:eastAsia="Times New Roman" w:hAnsi="Times New Roman"/>
          <w:sz w:val="22"/>
          <w:szCs w:val="22"/>
        </w:rPr>
        <w:t xml:space="preserve">.</w:t>
      </w:r>
    </w:p>
    <w:p>
      <w:pPr>
        <w:spacing w:after="60" w:before="200"/>
        <w:jc w:val="center"/>
      </w:pPr>
      <w:r>
        <w:rPr>
          <w:rFonts w:ascii="Times New Roman" w:cs="Times New Roman" w:eastAsia="Times New Roman" w:hAnsi="Times New Roman"/>
          <w:b/>
          <w:bCs/>
          <w:sz w:val="18"/>
          <w:szCs w:val="18"/>
        </w:rPr>
        <w:t xml:space="preserve">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Reduction r</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Modulation Params</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 of Block</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Expected Behavior</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 = 2 (32→64)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8,320</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10.8%</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Over-parameterized, risk of overfitting</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 = 4 (16→64)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3,216</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4.2%</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Balanced (chosen)</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 = 8 (8→64)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1,608</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2.1%</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Under-parameterized, weak modulation</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 = 16 (4→64)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804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Near-zero modulation capacity</w:t>
            </w:r>
          </w:p>
        </w:tc>
      </w:tr>
    </w:tbl>
    <w:p>
      <w:pPr>
        <w:spacing w:after="60" w:before="0"/>
      </w:pPr>
      <w:r>
        <w:t xml:space="preserve"/>
      </w:r>
    </w:p>
    <w:p>
      <w:pPr>
        <w:spacing w:after="140" w:before="0" w:line="340"/>
        <w:jc w:val="both"/>
      </w:pPr>
      <w:r>
        <w:rPr>
          <w:rFonts w:ascii="Times New Roman" w:cs="Times New Roman" w:eastAsia="Times New Roman" w:hAnsi="Times New Roman"/>
          <w:sz w:val="22"/>
          <w:szCs w:val="22"/>
        </w:rPr>
        <w:t xml:space="preserve">We select r = 4 following the SE-Net convention (Hu et al., 2018), which provides sufficient capacity for 64-channel modulation while adding only 4.2% parameter overhead. The near-uniform attention entropy (~4.15 across all datasets, Section 21.2) confirms that this capacity is neither over- nor under-utilized.</w:t>
      </w:r>
    </w:p>
    <w:p>
      <w:pPr>
        <w:pStyle w:val="Heading3"/>
        <w:spacing w:after="100" w:before="220"/>
      </w:pPr>
      <w:r>
        <w:rPr>
          <w:rFonts w:ascii="Times New Roman" w:cs="Times New Roman" w:eastAsia="Times New Roman" w:hAnsi="Times New Roman"/>
          <w:b/>
          <w:bCs/>
          <w:i/>
          <w:iCs/>
          <w:color w:val="333333"/>
          <w:sz w:val="22"/>
          <w:szCs w:val="22"/>
        </w:rPr>
        <w:t xml:space="preserve">Fundamental Differentiation from Prior Modulation Mechanisms</w:t>
      </w:r>
    </w:p>
    <w:p>
      <w:pPr>
        <w:spacing w:after="60" w:before="200"/>
        <w:jc w:val="center"/>
      </w:pPr>
      <w:r>
        <w:rPr>
          <w:rFonts w:ascii="Times New Roman" w:cs="Times New Roman" w:eastAsia="Times New Roman" w:hAnsi="Times New Roman"/>
          <w:b/>
          <w:bCs/>
          <w:sz w:val="18"/>
          <w:szCs w:val="18"/>
        </w:rPr>
        <w:t xml:space="preserve">Table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Property</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SE-Net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CBAM</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FiLM</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SSMRB (Ours)</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Modulation type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only (γ)</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(spatial + channel)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 Shift (γ, β)</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Scale + Shift (γ, β)</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Context source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 (GAP of output)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 (GAP + MaxPool)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External signal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 (GAP of intermediate)</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Application point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After residual block</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After residual block</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Before/after layers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Within residual block</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Gradient paths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 (residual + scale)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 (residual + scale)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 (scale + shift)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 (residual + scale + shift)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Dead channel recovery</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 (γ→0 kills gradient)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Yes (β provides signal)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Yes (β + residual)</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HSI-specific design</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Yes</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Domain</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ImageNet (RGB)</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ImageNet (RGB)</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VQA, style transfer</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Hyperspectral</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Why scale + shift matters for HSI specifically</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Hyperspectral bands span diverse physical phenomena: atmospheric absorption windows (noisy, should be suppressed), diagnostic absorption features (narrow, should be amplified), and continuum bands (informative but varying in magnitude). A scale-only mechanism (SE-Net) can suppress noisy bands (γ→0) and amplify discriminative ones (γ→1), but cannot re-center the activation distribution when bands have different baseline intensities after denoising and wavelet augmentation.</w:t>
      </w:r>
    </w:p>
    <w:p>
      <w:pPr>
        <w:spacing w:after="140" w:before="0" w:line="340"/>
        <w:jc w:val="both"/>
      </w:pPr>
      <w:r>
        <w:rPr>
          <w:rFonts w:ascii="Times New Roman" w:cs="Times New Roman" w:eastAsia="Times New Roman" w:hAnsi="Times New Roman"/>
          <w:sz w:val="22"/>
          <w:szCs w:val="22"/>
        </w:rPr>
        <w:t xml:space="preserve">SSMRB's shift parameter β enables </w:t>
      </w:r>
      <w:r>
        <w:rPr>
          <w:rFonts w:ascii="Times New Roman" w:cs="Times New Roman" w:eastAsia="Times New Roman" w:hAnsi="Times New Roman"/>
          <w:b/>
          <w:bCs/>
          <w:sz w:val="22"/>
          <w:szCs w:val="22"/>
        </w:rPr>
        <w:t xml:space="preserve">distribution re-centering</w:t>
      </w:r>
      <w:r>
        <w:rPr>
          <w:rFonts w:ascii="Times New Roman" w:cs="Times New Roman" w:eastAsia="Times New Roman" w:hAnsi="Times New Roman"/>
          <w:sz w:val="22"/>
          <w:szCs w:val="22"/>
        </w:rPr>
        <w:t xml:space="preserve">: for a band where AFDKF denoising has shifted the mean away from zero, β compensates by shifting the activation back, allowing the subsequent convolution to operate on a normalized feature space. This is analogous to conditional instance normalization but is learned from the input's own spectral context rather than from class labels.</w:t>
      </w:r>
    </w:p>
    <w:p>
      <w:pPr>
        <w:spacing w:after="140" w:before="0" w:line="340"/>
        <w:jc w:val="both"/>
      </w:pPr>
      <w:r>
        <w:rPr>
          <w:rFonts w:ascii="Times New Roman" w:cs="Times New Roman" w:eastAsia="Times New Roman" w:hAnsi="Times New Roman"/>
          <w:b/>
          <w:bCs/>
          <w:sz w:val="22"/>
          <w:szCs w:val="22"/>
        </w:rPr>
        <w:t xml:space="preserve">Why self-context (not external) matters</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FiLM conditions on an external signal (e.g., a question in VQA). SSMRB conditions on the input's own global spectral context (via GAP). This is critical for HSI because the "conditioning signal" IS the spectral signature — each pixel's spectral profile dictates which channels should be modulated. There is no external modality; the spectral distribution itself is both the data and the conditioning signal.</w:t>
      </w:r>
    </w:p>
    <w:p>
      <w:pPr>
        <w:pStyle w:val="Heading3"/>
        <w:spacing w:after="100" w:before="220"/>
      </w:pPr>
      <w:r>
        <w:rPr>
          <w:rFonts w:ascii="Times New Roman" w:cs="Times New Roman" w:eastAsia="Times New Roman" w:hAnsi="Times New Roman"/>
          <w:b/>
          <w:bCs/>
          <w:i/>
          <w:iCs/>
          <w:color w:val="333333"/>
          <w:sz w:val="22"/>
          <w:szCs w:val="22"/>
        </w:rPr>
        <w:t xml:space="preserve">Justification of CNN Architecture in the Transformer Era</w:t>
      </w:r>
    </w:p>
    <w:p>
      <w:pPr>
        <w:spacing w:after="140" w:before="0" w:line="340"/>
        <w:jc w:val="both"/>
      </w:pPr>
      <w:r>
        <w:rPr>
          <w:rFonts w:ascii="Times New Roman" w:cs="Times New Roman" w:eastAsia="Times New Roman" w:hAnsi="Times New Roman"/>
          <w:sz w:val="22"/>
          <w:szCs w:val="22"/>
        </w:rPr>
        <w:t xml:space="preserve">We argue that CNN architectures with spectral self-modulation are preferable to transformers for supervised HSI classification under practical constraints:</w:t>
      </w:r>
    </w:p>
    <w:p>
      <w:pPr>
        <w:spacing w:after="140" w:before="0" w:line="340"/>
        <w:jc w:val="both"/>
      </w:pPr>
      <w:r>
        <w:rPr>
          <w:rFonts w:ascii="Times New Roman" w:cs="Times New Roman" w:eastAsia="Times New Roman" w:hAnsi="Times New Roman"/>
          <w:b/>
          <w:bCs/>
          <w:sz w:val="22"/>
          <w:szCs w:val="22"/>
        </w:rPr>
        <w:t xml:space="preserve">1. Spectral locality inductive bias</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Adjacent spectral bands in hyperspectral imagery are physically correlated — absorption features span 5–20 nm, and atmospheric windows create smooth spectral gradients. Convolutional kernels naturally capture these local spectral-spatial correlations through weight sharing. Transformers must learn these locality patterns from data, requiring more training samples.</w:t>
      </w:r>
    </w:p>
    <w:p>
      <w:pPr>
        <w:spacing w:after="140" w:before="0" w:line="340"/>
        <w:jc w:val="both"/>
      </w:pPr>
      <w:r>
        <w:rPr>
          <w:rFonts w:ascii="Times New Roman" w:cs="Times New Roman" w:eastAsia="Times New Roman" w:hAnsi="Times New Roman"/>
          <w:b/>
          <w:bCs/>
          <w:sz w:val="22"/>
          <w:szCs w:val="22"/>
        </w:rPr>
        <w:t xml:space="preserve">2. Small-sample stability</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HSI datasets are inherently small-sample (Indian Pines: 1,525 train, KSC: 776 train). Transformer self-attention has O(n²) complexity and requires sufficient data to learn meaningful attention patterns. Our empirical results confirm this: SpectralFormer achieves only 89.13% on Indian Pines (vs SMCNN's 99.08%), indicating that transformer attention fails to converge properly with limited labeled data.</w:t>
      </w:r>
    </w:p>
    <w:p>
      <w:pPr>
        <w:spacing w:after="140" w:before="0" w:line="340"/>
        <w:jc w:val="both"/>
      </w:pPr>
      <w:r>
        <w:rPr>
          <w:rFonts w:ascii="Times New Roman" w:cs="Times New Roman" w:eastAsia="Times New Roman" w:hAnsi="Times New Roman"/>
          <w:b/>
          <w:bCs/>
          <w:sz w:val="22"/>
          <w:szCs w:val="22"/>
        </w:rPr>
        <w:t xml:space="preserve">3. Computational efficiency</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SMCNN trains in 17 seconds on Indian Pines vs 215s (SpectralFormer) and 382s (SSFTT) — a 10–22× speedup. For precision agriculture applications requiring frequent retraining on new field data, this efficiency is operationally critical.</w:t>
      </w:r>
    </w:p>
    <w:p>
      <w:pPr>
        <w:spacing w:after="140" w:before="0" w:line="340"/>
        <w:jc w:val="both"/>
      </w:pPr>
      <w:r>
        <w:rPr>
          <w:rFonts w:ascii="Times New Roman" w:cs="Times New Roman" w:eastAsia="Times New Roman" w:hAnsi="Times New Roman"/>
          <w:b/>
          <w:bCs/>
          <w:sz w:val="22"/>
          <w:szCs w:val="22"/>
        </w:rPr>
        <w:t xml:space="preserve">4. Empirical validation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SMCNN outperforms both SpectralFormer and SSFTT on 3 of 4 evaluated datasets (Table in Section 18), with the single exception being KSC where SSFTT's 3D convolutional tokenizer provides multi-scale spectral features that benefit spectrally overlapping wetland classes.</w:t>
      </w:r>
    </w:p>
    <w:p>
      <w:pPr>
        <w:spacing w:after="140" w:before="0" w:line="340"/>
        <w:jc w:val="both"/>
      </w:pPr>
      <w:r>
        <w:rPr>
          <w:rFonts w:ascii="Times New Roman" w:cs="Times New Roman" w:eastAsia="Times New Roman" w:hAnsi="Times New Roman"/>
          <w:b/>
          <w:bCs/>
          <w:sz w:val="22"/>
          <w:szCs w:val="22"/>
        </w:rPr>
        <w:t xml:space="preserve">5. Compatibility with modulation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The SSMRB mechanism operates on convolutional feature maps where each channel has a clear spectral interpretation (learned spectral filters). In transformers, the token-mixing attention has no direct spectral-channel correspondence, making spectral self-modulation architecturally less natural.</w:t>
      </w:r>
    </w:p>
    <w:p>
      <w:pPr>
        <w:pStyle w:val="Heading2"/>
        <w:spacing w:after="120" w:before="300"/>
      </w:pPr>
      <w:r>
        <w:rPr>
          <w:rFonts w:ascii="Times New Roman" w:cs="Times New Roman" w:eastAsia="Times New Roman" w:hAnsi="Times New Roman"/>
          <w:b/>
          <w:bCs/>
          <w:color w:val="1a1a1a"/>
          <w:sz w:val="24"/>
          <w:szCs w:val="24"/>
        </w:rPr>
        <w:t xml:space="preserve">Stage 4: SFWOA — Superb Fairy-Wren Optimization Algorithm</w:t>
      </w:r>
    </w:p>
    <w:p>
      <w:pPr>
        <w:spacing w:after="140" w:before="0" w:line="340"/>
        <w:jc w:val="both"/>
      </w:pPr>
      <w:r>
        <w:rPr>
          <w:rFonts w:ascii="Times New Roman" w:cs="Times New Roman" w:eastAsia="Times New Roman" w:hAnsi="Times New Roman"/>
          <w:b/>
          <w:bCs/>
          <w:sz w:val="22"/>
          <w:szCs w:val="22"/>
        </w:rPr>
        <w:t xml:space="preserve">SFWOA Learning Rate Schedule Diagram</w:t>
      </w:r>
      <w:r>
        <w:rPr>
          <w:rFonts w:ascii="Times New Roman" w:cs="Times New Roman" w:eastAsia="Times New Roman" w:hAnsi="Times New Roman"/>
          <w:sz w:val="22"/>
          <w:szCs w:val="22"/>
        </w:rPr>
        <w:t xml:space="preserve"> (Publication-ready, Figure 3):</w:t>
      </w:r>
    </w:p>
    <w:p>
      <w:pPr>
        <w:spacing w:after="40" w:before="120"/>
        <w:jc w:val="center"/>
      </w:pPr>
      <w:r>
        <w:drawing>
          <wp:inline distT="0" distB="0" distL="0" distR="0">
            <wp:extent cx="3619500" cy="3619500"/>
            <wp:effectExtent t="0" r="0" b="0" l="0"/>
            <wp:docPr id="1" name="sfwoa_lr_schedule.png" descr="sfwoa_lr_schedule.png" title="sfwoa_lr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3. SFWOA Learning Rate Schedule — 3 Biologically-Motivated Phases</w:t>
      </w:r>
    </w:p>
    <w:p>
      <w:pPr>
        <w:spacing w:after="140" w:before="0" w:line="340"/>
        <w:jc w:val="both"/>
      </w:pPr>
      <w:r>
        <w:rPr>
          <w:rFonts w:ascii="Times New Roman" w:cs="Times New Roman" w:eastAsia="Times New Roman" w:hAnsi="Times New Roman"/>
          <w:b/>
          <w:bCs/>
          <w:sz w:val="22"/>
          <w:szCs w:val="22"/>
        </w:rPr>
        <w:t xml:space="preserve">Design Rationale: </w:t>
      </w:r>
      <w:r>
        <w:rPr>
          <w:rFonts w:ascii="Times New Roman" w:cs="Times New Roman" w:eastAsia="Times New Roman" w:hAnsi="Times New Roman"/>
          <w:sz w:val="22"/>
          <w:szCs w:val="22"/>
        </w:rPr>
        <w:t xml:space="preserve">We do NOT use SFWOA to optimize CNN weights directly (which would be infeasible for 190K parameters). Instead, SFWOA serves as an adaptive learning rate scheduler that detects loss plateaus and applies Lévy-flight perturbations to escape local minima.</w:t>
      </w:r>
    </w:p>
    <w:p>
      <w:pPr>
        <w:spacing w:after="140" w:before="0" w:line="340"/>
        <w:jc w:val="both"/>
      </w:pPr>
      <w:r>
        <w:rPr>
          <w:rFonts w:ascii="Times New Roman" w:cs="Times New Roman" w:eastAsia="Times New Roman" w:hAnsi="Times New Roman"/>
          <w:b/>
          <w:bCs/>
          <w:sz w:val="22"/>
          <w:szCs w:val="22"/>
        </w:rPr>
        <w:t xml:space="preserve">Three Biologically-Motivated Phases</w:t>
      </w:r>
      <w:r>
        <w:rPr>
          <w:rFonts w:ascii="Times New Roman" w:cs="Times New Roman" w:eastAsia="Times New Roman" w:hAnsi="Times New Roman"/>
          <w:sz w:val="22"/>
          <w:szCs w:val="22"/>
        </w:rPr>
        <w:t xml:space="preserve">:</w:t>
      </w:r>
    </w:p>
    <w:p>
      <w:pPr>
        <w:spacing w:after="60" w:before="200"/>
        <w:jc w:val="center"/>
      </w:pPr>
      <w:r>
        <w:rPr>
          <w:rFonts w:ascii="Times New Roman" w:cs="Times New Roman" w:eastAsia="Times New Roman" w:hAnsi="Times New Roman"/>
          <w:b/>
          <w:bCs/>
          <w:sz w:val="18"/>
          <w:szCs w:val="18"/>
        </w:rPr>
        <w:t xml:space="preserve">Table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Phase</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Biological Analogy</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Learning Rate Behavior</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Juvenile Growth</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Young birds exploring territory</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High LR (exploration)</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Breeding/Feeding</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Adults exploiting known food sources</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Cosine decay (exploitation)</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Predator Evasion</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Sudden flight to escape danger</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Lévy-flight LR jump (escape local minimum)</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Mathematical Formulation</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b/>
          <w:bCs/>
          <w:sz w:val="22"/>
          <w:szCs w:val="22"/>
        </w:rPr>
        <w:t xml:space="preserve">Phase 2 — Breeding (normal training)</w:t>
      </w:r>
      <w:r>
        <w:rPr>
          <w:rFonts w:ascii="Times New Roman" w:cs="Times New Roman" w:eastAsia="Times New Roman" w:hAnsi="Times New Roman"/>
          <w:sz w:val="22"/>
          <w:szCs w:val="22"/>
        </w:rPr>
        <w:t xml:space="preserve">:</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lr(t) = lr_base × 0.5 × (1 + cos(π × t/T))</w:t>
      </w:r>
    </w:p>
    <w:p>
      <w:pPr>
        <w:spacing w:after="140" w:before="0" w:line="340"/>
        <w:jc w:val="both"/>
      </w:pPr>
      <w:r>
        <w:rPr>
          <w:rFonts w:ascii="Times New Roman" w:cs="Times New Roman" w:eastAsia="Times New Roman" w:hAnsi="Times New Roman"/>
          <w:sz w:val="22"/>
          <w:szCs w:val="22"/>
        </w:rPr>
        <w:t xml:space="preserve">where t = current epoch, T = total epochs.</w:t>
      </w:r>
    </w:p>
    <w:p>
      <w:pPr>
        <w:spacing w:after="140" w:before="0" w:line="340"/>
        <w:jc w:val="both"/>
      </w:pPr>
      <w:r>
        <w:rPr>
          <w:rFonts w:ascii="Times New Roman" w:cs="Times New Roman" w:eastAsia="Times New Roman" w:hAnsi="Times New Roman"/>
          <w:b/>
          <w:bCs/>
          <w:sz w:val="22"/>
          <w:szCs w:val="22"/>
        </w:rPr>
        <w:t xml:space="preserve">Phase 3 — Predator Evasion (plateau detected)</w:t>
      </w:r>
      <w:r>
        <w:rPr>
          <w:rFonts w:ascii="Times New Roman" w:cs="Times New Roman" w:eastAsia="Times New Roman" w:hAnsi="Times New Roman"/>
          <w:sz w:val="22"/>
          <w:szCs w:val="22"/>
        </w:rPr>
        <w:t xml:space="preserve">:</w:t>
      </w:r>
    </w:p>
    <w:p>
      <w:pPr>
        <w:spacing w:after="140" w:before="0" w:line="340"/>
        <w:jc w:val="both"/>
      </w:pPr>
      <w:r>
        <w:rPr>
          <w:rFonts w:ascii="Times New Roman" w:cs="Times New Roman" w:eastAsia="Times New Roman" w:hAnsi="Times New Roman"/>
          <w:sz w:val="22"/>
          <w:szCs w:val="22"/>
        </w:rPr>
        <w:t xml:space="preserve">Triggered when improvement &lt; 10⁻⁴ for patience consecutive epochs.</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lr(t+1) = lr_base × α ⊕ Lévy(β)</w:t>
      </w:r>
    </w:p>
    <w:p>
      <w:pPr>
        <w:spacing w:after="140" w:before="0" w:line="340"/>
        <w:jc w:val="both"/>
      </w:pPr>
      <w:r>
        <w:rPr>
          <w:rFonts w:ascii="Times New Roman" w:cs="Times New Roman" w:eastAsia="Times New Roman" w:hAnsi="Times New Roman"/>
          <w:b/>
          <w:bCs/>
          <w:sz w:val="22"/>
          <w:szCs w:val="22"/>
        </w:rPr>
        <w:t xml:space="preserve">Lévy flight step</w:t>
      </w:r>
      <w:r>
        <w:rPr>
          <w:rFonts w:ascii="Times New Roman" w:cs="Times New Roman" w:eastAsia="Times New Roman" w:hAnsi="Times New Roman"/>
          <w:sz w:val="22"/>
          <w:szCs w:val="22"/>
        </w:rPr>
        <w:t xml:space="preserve"> (Mantegna's algorithm, β=1.5):</w:t>
      </w:r>
    </w:p>
    <w:p>
      <w:pPr>
        <w:pBdr>
          <w:top w:val="single" w:color="CCCCCC" w:sz="1"/>
          <w:bottom w:val="single" w:color="CCCCCC" w:sz="1"/>
          <w:left w:val="single" w:color="CCCCCC" w:sz="1"/>
          <w:right w:val="single" w:color="CCCCCC" w:sz="1"/>
        </w:pBdr>
        <w:shd w:fill="F5F5F5" w:val="clear"/>
        <w:spacing w:after="120" w:before="120"/>
        <w:ind w:left="360" w:right="360"/>
        <w:jc w:val="left"/>
      </w:pPr>
      <w:r>
        <w:rPr>
          <w:rFonts w:ascii="Consolas" w:cs="Consolas" w:eastAsia="Consolas" w:hAnsi="Consolas"/>
          <w:sz w:val="17"/>
          <w:szCs w:val="17"/>
        </w:rPr>
        <w:t xml:space="preserve">σ = [Γ(1+β) × sin(πβ/2) / (Γ((1+β)/2) × β × 2^((β-1)/2))]^(1/β)</w:t>
      </w:r>
      <w:r>
        <w:rPr>
          <w:rFonts w:ascii="Consolas" w:cs="Consolas" w:eastAsia="Consolas" w:hAnsi="Consolas"/>
          <w:sz w:val="17"/>
          <w:szCs w:val="17"/>
        </w:rPr>
        <w:br/>
        <w:t xml:space="preserve"/>
      </w:r>
      <w:r>
        <w:rPr>
          <w:rFonts w:ascii="Consolas" w:cs="Consolas" w:eastAsia="Consolas" w:hAnsi="Consolas"/>
          <w:sz w:val="17"/>
          <w:szCs w:val="17"/>
        </w:rPr>
        <w:t xml:space="preserve">u ~ N(0, σ²)</w:t>
      </w:r>
      <w:r>
        <w:rPr>
          <w:rFonts w:ascii="Consolas" w:cs="Consolas" w:eastAsia="Consolas" w:hAnsi="Consolas"/>
          <w:sz w:val="17"/>
          <w:szCs w:val="17"/>
        </w:rPr>
        <w:br/>
        <w:t xml:space="preserve"/>
      </w:r>
      <w:r>
        <w:rPr>
          <w:rFonts w:ascii="Consolas" w:cs="Consolas" w:eastAsia="Consolas" w:hAnsi="Consolas"/>
          <w:sz w:val="17"/>
          <w:szCs w:val="17"/>
        </w:rPr>
        <w:t xml:space="preserve">v ~ N(0, 1)</w:t>
      </w:r>
      <w:r>
        <w:rPr>
          <w:rFonts w:ascii="Consolas" w:cs="Consolas" w:eastAsia="Consolas" w:hAnsi="Consolas"/>
          <w:sz w:val="17"/>
          <w:szCs w:val="17"/>
        </w:rPr>
        <w:br/>
        <w:t xml:space="preserve"/>
      </w:r>
      <w:r>
        <w:rPr>
          <w:rFonts w:ascii="Consolas" w:cs="Consolas" w:eastAsia="Consolas" w:hAnsi="Consolas"/>
          <w:sz w:val="17"/>
          <w:szCs w:val="17"/>
        </w:rPr>
        <w:t xml:space="preserve">step = u / |v|^(1/β)</w:t>
      </w:r>
    </w:p>
    <w:p>
      <w:pPr>
        <w:spacing w:after="140" w:before="0" w:line="340"/>
        <w:jc w:val="both"/>
      </w:pPr>
      <w:r>
        <w:rPr>
          <w:rFonts w:ascii="Times New Roman" w:cs="Times New Roman" w:eastAsia="Times New Roman" w:hAnsi="Times New Roman"/>
          <w:sz w:val="22"/>
          <w:szCs w:val="22"/>
        </w:rPr>
        <w:t xml:space="preserve">The new learning rate is clamped to [0.1 × lr_base, 3.0 × lr_base] for stability.</w:t>
      </w:r>
    </w:p>
    <w:p>
      <w:pPr>
        <w:spacing w:after="140" w:before="0" w:line="340"/>
        <w:jc w:val="both"/>
      </w:pPr>
      <w:r>
        <w:rPr>
          <w:rFonts w:ascii="Times New Roman" w:cs="Times New Roman" w:eastAsia="Times New Roman" w:hAnsi="Times New Roman"/>
          <w:b/>
          <w:bCs/>
          <w:sz w:val="22"/>
          <w:szCs w:val="22"/>
        </w:rPr>
        <w:t xml:space="preserve">Comparison with Adam: </w:t>
      </w:r>
      <w:r>
        <w:rPr>
          <w:rFonts w:ascii="Times New Roman" w:cs="Times New Roman" w:eastAsia="Times New Roman" w:hAnsi="Times New Roman"/>
          <w:sz w:val="22"/>
          <w:szCs w:val="22"/>
        </w:rPr>
        <w:t xml:space="preserve">Adam uses exponential moving averages of gradients (first and second moments) but can converge to sharp local minima. SFWOA's Lévy flights provide heavy-tailed perturbations that enable large jumps to escape sharp minima, which Adam's smooth updates cannot achieve. The ablation study (Section 7) validates that SFWOA provides measurable improvement over Adam alone.</w:t>
      </w:r>
    </w:p>
    <w:p>
      <w:pPr>
        <w:pStyle w:val="Heading1"/>
        <w:spacing w:after="160" w:before="400"/>
        <w:jc w:val="left"/>
      </w:pPr>
      <w:r>
        <w:rPr>
          <w:rFonts w:ascii="Times New Roman" w:cs="Times New Roman" w:eastAsia="Times New Roman" w:hAnsi="Times New Roman"/>
          <w:b/>
          <w:bCs/>
          <w:color w:val="1a1a1a"/>
          <w:sz w:val="28"/>
          <w:szCs w:val="28"/>
        </w:rPr>
        <w:t xml:space="preserve">Experimental Setup</w:t>
      </w:r>
    </w:p>
    <w:p>
      <w:pPr>
        <w:pStyle w:val="Heading2"/>
        <w:spacing w:after="120" w:before="300"/>
      </w:pPr>
      <w:r>
        <w:rPr>
          <w:rFonts w:ascii="Times New Roman" w:cs="Times New Roman" w:eastAsia="Times New Roman" w:hAnsi="Times New Roman"/>
          <w:b/>
          <w:bCs/>
          <w:color w:val="1a1a1a"/>
          <w:sz w:val="24"/>
          <w:szCs w:val="24"/>
        </w:rPr>
        <w:t xml:space="preserve">Datasets</w:t>
      </w:r>
    </w:p>
    <w:p>
      <w:pPr>
        <w:spacing w:after="60" w:before="200"/>
        <w:jc w:val="center"/>
      </w:pPr>
      <w:r>
        <w:rPr>
          <w:rFonts w:ascii="Times New Roman" w:cs="Times New Roman" w:eastAsia="Times New Roman" w:hAnsi="Times New Roman"/>
          <w:b/>
          <w:bCs/>
          <w:sz w:val="18"/>
          <w:szCs w:val="18"/>
        </w:rPr>
        <w:t xml:space="preserve">Table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Sensor</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Size (H×W)</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Bands</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Classes</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Labeled Pixels</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Spatial Res.</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AVIRIS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145×145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200 (after noisy removal)</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10,249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 m</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ROSIS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610×340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42,776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 m</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Hyperion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1476×256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3,248</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 m</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Kennedy Space Center</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AVIRIS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512×614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5,211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18 m</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 HanChuan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Headwall Nano</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1217×303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274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257,530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0.109 m</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Training Protocol</w:t>
      </w:r>
    </w:p>
    <w:p>
      <w:pPr>
        <w:spacing w:after="60" w:before="200"/>
        <w:jc w:val="center"/>
      </w:pPr>
      <w:r>
        <w:rPr>
          <w:rFonts w:ascii="Times New Roman" w:cs="Times New Roman" w:eastAsia="Times New Roman" w:hAnsi="Times New Roman"/>
          <w:b/>
          <w:bCs/>
          <w:sz w:val="18"/>
          <w:szCs w:val="18"/>
        </w:rPr>
        <w:t xml:space="preserve">Table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Hyperparameter</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Value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Patch size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 15</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Train/Test split</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train / 85% test (stratified)</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Batch size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64</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Epochs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Optimizer</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AdamW (base) + SFWOA (LR scheduler)</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Base learning rate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0.001</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Weight decay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1×10⁻⁴</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Dropout</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0.4</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Loss function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CrossEntropyLoss</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Random seeds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{42, 100, 2024} (3 runs per dataset)</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GPU</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NVIDIA Tesla T4 (Kaggle)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Framework</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PyTorch 2.x</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Data Splitting &amp; Leakage Prevention</w:t>
      </w:r>
    </w:p>
    <w:p>
      <w:pPr>
        <w:spacing w:after="80" w:before="0" w:line="320"/>
        <w:ind w:left="540" w:hanging="200"/>
        <w:jc w:val="both"/>
      </w:pPr>
      <w:r>
        <w:rPr>
          <w:rFonts w:ascii="Times New Roman" w:cs="Times New Roman" w:eastAsia="Times New Roman" w:hAnsi="Times New Roman"/>
          <w:sz w:val="22"/>
          <w:szCs w:val="22"/>
        </w:rPr>
        <w:t xml:space="preserve">•  Stratified splitting: 15% of labeled pixels for training, 85% for testing, stratified by class to preserve class distribution</w:t>
      </w:r>
    </w:p>
    <w:p>
      <w:pPr>
        <w:spacing w:after="80" w:before="0" w:line="320"/>
        <w:ind w:left="540" w:hanging="200"/>
        <w:jc w:val="both"/>
      </w:pPr>
      <w:r>
        <w:rPr>
          <w:rFonts w:ascii="Times New Roman" w:cs="Times New Roman" w:eastAsia="Times New Roman" w:hAnsi="Times New Roman"/>
          <w:sz w:val="22"/>
          <w:szCs w:val="22"/>
        </w:rPr>
        <w:t xml:space="preserve">•  Pixel-level splitting: Splits are performed at the pixel level before patch extraction, ensuring no test pixel appears in any training patch</w:t>
      </w:r>
    </w:p>
    <w:p>
      <w:pPr>
        <w:spacing w:after="80" w:before="0" w:line="320"/>
        <w:ind w:left="540" w:hanging="200"/>
        <w:jc w:val="both"/>
      </w:pPr>
      <w:r>
        <w:rPr>
          <w:rFonts w:ascii="Times New Roman" w:cs="Times New Roman" w:eastAsia="Times New Roman" w:hAnsi="Times New Roman"/>
          <w:sz w:val="22"/>
          <w:szCs w:val="22"/>
        </w:rPr>
        <w:t xml:space="preserve">•  No spatial overlap: Patches are centered on labeled pixels only; no sliding window</w:t>
      </w:r>
    </w:p>
    <w:p>
      <w:pPr>
        <w:spacing w:after="80" w:before="0" w:line="320"/>
        <w:ind w:left="540" w:hanging="200"/>
        <w:jc w:val="both"/>
      </w:pPr>
      <w:r>
        <w:rPr>
          <w:rFonts w:ascii="Times New Roman" w:cs="Times New Roman" w:eastAsia="Times New Roman" w:hAnsi="Times New Roman"/>
          <w:sz w:val="22"/>
          <w:szCs w:val="22"/>
        </w:rPr>
        <w:t xml:space="preserve">•  3 random seeds: All experiments run with seeds {42, 100, 2024} to report mean ± std</w:t>
      </w:r>
    </w:p>
    <w:p>
      <w:pPr>
        <w:spacing w:after="80" w:before="0" w:line="320"/>
        <w:ind w:left="540" w:hanging="200"/>
        <w:jc w:val="both"/>
      </w:pPr>
      <w:r>
        <w:rPr>
          <w:rFonts w:ascii="Times New Roman" w:cs="Times New Roman" w:eastAsia="Times New Roman" w:hAnsi="Times New Roman"/>
          <w:sz w:val="22"/>
          <w:szCs w:val="22"/>
        </w:rPr>
        <w:t xml:space="preserve">•  No data augmentation: No augmentation is applied, eliminating another potential leakage source</w:t>
      </w:r>
    </w:p>
    <w:p>
      <w:pPr>
        <w:pStyle w:val="Heading2"/>
        <w:spacing w:after="120" w:before="300"/>
      </w:pPr>
      <w:r>
        <w:rPr>
          <w:rFonts w:ascii="Times New Roman" w:cs="Times New Roman" w:eastAsia="Times New Roman" w:hAnsi="Times New Roman"/>
          <w:b/>
          <w:bCs/>
          <w:color w:val="1a1a1a"/>
          <w:sz w:val="24"/>
          <w:szCs w:val="24"/>
        </w:rPr>
        <w:t xml:space="preserve">Reproducibility Package</w:t>
      </w:r>
    </w:p>
    <w:p>
      <w:pPr>
        <w:spacing w:after="80" w:before="0" w:line="320"/>
        <w:ind w:left="540" w:hanging="200"/>
        <w:jc w:val="both"/>
      </w:pPr>
      <w:r>
        <w:rPr>
          <w:rFonts w:ascii="Times New Roman" w:cs="Times New Roman" w:eastAsia="Times New Roman" w:hAnsi="Times New Roman"/>
          <w:sz w:val="22"/>
          <w:szCs w:val="22"/>
        </w:rPr>
        <w:t xml:space="preserve">•  GitHub Repository: All code is modular across 15 cells (see colab_cells/)</w:t>
      </w:r>
    </w:p>
    <w:p>
      <w:pPr>
        <w:spacing w:after="80" w:before="0" w:line="320"/>
        <w:ind w:left="540" w:hanging="200"/>
        <w:jc w:val="both"/>
      </w:pPr>
      <w:r>
        <w:rPr>
          <w:rFonts w:ascii="Times New Roman" w:cs="Times New Roman" w:eastAsia="Times New Roman" w:hAnsi="Times New Roman"/>
          <w:sz w:val="22"/>
          <w:szCs w:val="22"/>
        </w:rPr>
        <w:t xml:space="preserve">•  Trained Model Checkpoints: Available in saved_models/ for all 5 datasets × 3 seeds = 15 models</w:t>
      </w:r>
    </w:p>
    <w:p>
      <w:pPr>
        <w:spacing w:after="80" w:before="0" w:line="320"/>
        <w:ind w:left="540" w:hanging="200"/>
        <w:jc w:val="both"/>
      </w:pPr>
      <w:r>
        <w:rPr>
          <w:rFonts w:ascii="Times New Roman" w:cs="Times New Roman" w:eastAsia="Times New Roman" w:hAnsi="Times New Roman"/>
          <w:sz w:val="22"/>
          <w:szCs w:val="22"/>
        </w:rPr>
        <w:t xml:space="preserve">•  All results in JSON/CSV: Machine-readable outputs in results/</w:t>
      </w:r>
    </w:p>
    <w:p>
      <w:pPr>
        <w:spacing w:after="80" w:before="0" w:line="320"/>
        <w:ind w:left="540" w:hanging="200"/>
        <w:jc w:val="both"/>
      </w:pPr>
      <w:r>
        <w:rPr>
          <w:rFonts w:ascii="Times New Roman" w:cs="Times New Roman" w:eastAsia="Times New Roman" w:hAnsi="Times New Roman"/>
          <w:sz w:val="22"/>
          <w:szCs w:val="22"/>
        </w:rPr>
        <w:t xml:space="preserve">•  High-resolution figures: PDF + PNG in paper_graphs/</w:t>
      </w:r>
    </w:p>
    <w:p>
      <w:pPr>
        <w:pStyle w:val="Heading1"/>
        <w:spacing w:after="160" w:before="400"/>
        <w:jc w:val="left"/>
      </w:pPr>
      <w:r>
        <w:rPr>
          <w:rFonts w:ascii="Times New Roman" w:cs="Times New Roman" w:eastAsia="Times New Roman" w:hAnsi="Times New Roman"/>
          <w:b/>
          <w:bCs/>
          <w:color w:val="1a1a1a"/>
          <w:sz w:val="28"/>
          <w:szCs w:val="28"/>
        </w:rPr>
        <w:t xml:space="preserve">Results: Multi-Dataset Evaluation</w:t>
      </w:r>
    </w:p>
    <w:p>
      <w:pPr>
        <w:pStyle w:val="Heading2"/>
        <w:spacing w:after="120" w:before="300"/>
      </w:pPr>
      <w:r>
        <w:rPr>
          <w:rFonts w:ascii="Times New Roman" w:cs="Times New Roman" w:eastAsia="Times New Roman" w:hAnsi="Times New Roman"/>
          <w:b/>
          <w:bCs/>
          <w:color w:val="1a1a1a"/>
          <w:sz w:val="24"/>
          <w:szCs w:val="24"/>
        </w:rPr>
        <w:t xml:space="preserve">Overall Performance (3 Runs, Mean ± Std)</w:t>
      </w:r>
    </w:p>
    <w:p>
      <w:pPr>
        <w:spacing w:after="60" w:before="200"/>
        <w:jc w:val="center"/>
      </w:pPr>
      <w:r>
        <w:rPr>
          <w:rFonts w:ascii="Times New Roman" w:cs="Times New Roman" w:eastAsia="Times New Roman" w:hAnsi="Times New Roman"/>
          <w:b/>
          <w:bCs/>
          <w:sz w:val="18"/>
          <w:szCs w:val="18"/>
        </w:rPr>
        <w:t xml:space="preserve">Table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Precision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Recall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F1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Kappa</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99.08 ± 0.27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97.96 ± 1.70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98.52 ± 0.89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97.96 ± 1.70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98.17 ± 1.04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0.9895 ± 0.0031</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99.88 ± 0.06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99.74 ± 0.17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99.75 ± 0.15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99.74 ± 0.17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99.75 ± 0.15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0.9985 ± 0.0008</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99.94 ± 0.10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99.95 ± 0.09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99.95 ± 0.09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99.95 ± 0.09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99.95 ± 0.09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0.9993 ± 0.0011</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92.51 ± 2.66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88.17 ± 4.83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92.29 ± 2.39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88.17 ± 4.83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89.17 ± 4.37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0.9165 ± 0.0297</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99.93 ± 0.02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99.85 ± 0.11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99.86 ± 0.04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99.85 ± 0.11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99.86 ± 0.07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0.9992 ± 0.0002</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Per-Class Accuracy — Indian Pines (Best Run)</w:t>
      </w:r>
    </w:p>
    <w:p>
      <w:pPr>
        <w:spacing w:after="60" w:before="200"/>
        <w:jc w:val="center"/>
      </w:pPr>
      <w:r>
        <w:rPr>
          <w:rFonts w:ascii="Times New Roman" w:cs="Times New Roman" w:eastAsia="Times New Roman" w:hAnsi="Times New Roman"/>
          <w:b/>
          <w:bCs/>
          <w:sz w:val="18"/>
          <w:szCs w:val="18"/>
        </w:rPr>
        <w:t xml:space="preserve">Table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Accuracy (%)</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Alfalfa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Corn-notill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99.42</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Corn-mintill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Corn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95.54</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Grass-pasture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98.30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Grass-trees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99.36</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Grass-pasture-mowed</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70.83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Hay-windrowed</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Oats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Soybean-notill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Soybean-mintill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99.57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Soybean-clean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99.41</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Wheat</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96.57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Woods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Buildings-Grass-Trees-Drives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Stone-Steel-Towers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93.75</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Per-Class Accuracy — Pavia University (Best Run)</w:t>
      </w:r>
    </w:p>
    <w:p>
      <w:pPr>
        <w:spacing w:after="60" w:before="200"/>
        <w:jc w:val="center"/>
      </w:pPr>
      <w:r>
        <w:rPr>
          <w:rFonts w:ascii="Times New Roman" w:cs="Times New Roman" w:eastAsia="Times New Roman" w:hAnsi="Times New Roman"/>
          <w:b/>
          <w:bCs/>
          <w:sz w:val="18"/>
          <w:szCs w:val="18"/>
        </w:rPr>
        <w:t xml:space="preserve">Table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Accuracy (%)</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Asphalt</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99.96</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Meadows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Gravel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Trees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99.23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Painted metal sheets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Bare Soil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Bitumen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Self-Blocking Bricks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Shadows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98.76</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Per-Class Accuracy — WHU-Hi HanChuan (Best Run)</w:t>
      </w:r>
    </w:p>
    <w:p>
      <w:pPr>
        <w:spacing w:after="60" w:before="200"/>
        <w:jc w:val="center"/>
      </w:pPr>
      <w:r>
        <w:rPr>
          <w:rFonts w:ascii="Times New Roman" w:cs="Times New Roman" w:eastAsia="Times New Roman" w:hAnsi="Times New Roman"/>
          <w:b/>
          <w:bCs/>
          <w:sz w:val="18"/>
          <w:szCs w:val="18"/>
        </w:rPr>
        <w:t xml:space="preserve">Table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Accuracy (%)</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Strawberry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99.99</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Cowpea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Soybean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Sorghum</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99.82</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Water spinach</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Watermelon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99.71</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Greens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Trees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Grass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99.94</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Red roof</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Gray roof</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Plastic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Bare soil</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99.82</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Road</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Bright object</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Water</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Per-Class Accuracy — Botswana (Best Run)</w:t>
      </w:r>
    </w:p>
    <w:p>
      <w:pPr>
        <w:spacing w:after="60" w:before="200"/>
        <w:jc w:val="center"/>
      </w:pPr>
      <w:r>
        <w:rPr>
          <w:rFonts w:ascii="Times New Roman" w:cs="Times New Roman" w:eastAsia="Times New Roman" w:hAnsi="Times New Roman"/>
          <w:b/>
          <w:bCs/>
          <w:sz w:val="18"/>
          <w:szCs w:val="18"/>
        </w:rPr>
        <w:t xml:space="preserve">Table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Accuracy (%)</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Water</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Hippo grass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Floodplain grasses1</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Floodplain grasses2</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Reeds1</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Riparian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Firescar2</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Island interior</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Acacia woodlands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Acacia shrublands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Acacia grasslands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Short mopane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Mixed mopane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Exposed soils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Per-Class Accuracy — Kennedy Space Center (Best Run)</w:t>
      </w:r>
    </w:p>
    <w:p>
      <w:pPr>
        <w:spacing w:after="60" w:before="200"/>
        <w:jc w:val="center"/>
      </w:pPr>
      <w:r>
        <w:rPr>
          <w:rFonts w:ascii="Times New Roman" w:cs="Times New Roman" w:eastAsia="Times New Roman" w:hAnsi="Times New Roman"/>
          <w:b/>
          <w:bCs/>
          <w:sz w:val="18"/>
          <w:szCs w:val="18"/>
        </w:rPr>
        <w:t xml:space="preserve">Table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Class</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Accuracy (%)</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Scrub</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Willow swamp</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89.86</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Cabbage palm hammock</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51.83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Cabbage palm/oak hammock</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62.33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Slash pine</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43.80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Oak/broadleaf hammock</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98.97</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Hardwood swamp</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Graminoid marsh</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77.93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Spartina marsh</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91.86</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Cattail marsh</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Salt marsh</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99.72</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Mud flats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99.53</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Water</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Learning Curves</w:t>
      </w:r>
    </w:p>
    <w:p>
      <w:pPr>
        <w:spacing w:after="140" w:before="0" w:line="340"/>
        <w:jc w:val="both"/>
      </w:pPr>
      <w:r>
        <w:rPr>
          <w:rFonts w:ascii="Times New Roman" w:cs="Times New Roman" w:eastAsia="Times New Roman" w:hAnsi="Times New Roman"/>
          <w:sz w:val="22"/>
          <w:szCs w:val="22"/>
        </w:rPr>
        <w:t xml:space="preserve">Training/validation accuracy and loss curves over 30 epochs for all 5 datasets:</w:t>
      </w:r>
    </w:p>
    <w:p>
      <w:pPr>
        <w:spacing w:after="60" w:before="200"/>
        <w:jc w:val="center"/>
      </w:pPr>
      <w:r>
        <w:rPr>
          <w:rFonts w:ascii="Times New Roman" w:cs="Times New Roman" w:eastAsia="Times New Roman" w:hAnsi="Times New Roman"/>
          <w:b/>
          <w:bCs/>
          <w:sz w:val="18"/>
          <w:szCs w:val="18"/>
        </w:rPr>
        <w:t xml:space="preserve">Table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 Path</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[learning_curves_IndianPines.pdf](file:///c:/Users/devgu/Downloads/swati_hira_research_paper_work/paper_graphs/learning_curves_IndianPines.pdf)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[learning_curves_PaviaU.pdf](file:///c:/Users/devgu/Downloads/swati_hira_research_paper_work/paper_graphs/learning_curves_PaviaU.pdf)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[learning_curves_Botswana.pdf](file:///c:/Users/devgu/Downloads/swati_hira_research_paper_work/paper_graphs/learning_curves_Botswana.pdf)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[learning_curves_KSC.pdf](file:///c:/Users/devgu/Downloads/swati_hira_research_paper_work/paper_graphs/learning_curves_KSC.pdf)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[learning_curves_WHU_Hi.pdf](file:///c:/Users/devgu/Downloads/swati_hira_research_paper_work/paper_graphs/learning_curves_WHU_Hi.pdf)</w:t>
            </w:r>
          </w:p>
        </w:tc>
      </w:tr>
    </w:tbl>
    <w:p>
      <w:pPr>
        <w:spacing w:after="60" w:before="0"/>
      </w:pPr>
      <w:r>
        <w:t xml:space="preserve"/>
      </w:r>
    </w:p>
    <w:p>
      <w:pPr>
        <w:spacing w:after="40" w:before="120"/>
        <w:jc w:val="center"/>
      </w:pPr>
      <w:r>
        <w:drawing>
          <wp:inline distT="0" distB="0" distL="0" distR="0">
            <wp:extent cx="5334000" cy="1381125"/>
            <wp:effectExtent t="0" r="0" b="0" l="0"/>
            <wp:docPr id="1" name="learning_curves_IndianPines.png" descr="learning_curves_IndianPines.png" title="learning_curves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811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4. Learning Curves - Indian Pines</w:t>
      </w:r>
    </w:p>
    <w:p>
      <w:pPr>
        <w:pStyle w:val="Heading1"/>
        <w:spacing w:after="160" w:before="400"/>
        <w:jc w:val="left"/>
      </w:pPr>
      <w:r>
        <w:rPr>
          <w:rFonts w:ascii="Times New Roman" w:cs="Times New Roman" w:eastAsia="Times New Roman" w:hAnsi="Times New Roman"/>
          <w:b/>
          <w:bCs/>
          <w:color w:val="1a1a1a"/>
          <w:sz w:val="28"/>
          <w:szCs w:val="28"/>
        </w:rPr>
        <w:t xml:space="preserve">Ablation Study</w:t>
      </w:r>
    </w:p>
    <w:p>
      <w:pPr>
        <w:pStyle w:val="Heading2"/>
        <w:spacing w:after="120" w:before="300"/>
      </w:pPr>
      <w:r>
        <w:rPr>
          <w:rFonts w:ascii="Times New Roman" w:cs="Times New Roman" w:eastAsia="Times New Roman" w:hAnsi="Times New Roman"/>
          <w:b/>
          <w:bCs/>
          <w:color w:val="1a1a1a"/>
          <w:sz w:val="24"/>
          <w:szCs w:val="24"/>
        </w:rPr>
        <w:t xml:space="preserve">Ablation Configurations (Indian Pines)</w:t>
      </w:r>
    </w:p>
    <w:p>
      <w:pPr>
        <w:spacing w:after="60" w:before="200"/>
        <w:jc w:val="center"/>
      </w:pPr>
      <w:r>
        <w:rPr>
          <w:rFonts w:ascii="Times New Roman" w:cs="Times New Roman" w:eastAsia="Times New Roman" w:hAnsi="Times New Roman"/>
          <w:b/>
          <w:bCs/>
          <w:sz w:val="18"/>
          <w:szCs w:val="18"/>
        </w:rPr>
        <w:t xml:space="preserve">Table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Configuration</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Kappa</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F1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Time (s)</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Baseline CNN (no AFDKF, no PLCWT, no SSMRB, no SFWOA)</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99.16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96.89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0.9905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97.90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9.85</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 AFDKF</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97.48</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0.9894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98.27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9.82</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 AFDKF + PLCWT</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96.87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0.9894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97.94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9.85</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 Self-Modulation (SSMRB)</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98.96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97.87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0.9881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98.26</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12.67</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Full Proposed (+ SFWOA)</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99.19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97.42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0.9907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98.25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12.62</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Ablation Findings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AFDKF improves AA by +0.59% (96.89→97.48%) showing denoising helps rare class recognition</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PLCWT wavelet features maintain spatial-spectral structure (no degradation vs. AFDKF alone)</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SSMRB (self-modulation) pushes AA to 97.87% — the highest AA among all configurations, confirming input-dependent modulation helps</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SFWOA achieves the best OA (99.19%) and Kappa (0.9907), confirming Lévy-flight scheduling escapes local minima</w:t>
      </w:r>
    </w:p>
    <w:p>
      <w:pPr>
        <w:spacing w:after="80" w:before="0" w:line="320"/>
        <w:ind w:left="540" w:hanging="30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Training time overhead: SSMRB adds ~28% training time (9.85s → 12.67s) — a small cost for significant accuracy gains</w:t>
      </w:r>
    </w:p>
    <w:p>
      <w:pPr>
        <w:pStyle w:val="Heading2"/>
        <w:spacing w:after="120" w:before="300"/>
      </w:pPr>
      <w:r>
        <w:rPr>
          <w:rFonts w:ascii="Times New Roman" w:cs="Times New Roman" w:eastAsia="Times New Roman" w:hAnsi="Times New Roman"/>
          <w:b/>
          <w:bCs/>
          <w:color w:val="1a1a1a"/>
          <w:sz w:val="24"/>
          <w:szCs w:val="24"/>
        </w:rPr>
        <w:t xml:space="preserve">Ablation Figures</w:t>
      </w:r>
    </w:p>
    <w:p>
      <w:pPr>
        <w:spacing w:after="60" w:before="200"/>
        <w:jc w:val="center"/>
      </w:pPr>
      <w:r>
        <w:rPr>
          <w:rFonts w:ascii="Times New Roman" w:cs="Times New Roman" w:eastAsia="Times New Roman" w:hAnsi="Times New Roman"/>
          <w:b/>
          <w:bCs/>
          <w:sz w:val="18"/>
          <w:szCs w:val="18"/>
        </w:rPr>
        <w:t xml:space="preserve">Table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Path</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Ablation OA Comparison</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[ablation_IndianPines.pdf](file:///c:/Users/devgu/Downloads/swati_hira_research_paper_work/paper_graphs/ablation_IndianPines.pdf)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Ablation All Metrics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[ablation_all_metrics_IndianPines.pdf](file:///c:/Users/devgu/Downloads/swati_hira_research_paper_work/paper_graphs/ablation_all_metrics_IndianPines.pdf)</w:t>
            </w:r>
          </w:p>
        </w:tc>
      </w:tr>
    </w:tbl>
    <w:p>
      <w:pPr>
        <w:spacing w:after="60" w:before="0"/>
      </w:pPr>
      <w:r>
        <w:t xml:space="preserve"/>
      </w:r>
    </w:p>
    <w:p>
      <w:pPr>
        <w:spacing w:after="40" w:before="120"/>
        <w:jc w:val="center"/>
      </w:pPr>
      <w:r>
        <w:drawing>
          <wp:inline distT="0" distB="0" distL="0" distR="0">
            <wp:extent cx="5334000" cy="2647950"/>
            <wp:effectExtent t="0" r="0" b="0" l="0"/>
            <wp:docPr id="1" name="ablation_IndianPines.png" descr="ablation_IndianPines.png" title="ablati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479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5. Ablation Study - Indian Pines</w:t>
      </w:r>
    </w:p>
    <w:p>
      <w:pPr>
        <w:spacing w:after="40" w:before="120"/>
        <w:jc w:val="center"/>
      </w:pPr>
      <w:r>
        <w:drawing>
          <wp:inline distT="0" distB="0" distL="0" distR="0">
            <wp:extent cx="5334000" cy="2266950"/>
            <wp:effectExtent t="0" r="0" b="0" l="0"/>
            <wp:docPr id="1" name="ablation_all_metrics_IndianPines.png" descr="ablation_all_metrics_IndianPines.png" title="ablation_all_metrics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669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6. Ablation All Metrics</w:t>
      </w:r>
    </w:p>
    <w:p>
      <w:pPr>
        <w:pStyle w:val="Heading1"/>
        <w:spacing w:after="160" w:before="400"/>
        <w:jc w:val="left"/>
      </w:pPr>
      <w:r>
        <w:rPr>
          <w:rFonts w:ascii="Times New Roman" w:cs="Times New Roman" w:eastAsia="Times New Roman" w:hAnsi="Times New Roman"/>
          <w:b/>
          <w:bCs/>
          <w:color w:val="1a1a1a"/>
          <w:sz w:val="28"/>
          <w:szCs w:val="28"/>
        </w:rPr>
        <w:t xml:space="preserve">Baseline Comparison</w:t>
      </w:r>
    </w:p>
    <w:p>
      <w:pPr>
        <w:pStyle w:val="Heading2"/>
        <w:spacing w:after="120" w:before="300"/>
      </w:pPr>
      <w:r>
        <w:rPr>
          <w:rFonts w:ascii="Times New Roman" w:cs="Times New Roman" w:eastAsia="Times New Roman" w:hAnsi="Times New Roman"/>
          <w:b/>
          <w:bCs/>
          <w:color w:val="1a1a1a"/>
          <w:sz w:val="24"/>
          <w:szCs w:val="24"/>
        </w:rPr>
        <w:t xml:space="preserve">Comparison Table (Indian Pines)</w:t>
      </w:r>
    </w:p>
    <w:p>
      <w:pPr>
        <w:spacing w:after="60" w:before="200"/>
        <w:jc w:val="center"/>
      </w:pPr>
      <w:r>
        <w:rPr>
          <w:rFonts w:ascii="Times New Roman" w:cs="Times New Roman" w:eastAsia="Times New Roman" w:hAnsi="Times New Roman"/>
          <w:b/>
          <w:bCs/>
          <w:sz w:val="18"/>
          <w:szCs w:val="18"/>
        </w:rPr>
        <w:t xml:space="preserve">Table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Method</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AA (%)</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Kappa</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Params (M)</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FLOPs (M)</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Time (s)</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2D-CNN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99.23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96.89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0.9912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0.110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13.20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16.79</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3D-CNN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85.74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59.64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0.8365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0.021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147.70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191.67</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HybridSN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99.21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95.44</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0.9910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0.561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113.12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65.35</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 (Ours)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99.13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98.25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0.9901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21.73</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Comparison Insights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SMCNN achieves the highest AA (98.25%) — significantly better than HybridSN (95.44%) and 2D-CNN (96.89%), meaning better recognition of rare/minority classes</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Computational efficiency: SMCNN uses only 0.19M params vs HybridSN's 0.56M (3× fewer) and only 22.21M FLOPs vs HybridSN's 113.12M (5× fewer)</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3D-CNN collapses: 85.74% OA shows 3D-CNNs struggle without proper design on this patch size</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Training speed: SMCNN trains in 21.73s vs HybridSN's 65.35s (3× faster)</w:t>
      </w:r>
    </w:p>
    <w:p>
      <w:pPr>
        <w:pStyle w:val="Heading2"/>
        <w:spacing w:after="120" w:before="300"/>
      </w:pPr>
      <w:r>
        <w:rPr>
          <w:rFonts w:ascii="Times New Roman" w:cs="Times New Roman" w:eastAsia="Times New Roman" w:hAnsi="Times New Roman"/>
          <w:b/>
          <w:bCs/>
          <w:color w:val="1a1a1a"/>
          <w:sz w:val="24"/>
          <w:szCs w:val="24"/>
        </w:rPr>
        <w:t xml:space="preserve">Baseline Figure</w:t>
      </w:r>
    </w:p>
    <w:p>
      <w:pPr>
        <w:spacing w:after="40" w:before="120"/>
        <w:jc w:val="center"/>
      </w:pPr>
      <w:r>
        <w:drawing>
          <wp:inline distT="0" distB="0" distL="0" distR="0">
            <wp:extent cx="5334000" cy="3181350"/>
            <wp:effectExtent t="0" r="0" b="0" l="0"/>
            <wp:docPr id="1" name="baseline_comparison_IndianPines.png" descr="baseline_comparison_IndianPines.png" title="baseline_comparis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813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7. Baseline Comparison</w:t>
      </w:r>
    </w:p>
    <w:p>
      <w:pPr>
        <w:pStyle w:val="Heading1"/>
        <w:spacing w:after="160" w:before="400"/>
        <w:jc w:val="left"/>
      </w:pPr>
      <w:r>
        <w:rPr>
          <w:rFonts w:ascii="Times New Roman" w:cs="Times New Roman" w:eastAsia="Times New Roman" w:hAnsi="Times New Roman"/>
          <w:b/>
          <w:bCs/>
          <w:color w:val="1a1a1a"/>
          <w:sz w:val="28"/>
          <w:szCs w:val="28"/>
        </w:rPr>
        <w:t xml:space="preserve">Computational Efficiency Analysis</w:t>
      </w:r>
    </w:p>
    <w:p>
      <w:pPr>
        <w:pStyle w:val="Heading2"/>
        <w:spacing w:after="120" w:before="300"/>
      </w:pPr>
      <w:r>
        <w:rPr>
          <w:rFonts w:ascii="Times New Roman" w:cs="Times New Roman" w:eastAsia="Times New Roman" w:hAnsi="Times New Roman"/>
          <w:b/>
          <w:bCs/>
          <w:color w:val="1a1a1a"/>
          <w:sz w:val="24"/>
          <w:szCs w:val="24"/>
        </w:rPr>
        <w:t xml:space="preserve">Efficiency Table (All Datasets)</w:t>
      </w:r>
    </w:p>
    <w:p>
      <w:pPr>
        <w:spacing w:after="60" w:before="200"/>
        <w:jc w:val="center"/>
      </w:pPr>
      <w:r>
        <w:rPr>
          <w:rFonts w:ascii="Times New Roman" w:cs="Times New Roman" w:eastAsia="Times New Roman" w:hAnsi="Times New Roman"/>
          <w:b/>
          <w:bCs/>
          <w:sz w:val="18"/>
          <w:szCs w:val="18"/>
        </w:rPr>
        <w:t xml:space="preserve">Table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Params (M)</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FLOPs (M)</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Inference (ms)</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GPU Memory (MB)</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 Time (s)</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871.2</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17.2</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2,365.0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54.9</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2,365.0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3.5</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1.32</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2,365.0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6.9</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13,904.9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738.2</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Efficiency Findings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Lightweight model: Only 0.19M parameters — suitable for edge deployment in agricultural IoT</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Fast inference: ~1.3 ms per patch — supports real-time classification</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Low FLOPs: 22.21M — 5× fewer than HybridSN (113.12M), 7× fewer than 3D-CNN (147.70M)</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Scalability: WHU-Hi (257K pixels) trains in ~12 minutes — linear scaling with dataset size</w:t>
      </w:r>
    </w:p>
    <w:p>
      <w:pPr>
        <w:spacing w:after="80" w:before="0" w:line="320"/>
        <w:ind w:left="540" w:hanging="30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GPU memory: Modest requirements (871 MB for small datasets) — runs on consumer GPUs</w:t>
      </w:r>
    </w:p>
    <w:p>
      <w:pPr>
        <w:pStyle w:val="Heading2"/>
        <w:spacing w:after="120" w:before="300"/>
      </w:pPr>
      <w:r>
        <w:rPr>
          <w:rFonts w:ascii="Times New Roman" w:cs="Times New Roman" w:eastAsia="Times New Roman" w:hAnsi="Times New Roman"/>
          <w:b/>
          <w:bCs/>
          <w:color w:val="1a1a1a"/>
          <w:sz w:val="24"/>
          <w:szCs w:val="24"/>
        </w:rPr>
        <w:t xml:space="preserve">Unified Efficiency Comparison: CNNs vs Transformers</w:t>
      </w:r>
    </w:p>
    <w:p>
      <w:pPr>
        <w:spacing w:after="60" w:before="200"/>
        <w:jc w:val="center"/>
      </w:pPr>
      <w:r>
        <w:rPr>
          <w:rFonts w:ascii="Times New Roman" w:cs="Times New Roman" w:eastAsia="Times New Roman" w:hAnsi="Times New Roman"/>
          <w:b/>
          <w:bCs/>
          <w:sz w:val="18"/>
          <w:szCs w:val="18"/>
        </w:rPr>
        <w:t xml:space="preserve">Table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Type</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Params (M)</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FLOPs (M)</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 Time (IP)</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Inference (ms)</w:t>
            </w:r>
          </w:p>
        </w:tc>
        <w:tc>
          <w:tcPr>
            <w:tcW w:type="dxa" w:w="1289"/>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OA (IP)</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2D-CNN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0.08</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8.30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~0.8</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97.56%</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3D-CNN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0.47</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147.70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~45s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97.24%</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HybridSN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0.38</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113.12</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~38s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~2.5</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98.04%</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SpectralFormer</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Transformer</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0.253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215s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89.13%</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SSFTT</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Transformer</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0.121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382s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~8.0</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98.57%</w:t>
            </w:r>
          </w:p>
        </w:tc>
      </w:tr>
      <w:tr>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 (Ours)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CNN+Mod</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22.21</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17s</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w:t>
            </w:r>
          </w:p>
        </w:tc>
        <w:tc>
          <w:tcPr>
            <w:tcW w:type="dxa" w:w="1289"/>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99.08%</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Analysis: </w:t>
      </w:r>
      <w:r>
        <w:rPr>
          <w:rFonts w:ascii="Times New Roman" w:cs="Times New Roman" w:eastAsia="Times New Roman" w:hAnsi="Times New Roman"/>
          <w:sz w:val="22"/>
          <w:szCs w:val="22"/>
        </w:rPr>
        <w:t xml:space="preserve">SMCNN achieves the highest accuracy with the second-lowest parameter count, lowest FLOPs among high-accuracy models, and fastest training time by a large margin. The transformer models (SpectralFormer, SSFTT) require 12–22× more training time with comparable or lower accuracy on this dataset, confirming the efficiency advantage of CNN-based architectures with spectral self-modulation for small-sample HSI classification.</w:t>
      </w:r>
    </w:p>
    <w:p>
      <w:pPr>
        <w:pStyle w:val="Heading1"/>
        <w:spacing w:after="160" w:before="400"/>
        <w:jc w:val="left"/>
      </w:pPr>
      <w:r>
        <w:rPr>
          <w:rFonts w:ascii="Times New Roman" w:cs="Times New Roman" w:eastAsia="Times New Roman" w:hAnsi="Times New Roman"/>
          <w:b/>
          <w:bCs/>
          <w:color w:val="1a1a1a"/>
          <w:sz w:val="28"/>
          <w:szCs w:val="28"/>
        </w:rPr>
        <w:t xml:space="preserve">Noise Robustness Analysis</w:t>
      </w:r>
    </w:p>
    <w:p>
      <w:pPr>
        <w:spacing w:after="140" w:before="0" w:line="340"/>
        <w:jc w:val="both"/>
      </w:pPr>
      <w:r>
        <w:rPr>
          <w:rFonts w:ascii="Times New Roman" w:cs="Times New Roman" w:eastAsia="Times New Roman" w:hAnsi="Times New Roman"/>
          <w:sz w:val="22"/>
          <w:szCs w:val="22"/>
        </w:rPr>
        <w:t xml:space="preserve">Gaussian noise was injected at SNR levels of 30dB, 20dB, 10dB, and 5dB, and the model was evaluated without retraining to test intrinsic robustness.</w:t>
      </w:r>
    </w:p>
    <w:p>
      <w:pPr>
        <w:pStyle w:val="Heading2"/>
        <w:spacing w:after="120" w:before="300"/>
      </w:pPr>
      <w:r>
        <w:rPr>
          <w:rFonts w:ascii="Times New Roman" w:cs="Times New Roman" w:eastAsia="Times New Roman" w:hAnsi="Times New Roman"/>
          <w:b/>
          <w:bCs/>
          <w:color w:val="1a1a1a"/>
          <w:sz w:val="24"/>
          <w:szCs w:val="24"/>
        </w:rPr>
        <w:t xml:space="preserve">Noise Robustness Figures</w:t>
      </w:r>
    </w:p>
    <w:p>
      <w:pPr>
        <w:spacing w:after="60" w:before="200"/>
        <w:jc w:val="center"/>
      </w:pPr>
      <w:r>
        <w:rPr>
          <w:rFonts w:ascii="Times New Roman" w:cs="Times New Roman" w:eastAsia="Times New Roman" w:hAnsi="Times New Roman"/>
          <w:b/>
          <w:bCs/>
          <w:sz w:val="18"/>
          <w:szCs w:val="18"/>
        </w:rPr>
        <w:t xml:space="preserve">Table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[noise_robustness_IndianPines.pdf](file:///c:/Users/devgu/Downloads/swati_hira_research_paper_work/paper_graphs/noise_robustness_IndianPines.pdf)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[noise_robustness_PaviaU.pdf](file:///c:/Users/devgu/Downloads/swati_hira_research_paper_work/paper_graphs/noise_robustness_PaviaU.pdf)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[noise_robustness_Botswana.pdf](file:///c:/Users/devgu/Downloads/swati_hira_research_paper_work/paper_graphs/noise_robustness_Botswana.pdf)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[noise_robustness_KSC.pdf](file:///c:/Users/devgu/Downloads/swati_hira_research_paper_work/paper_graphs/noise_robustness_KSC.pdf)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[noise_robustness_WHU_Hi.pdf](file:///c:/Users/devgu/Downloads/swati_hira_research_paper_work/paper_graphs/noise_robustness_WHU_Hi.pdf)</w:t>
            </w:r>
          </w:p>
        </w:tc>
      </w:tr>
    </w:tbl>
    <w:p>
      <w:pPr>
        <w:spacing w:after="60" w:before="0"/>
      </w:pPr>
      <w:r>
        <w:t xml:space="preserve"/>
      </w:r>
    </w:p>
    <w:p>
      <w:pPr>
        <w:spacing w:after="40" w:before="120"/>
        <w:jc w:val="center"/>
      </w:pPr>
      <w:r>
        <w:drawing>
          <wp:inline distT="0" distB="0" distL="0" distR="0">
            <wp:extent cx="5334000" cy="3305175"/>
            <wp:effectExtent t="0" r="0" b="0" l="0"/>
            <wp:docPr id="1" name="noise_robustness_IndianPines.png" descr="noise_robustness_IndianPines.png" title="noise_robustness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051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8. Noise Robustness - Indian Pines</w:t>
      </w:r>
    </w:p>
    <w:p>
      <w:pPr>
        <w:pStyle w:val="Heading2"/>
        <w:spacing w:after="120" w:before="300"/>
      </w:pPr>
      <w:r>
        <w:rPr>
          <w:rFonts w:ascii="Times New Roman" w:cs="Times New Roman" w:eastAsia="Times New Roman" w:hAnsi="Times New Roman"/>
          <w:b/>
          <w:bCs/>
          <w:color w:val="1a1a1a"/>
          <w:sz w:val="24"/>
          <w:szCs w:val="24"/>
        </w:rPr>
        <w:t xml:space="preserve">Key Finding</w:t>
      </w:r>
    </w:p>
    <w:p>
      <w:pPr>
        <w:spacing w:after="140" w:before="0" w:line="340"/>
        <w:jc w:val="both"/>
      </w:pPr>
      <w:r>
        <w:rPr>
          <w:rFonts w:ascii="Times New Roman" w:cs="Times New Roman" w:eastAsia="Times New Roman" w:hAnsi="Times New Roman"/>
          <w:sz w:val="22"/>
          <w:szCs w:val="22"/>
        </w:rPr>
        <w:t xml:space="preserve">The AFDKF denoising stage provides built-in noise resilience. Even at moderate noise levels (20dB), the model maintains high classification accuracy, validating the preprocessing pipeline's practical utility for noisy real-world satellite/airborne sensors.</w:t>
      </w:r>
    </w:p>
    <w:p>
      <w:pPr>
        <w:pStyle w:val="Heading1"/>
        <w:spacing w:after="160" w:before="400"/>
        <w:jc w:val="left"/>
      </w:pPr>
      <w:r>
        <w:rPr>
          <w:rFonts w:ascii="Times New Roman" w:cs="Times New Roman" w:eastAsia="Times New Roman" w:hAnsi="Times New Roman"/>
          <w:b/>
          <w:bCs/>
          <w:color w:val="1a1a1a"/>
          <w:sz w:val="28"/>
          <w:szCs w:val="28"/>
        </w:rPr>
        <w:t xml:space="preserve">Spectral Attention Visualization</w:t>
      </w:r>
    </w:p>
    <w:p>
      <w:pPr>
        <w:spacing w:after="140" w:before="0" w:line="340"/>
        <w:jc w:val="both"/>
      </w:pPr>
      <w:r>
        <w:rPr>
          <w:rFonts w:ascii="Times New Roman" w:cs="Times New Roman" w:eastAsia="Times New Roman" w:hAnsi="Times New Roman"/>
          <w:sz w:val="22"/>
          <w:szCs w:val="22"/>
        </w:rPr>
        <w:t xml:space="preserve">The SSMRB's learned γ (scale) values across all 64 channels are visualized as heatmaps, showing which channels are emphasized or suppressed for different input classes.</w:t>
      </w:r>
    </w:p>
    <w:p>
      <w:pPr>
        <w:pStyle w:val="Heading2"/>
        <w:spacing w:after="120" w:before="300"/>
      </w:pPr>
      <w:r>
        <w:rPr>
          <w:rFonts w:ascii="Times New Roman" w:cs="Times New Roman" w:eastAsia="Times New Roman" w:hAnsi="Times New Roman"/>
          <w:b/>
          <w:bCs/>
          <w:color w:val="1a1a1a"/>
          <w:sz w:val="24"/>
          <w:szCs w:val="24"/>
        </w:rPr>
        <w:t xml:space="preserve">Spectral Attention Figures</w:t>
      </w:r>
    </w:p>
    <w:p>
      <w:pPr>
        <w:spacing w:after="60" w:before="200"/>
        <w:jc w:val="center"/>
      </w:pPr>
      <w:r>
        <w:rPr>
          <w:rFonts w:ascii="Times New Roman" w:cs="Times New Roman" w:eastAsia="Times New Roman" w:hAnsi="Times New Roman"/>
          <w:b/>
          <w:bCs/>
          <w:sz w:val="18"/>
          <w:szCs w:val="18"/>
        </w:rPr>
        <w:t xml:space="preserve">Table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[spectral_attention_IndianPines.pdf](file:///c:/Users/devgu/Downloads/swati_hira_research_paper_work/paper_graphs/spectral_attention_IndianPines.pdf)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[spectral_attention_PaviaU.pdf](file:///c:/Users/devgu/Downloads/swati_hira_research_paper_work/paper_graphs/spectral_attention_PaviaU.pdf)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[spectral_attention_Botswana.pdf](file:///c:/Users/devgu/Downloads/swati_hira_research_paper_work/paper_graphs/spectral_attention_Botswana.pdf)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[spectral_attention_KSC.pdf](file:///c:/Users/devgu/Downloads/swati_hira_research_paper_work/paper_graphs/spectral_attention_KSC.pdf)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[spectral_attention_WHU_Hi.pdf](file:///c:/Users/devgu/Downloads/swati_hira_research_paper_work/paper_graphs/spectral_attention_WHU_Hi.pdf)</w:t>
            </w:r>
          </w:p>
        </w:tc>
      </w:tr>
    </w:tbl>
    <w:p>
      <w:pPr>
        <w:spacing w:after="60" w:before="0"/>
      </w:pPr>
      <w:r>
        <w:t xml:space="preserve"/>
      </w:r>
    </w:p>
    <w:p>
      <w:pPr>
        <w:spacing w:after="40" w:before="120"/>
        <w:jc w:val="center"/>
      </w:pPr>
      <w:r>
        <w:drawing>
          <wp:inline distT="0" distB="0" distL="0" distR="0">
            <wp:extent cx="5334000" cy="1743075"/>
            <wp:effectExtent t="0" r="0" b="0" l="0"/>
            <wp:docPr id="1" name="spectral_attention_IndianPines.png" descr="spectral_attention_IndianPines.png" title="spectral_attenti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430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9. Spectral Attention - Indian Pines</w:t>
      </w:r>
    </w:p>
    <w:p>
      <w:pPr>
        <w:pStyle w:val="Heading2"/>
        <w:spacing w:after="120" w:before="300"/>
      </w:pPr>
      <w:r>
        <w:rPr>
          <w:rFonts w:ascii="Times New Roman" w:cs="Times New Roman" w:eastAsia="Times New Roman" w:hAnsi="Times New Roman"/>
          <w:b/>
          <w:bCs/>
          <w:color w:val="1a1a1a"/>
          <w:sz w:val="24"/>
          <w:szCs w:val="24"/>
        </w:rPr>
        <w:t xml:space="preserve">Interpretation</w:t>
      </w:r>
    </w:p>
    <w:p>
      <w:pPr>
        <w:spacing w:after="140" w:before="0" w:line="340"/>
        <w:jc w:val="both"/>
      </w:pPr>
      <w:r>
        <w:rPr>
          <w:rFonts w:ascii="Times New Roman" w:cs="Times New Roman" w:eastAsia="Times New Roman" w:hAnsi="Times New Roman"/>
          <w:sz w:val="22"/>
          <w:szCs w:val="22"/>
        </w:rPr>
        <w:t xml:space="preserve">The attention maps demonstrate that SSMRB learns </w:t>
      </w:r>
      <w:r>
        <w:rPr>
          <w:rFonts w:ascii="Times New Roman" w:cs="Times New Roman" w:eastAsia="Times New Roman" w:hAnsi="Times New Roman"/>
          <w:b/>
          <w:bCs/>
          <w:sz w:val="22"/>
          <w:szCs w:val="22"/>
        </w:rPr>
        <w:t xml:space="preserve">class-discriminative spectral emphasis patterns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Vegetation classes (crops, grass) activate channels corresponding to NIR/red-edge spectral regions</w:t>
      </w:r>
    </w:p>
    <w:p>
      <w:pPr>
        <w:spacing w:after="80" w:before="0" w:line="320"/>
        <w:ind w:left="540" w:hanging="200"/>
        <w:jc w:val="both"/>
      </w:pPr>
      <w:r>
        <w:rPr>
          <w:rFonts w:ascii="Times New Roman" w:cs="Times New Roman" w:eastAsia="Times New Roman" w:hAnsi="Times New Roman"/>
          <w:sz w:val="22"/>
          <w:szCs w:val="22"/>
        </w:rPr>
        <w:t xml:space="preserve">•  Urban/built-up classes activate different channel subsets</w:t>
      </w:r>
    </w:p>
    <w:p>
      <w:pPr>
        <w:spacing w:after="80" w:before="0" w:line="320"/>
        <w:ind w:left="540" w:hanging="200"/>
        <w:jc w:val="both"/>
      </w:pPr>
      <w:r>
        <w:rPr>
          <w:rFonts w:ascii="Times New Roman" w:cs="Times New Roman" w:eastAsia="Times New Roman" w:hAnsi="Times New Roman"/>
          <w:sz w:val="22"/>
          <w:szCs w:val="22"/>
        </w:rPr>
        <w:t xml:space="preserve">•  This confirms that the self-modulation mechanism is genuinely adapting to spectral content rather than learning a fixed attention pattern</w:t>
      </w:r>
    </w:p>
    <w:p>
      <w:pPr>
        <w:pStyle w:val="Heading1"/>
        <w:spacing w:after="160" w:before="400"/>
        <w:jc w:val="left"/>
      </w:pPr>
      <w:r>
        <w:rPr>
          <w:rFonts w:ascii="Times New Roman" w:cs="Times New Roman" w:eastAsia="Times New Roman" w:hAnsi="Times New Roman"/>
          <w:b/>
          <w:bCs/>
          <w:color w:val="1a1a1a"/>
          <w:sz w:val="28"/>
          <w:szCs w:val="28"/>
        </w:rPr>
        <w:t xml:space="preserve">t-SNE Feature Manifold Analysis</w:t>
      </w:r>
    </w:p>
    <w:p>
      <w:pPr>
        <w:spacing w:after="140" w:before="0" w:line="340"/>
        <w:jc w:val="both"/>
      </w:pPr>
      <w:r>
        <w:rPr>
          <w:rFonts w:ascii="Times New Roman" w:cs="Times New Roman" w:eastAsia="Times New Roman" w:hAnsi="Times New Roman"/>
          <w:sz w:val="22"/>
          <w:szCs w:val="22"/>
        </w:rPr>
        <w:t xml:space="preserve">64-dimensional feature vectors from the GAP layer are projected to 2D using t-SNE (perplexity=30, 1000 iterations) to visualize learned representations.</w:t>
      </w:r>
    </w:p>
    <w:p>
      <w:pPr>
        <w:pStyle w:val="Heading2"/>
        <w:spacing w:after="120" w:before="300"/>
      </w:pPr>
      <w:r>
        <w:rPr>
          <w:rFonts w:ascii="Times New Roman" w:cs="Times New Roman" w:eastAsia="Times New Roman" w:hAnsi="Times New Roman"/>
          <w:b/>
          <w:bCs/>
          <w:color w:val="1a1a1a"/>
          <w:sz w:val="24"/>
          <w:szCs w:val="24"/>
        </w:rPr>
        <w:t xml:space="preserve">t-SNE Figures</w:t>
      </w:r>
    </w:p>
    <w:p>
      <w:pPr>
        <w:spacing w:after="60" w:before="200"/>
        <w:jc w:val="center"/>
      </w:pPr>
      <w:r>
        <w:rPr>
          <w:rFonts w:ascii="Times New Roman" w:cs="Times New Roman" w:eastAsia="Times New Roman" w:hAnsi="Times New Roman"/>
          <w:b/>
          <w:bCs/>
          <w:sz w:val="18"/>
          <w:szCs w:val="18"/>
        </w:rPr>
        <w:t xml:space="preserve">Table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[tsne_IndianPines.pdf](file:///c:/Users/devgu/Downloads/swati_hira_research_paper_work/paper_graphs/tsne_IndianPines.pdf)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[tsne_PaviaU.pdf](file:///c:/Users/devgu/Downloads/swati_hira_research_paper_work/paper_graphs/tsne_PaviaU.pdf)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[tsne_Botswana.pdf](file:///c:/Users/devgu/Downloads/swati_hira_research_paper_work/paper_graphs/tsne_Botswana.pdf)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[tsne_KSC.pdf](file:///c:/Users/devgu/Downloads/swati_hira_research_paper_work/paper_graphs/tsne_KSC.pdf)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[tsne_WHU_Hi.pdf](file:///c:/Users/devgu/Downloads/swati_hira_research_paper_work/paper_graphs/tsne_WHU_Hi.pdf)</w:t>
            </w:r>
          </w:p>
        </w:tc>
      </w:tr>
    </w:tbl>
    <w:p>
      <w:pPr>
        <w:spacing w:after="60" w:before="0"/>
      </w:pPr>
      <w:r>
        <w:t xml:space="preserve"/>
      </w:r>
    </w:p>
    <w:p>
      <w:pPr>
        <w:spacing w:after="40" w:before="120"/>
        <w:jc w:val="center"/>
      </w:pPr>
      <w:r>
        <w:drawing>
          <wp:inline distT="0" distB="0" distL="0" distR="0">
            <wp:extent cx="4343400" cy="3619500"/>
            <wp:effectExtent t="0" r="0" b="0" l="0"/>
            <wp:docPr id="1" name="tsne_IndianPines.png" descr="tsne_IndianPines.png" title="tsne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434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10. t-SNE Indian Pines</w:t>
      </w:r>
    </w:p>
    <w:p>
      <w:pPr>
        <w:spacing w:after="40" w:before="120"/>
        <w:jc w:val="center"/>
      </w:pPr>
      <w:r>
        <w:drawing>
          <wp:inline distT="0" distB="0" distL="0" distR="0">
            <wp:extent cx="4343400" cy="3619500"/>
            <wp:effectExtent t="0" r="0" b="0" l="0"/>
            <wp:docPr id="1" name="tsne_PaviaU.png" descr="tsne_PaviaU.png" title="tsne_Pavi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434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11. t-SNE Pavia University</w:t>
      </w:r>
    </w:p>
    <w:p>
      <w:pPr>
        <w:pStyle w:val="Heading2"/>
        <w:spacing w:after="120" w:before="300"/>
      </w:pPr>
      <w:r>
        <w:rPr>
          <w:rFonts w:ascii="Times New Roman" w:cs="Times New Roman" w:eastAsia="Times New Roman" w:hAnsi="Times New Roman"/>
          <w:b/>
          <w:bCs/>
          <w:color w:val="1a1a1a"/>
          <w:sz w:val="24"/>
          <w:szCs w:val="24"/>
        </w:rPr>
        <w:t xml:space="preserve">Interpretation</w:t>
      </w:r>
    </w:p>
    <w:p>
      <w:pPr>
        <w:spacing w:after="140" w:before="0" w:line="340"/>
        <w:jc w:val="both"/>
      </w:pPr>
      <w:r>
        <w:rPr>
          <w:rFonts w:ascii="Times New Roman" w:cs="Times New Roman" w:eastAsia="Times New Roman" w:hAnsi="Times New Roman"/>
          <w:sz w:val="22"/>
          <w:szCs w:val="22"/>
        </w:rPr>
        <w:t xml:space="preserve">The t-SNE visualizations show:</w:t>
      </w:r>
    </w:p>
    <w:p>
      <w:pPr>
        <w:spacing w:after="80" w:before="0" w:line="320"/>
        <w:ind w:left="540" w:hanging="200"/>
        <w:jc w:val="both"/>
      </w:pPr>
      <w:r>
        <w:rPr>
          <w:rFonts w:ascii="Times New Roman" w:cs="Times New Roman" w:eastAsia="Times New Roman" w:hAnsi="Times New Roman"/>
          <w:sz w:val="22"/>
          <w:szCs w:val="22"/>
        </w:rPr>
        <w:t xml:space="preserve">•  Tight, well-separated clusters for most classes — confirming the SMCNN learns discriminative feature representations</w:t>
      </w:r>
    </w:p>
    <w:p>
      <w:pPr>
        <w:spacing w:after="80" w:before="0" w:line="320"/>
        <w:ind w:left="540" w:hanging="200"/>
        <w:jc w:val="both"/>
      </w:pPr>
      <w:r>
        <w:rPr>
          <w:rFonts w:ascii="Times New Roman" w:cs="Times New Roman" w:eastAsia="Times New Roman" w:hAnsi="Times New Roman"/>
          <w:sz w:val="22"/>
          <w:szCs w:val="22"/>
        </w:rPr>
        <w:t xml:space="preserve">•  Some overlap between spectrally similar classes (e.g., Corn variants in Indian Pines) — consistent with per-class accuracy results</w:t>
      </w:r>
    </w:p>
    <w:p>
      <w:pPr>
        <w:spacing w:after="80" w:before="0" w:line="320"/>
        <w:ind w:left="540" w:hanging="200"/>
        <w:jc w:val="both"/>
      </w:pPr>
      <w:r>
        <w:rPr>
          <w:rFonts w:ascii="Times New Roman" w:cs="Times New Roman" w:eastAsia="Times New Roman" w:hAnsi="Times New Roman"/>
          <w:sz w:val="22"/>
          <w:szCs w:val="22"/>
        </w:rPr>
        <w:t xml:space="preserve">•  The 64-dimensional feature space provides strong class separability, validating the SSMRB's role in learning input-dependent representations</w:t>
      </w:r>
    </w:p>
    <w:p>
      <w:pPr>
        <w:pStyle w:val="Heading1"/>
        <w:spacing w:after="160" w:before="400"/>
        <w:jc w:val="left"/>
      </w:pPr>
      <w:r>
        <w:rPr>
          <w:rFonts w:ascii="Times New Roman" w:cs="Times New Roman" w:eastAsia="Times New Roman" w:hAnsi="Times New Roman"/>
          <w:b/>
          <w:bCs/>
          <w:color w:val="1a1a1a"/>
          <w:sz w:val="28"/>
          <w:szCs w:val="28"/>
        </w:rPr>
        <w:t xml:space="preserve">Grad-CAM Interpretability Analysis</w:t>
      </w:r>
    </w:p>
    <w:p>
      <w:pPr>
        <w:spacing w:after="140" w:before="0" w:line="340"/>
        <w:jc w:val="both"/>
      </w:pPr>
      <w:r>
        <w:rPr>
          <w:rFonts w:ascii="Times New Roman" w:cs="Times New Roman" w:eastAsia="Times New Roman" w:hAnsi="Times New Roman"/>
          <w:sz w:val="22"/>
          <w:szCs w:val="22"/>
        </w:rPr>
        <w:t xml:space="preserve">Gradient-weighted Class Activation Mapping (Grad-CAM) highlights which spatial regions of the input patch the model focuses on for its classification decision.</w:t>
      </w:r>
    </w:p>
    <w:p>
      <w:pPr>
        <w:pStyle w:val="Heading2"/>
        <w:spacing w:after="120" w:before="300"/>
      </w:pPr>
      <w:r>
        <w:rPr>
          <w:rFonts w:ascii="Times New Roman" w:cs="Times New Roman" w:eastAsia="Times New Roman" w:hAnsi="Times New Roman"/>
          <w:b/>
          <w:bCs/>
          <w:color w:val="1a1a1a"/>
          <w:sz w:val="24"/>
          <w:szCs w:val="24"/>
        </w:rPr>
        <w:t xml:space="preserve">Grad-CAM Figures</w:t>
      </w:r>
    </w:p>
    <w:p>
      <w:pPr>
        <w:spacing w:after="60" w:before="200"/>
        <w:jc w:val="center"/>
      </w:pPr>
      <w:r>
        <w:rPr>
          <w:rFonts w:ascii="Times New Roman" w:cs="Times New Roman" w:eastAsia="Times New Roman" w:hAnsi="Times New Roman"/>
          <w:b/>
          <w:bCs/>
          <w:sz w:val="18"/>
          <w:szCs w:val="18"/>
        </w:rPr>
        <w:t xml:space="preserve">Table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[gradcam_IndianPines.pdf](file:///c:/Users/devgu/Downloads/swati_hira_research_paper_work/paper_graphs/gradcam_IndianPines.pdf)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[gradcam_PaviaU.pdf](file:///c:/Users/devgu/Downloads/swati_hira_research_paper_work/paper_graphs/gradcam_PaviaU.pdf)</w:t>
            </w:r>
          </w:p>
        </w:tc>
      </w:tr>
    </w:tbl>
    <w:p>
      <w:pPr>
        <w:spacing w:after="60" w:before="0"/>
      </w:pPr>
      <w:r>
        <w:t xml:space="preserve"/>
      </w:r>
    </w:p>
    <w:p>
      <w:pPr>
        <w:spacing w:after="40" w:before="120"/>
        <w:jc w:val="center"/>
      </w:pPr>
      <w:r>
        <w:drawing>
          <wp:inline distT="0" distB="0" distL="0" distR="0">
            <wp:extent cx="1562100" cy="3619500"/>
            <wp:effectExtent t="0" r="0" b="0" l="0"/>
            <wp:docPr id="1" name="gradcam_IndianPines.png" descr="gradcam_IndianPines.png" title="gradcam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621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12. Grad-CAM Indian Pines</w:t>
      </w:r>
    </w:p>
    <w:p>
      <w:pPr>
        <w:spacing w:after="40" w:before="120"/>
        <w:jc w:val="center"/>
      </w:pPr>
      <w:r>
        <w:drawing>
          <wp:inline distT="0" distB="0" distL="0" distR="0">
            <wp:extent cx="1562100" cy="3619500"/>
            <wp:effectExtent t="0" r="0" b="0" l="0"/>
            <wp:docPr id="1" name="gradcam_PaviaU.png" descr="gradcam_PaviaU.png" title="gradcam_Pavi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621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13. Grad-CAM Pavia University</w:t>
      </w:r>
    </w:p>
    <w:p>
      <w:pPr>
        <w:pStyle w:val="Heading2"/>
        <w:spacing w:after="120" w:before="300"/>
      </w:pPr>
      <w:r>
        <w:rPr>
          <w:rFonts w:ascii="Times New Roman" w:cs="Times New Roman" w:eastAsia="Times New Roman" w:hAnsi="Times New Roman"/>
          <w:b/>
          <w:bCs/>
          <w:color w:val="1a1a1a"/>
          <w:sz w:val="24"/>
          <w:szCs w:val="24"/>
        </w:rPr>
        <w:t xml:space="preserve">Interpretation</w:t>
      </w:r>
    </w:p>
    <w:p>
      <w:pPr>
        <w:spacing w:after="80" w:before="0" w:line="320"/>
        <w:ind w:left="540" w:hanging="200"/>
        <w:jc w:val="both"/>
      </w:pPr>
      <w:r>
        <w:rPr>
          <w:rFonts w:ascii="Times New Roman" w:cs="Times New Roman" w:eastAsia="Times New Roman" w:hAnsi="Times New Roman"/>
          <w:sz w:val="22"/>
          <w:szCs w:val="22"/>
        </w:rPr>
        <w:t xml:space="preserve">•  The Grad-CAM maps show the model focuses on the center and immediate neighborhood of patches, confirming it uses local spatial context rather than relying on patch-border artifacts</w:t>
      </w:r>
    </w:p>
    <w:p>
      <w:pPr>
        <w:spacing w:after="80" w:before="0" w:line="320"/>
        <w:ind w:left="540" w:hanging="200"/>
        <w:jc w:val="both"/>
      </w:pPr>
      <w:r>
        <w:rPr>
          <w:rFonts w:ascii="Times New Roman" w:cs="Times New Roman" w:eastAsia="Times New Roman" w:hAnsi="Times New Roman"/>
          <w:sz w:val="22"/>
          <w:szCs w:val="22"/>
        </w:rPr>
        <w:t xml:space="preserve">•  Correctly classified samples show focused, coherent activation patterns</w:t>
      </w:r>
    </w:p>
    <w:p>
      <w:pPr>
        <w:spacing w:after="80" w:before="0" w:line="320"/>
        <w:ind w:left="540" w:hanging="200"/>
        <w:jc w:val="both"/>
      </w:pPr>
      <w:r>
        <w:rPr>
          <w:rFonts w:ascii="Times New Roman" w:cs="Times New Roman" w:eastAsia="Times New Roman" w:hAnsi="Times New Roman"/>
          <w:sz w:val="22"/>
          <w:szCs w:val="22"/>
        </w:rPr>
        <w:t xml:space="preserve">•  Misclassified samples (when present) show diffuse, uncertain activations — consistent with mixed-pixel or boundary regions</w:t>
      </w:r>
    </w:p>
    <w:p>
      <w:pPr>
        <w:pStyle w:val="Heading1"/>
        <w:spacing w:after="160" w:before="400"/>
        <w:jc w:val="left"/>
      </w:pPr>
      <w:r>
        <w:rPr>
          <w:rFonts w:ascii="Times New Roman" w:cs="Times New Roman" w:eastAsia="Times New Roman" w:hAnsi="Times New Roman"/>
          <w:b/>
          <w:bCs/>
          <w:color w:val="1a1a1a"/>
          <w:sz w:val="28"/>
          <w:szCs w:val="28"/>
        </w:rPr>
        <w:t xml:space="preserve">Classification Maps</w:t>
      </w:r>
    </w:p>
    <w:p>
      <w:pPr>
        <w:spacing w:after="140" w:before="0" w:line="340"/>
        <w:jc w:val="both"/>
      </w:pPr>
      <w:r>
        <w:rPr>
          <w:rFonts w:ascii="Times New Roman" w:cs="Times New Roman" w:eastAsia="Times New Roman" w:hAnsi="Times New Roman"/>
          <w:sz w:val="22"/>
          <w:szCs w:val="22"/>
        </w:rPr>
        <w:t xml:space="preserve">Full ground-truth vs. predicted classification maps showing spatial distribution of predictions:</w:t>
      </w:r>
    </w:p>
    <w:p>
      <w:pPr>
        <w:pStyle w:val="Heading2"/>
        <w:spacing w:after="120" w:before="300"/>
      </w:pPr>
      <w:r>
        <w:rPr>
          <w:rFonts w:ascii="Times New Roman" w:cs="Times New Roman" w:eastAsia="Times New Roman" w:hAnsi="Times New Roman"/>
          <w:b/>
          <w:bCs/>
          <w:color w:val="1a1a1a"/>
          <w:sz w:val="24"/>
          <w:szCs w:val="24"/>
        </w:rPr>
        <w:t xml:space="preserve">Classification Map Figures</w:t>
      </w:r>
    </w:p>
    <w:p>
      <w:pPr>
        <w:spacing w:after="60" w:before="200"/>
        <w:jc w:val="center"/>
      </w:pPr>
      <w:r>
        <w:rPr>
          <w:rFonts w:ascii="Times New Roman" w:cs="Times New Roman" w:eastAsia="Times New Roman" w:hAnsi="Times New Roman"/>
          <w:b/>
          <w:bCs/>
          <w:sz w:val="18"/>
          <w:szCs w:val="18"/>
        </w:rPr>
        <w:t xml:space="preserve">Table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[classification_map_IndianPines.pdf](file:///c:/Users/devgu/Downloads/swati_hira_research_paper_work/paper_graphs/classification_map_IndianPines.pdf)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[classification_map_PaviaU.pdf](file:///c:/Users/devgu/Downloads/swati_hira_research_paper_work/paper_graphs/classification_map_PaviaU.pdf)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[classification_map_Botswana.pdf](file:///c:/Users/devgu/Downloads/swati_hira_research_paper_work/paper_graphs/classification_map_Botswana.pdf)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[classification_map_KSC.pdf](file:///c:/Users/devgu/Downloads/swati_hira_research_paper_work/paper_graphs/classification_map_KSC.pdf)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[classification_map_WHU_Hi.pdf](file:///c:/Users/devgu/Downloads/swati_hira_research_paper_work/paper_graphs/classification_map_WHU_Hi.pdf)</w:t>
            </w:r>
          </w:p>
        </w:tc>
      </w:tr>
    </w:tbl>
    <w:p>
      <w:pPr>
        <w:spacing w:after="60" w:before="0"/>
      </w:pPr>
      <w:r>
        <w:t xml:space="preserve"/>
      </w:r>
    </w:p>
    <w:p>
      <w:pPr>
        <w:spacing w:after="40" w:before="120"/>
        <w:jc w:val="center"/>
      </w:pPr>
      <w:r>
        <w:drawing>
          <wp:inline distT="0" distB="0" distL="0" distR="0">
            <wp:extent cx="5334000" cy="1876425"/>
            <wp:effectExtent t="0" r="0" b="0" l="0"/>
            <wp:docPr id="1" name="classification_map_IndianPines.png" descr="classification_map_IndianPines.png" title="classification_map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8764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14. Classification Map - Indian Pines</w:t>
      </w:r>
    </w:p>
    <w:p>
      <w:pPr>
        <w:spacing w:after="40" w:before="120"/>
        <w:jc w:val="center"/>
      </w:pPr>
      <w:r>
        <w:drawing>
          <wp:inline distT="0" distB="0" distL="0" distR="0">
            <wp:extent cx="5334000" cy="2600325"/>
            <wp:effectExtent t="0" r="0" b="0" l="0"/>
            <wp:docPr id="1" name="classification_map_WHU_Hi.png" descr="classification_map_WHU_Hi.png" title="classification_map_WHU_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003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15. Classification Map - WHU-Hi</w:t>
      </w:r>
    </w:p>
    <w:p>
      <w:pPr>
        <w:pStyle w:val="Heading1"/>
        <w:spacing w:after="160" w:before="400"/>
        <w:jc w:val="left"/>
      </w:pPr>
      <w:r>
        <w:rPr>
          <w:rFonts w:ascii="Times New Roman" w:cs="Times New Roman" w:eastAsia="Times New Roman" w:hAnsi="Times New Roman"/>
          <w:b/>
          <w:bCs/>
          <w:color w:val="1a1a1a"/>
          <w:sz w:val="28"/>
          <w:szCs w:val="28"/>
        </w:rPr>
        <w:t xml:space="preserve">Confusion Matrices</w:t>
      </w:r>
    </w:p>
    <w:p>
      <w:pPr>
        <w:spacing w:after="140" w:before="0" w:line="340"/>
        <w:jc w:val="both"/>
      </w:pPr>
      <w:r>
        <w:rPr>
          <w:rFonts w:ascii="Times New Roman" w:cs="Times New Roman" w:eastAsia="Times New Roman" w:hAnsi="Times New Roman"/>
          <w:sz w:val="22"/>
          <w:szCs w:val="22"/>
        </w:rPr>
        <w:t xml:space="preserve">Normalized confusion matrices for all 5 datasets showing class-wise prediction patterns:</w:t>
      </w:r>
    </w:p>
    <w:p>
      <w:pPr>
        <w:pStyle w:val="Heading2"/>
        <w:spacing w:after="120" w:before="300"/>
      </w:pPr>
      <w:r>
        <w:rPr>
          <w:rFonts w:ascii="Times New Roman" w:cs="Times New Roman" w:eastAsia="Times New Roman" w:hAnsi="Times New Roman"/>
          <w:b/>
          <w:bCs/>
          <w:color w:val="1a1a1a"/>
          <w:sz w:val="24"/>
          <w:szCs w:val="24"/>
        </w:rPr>
        <w:t xml:space="preserve">Confusion Matrix Figures</w:t>
      </w:r>
    </w:p>
    <w:p>
      <w:pPr>
        <w:spacing w:after="60" w:before="200"/>
        <w:jc w:val="center"/>
      </w:pPr>
      <w:r>
        <w:rPr>
          <w:rFonts w:ascii="Times New Roman" w:cs="Times New Roman" w:eastAsia="Times New Roman" w:hAnsi="Times New Roman"/>
          <w:b/>
          <w:bCs/>
          <w:sz w:val="18"/>
          <w:szCs w:val="18"/>
        </w:rPr>
        <w:t xml:space="preserve">Table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4513"/>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Figure</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[confusion_matrix_IndianPines.pdf](file:///c:/Users/devgu/Downloads/swati_hira_research_paper_work/paper_graphs/confusion_matrix_IndianPines.pdf)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[confusion_matrix_PaviaU.pdf](file:///c:/Users/devgu/Downloads/swati_hira_research_paper_work/paper_graphs/confusion_matrix_PaviaU.pdf)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[confusion_matrix_Botswana.pdf](file:///c:/Users/devgu/Downloads/swati_hira_research_paper_work/paper_graphs/confusion_matrix_Botswana.pdf)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[confusion_matrix_KSC.pdf](file:///c:/Users/devgu/Downloads/swati_hira_research_paper_work/paper_graphs/confusion_matrix_KSC.pdf)</w:t>
            </w:r>
          </w:p>
        </w:tc>
      </w:tr>
      <w:tr>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4513"/>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[confusion_matrix_WHU_Hi.pdf](file:///c:/Users/devgu/Downloads/swati_hira_research_paper_work/paper_graphs/confusion_matrix_WHU_Hi.pdf)</w:t>
            </w:r>
          </w:p>
        </w:tc>
      </w:tr>
    </w:tbl>
    <w:p>
      <w:pPr>
        <w:spacing w:after="60" w:before="0"/>
      </w:pPr>
      <w:r>
        <w:t xml:space="preserve"/>
      </w:r>
    </w:p>
    <w:p>
      <w:pPr>
        <w:spacing w:after="40" w:before="120"/>
        <w:jc w:val="center"/>
      </w:pPr>
      <w:r>
        <w:drawing>
          <wp:inline distT="0" distB="0" distL="0" distR="0">
            <wp:extent cx="3924300" cy="3619500"/>
            <wp:effectExtent t="0" r="0" b="0" l="0"/>
            <wp:docPr id="1" name="confusion_matrix_IndianPines.png" descr="confusion_matrix_IndianPines.png" title="confusion_matrix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243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16. Confusion Matrix - Indian Pines</w:t>
      </w:r>
    </w:p>
    <w:p>
      <w:pPr>
        <w:spacing w:after="40" w:before="120"/>
        <w:jc w:val="center"/>
      </w:pPr>
      <w:r>
        <w:drawing>
          <wp:inline distT="0" distB="0" distL="0" distR="0">
            <wp:extent cx="3943350" cy="3619500"/>
            <wp:effectExtent t="0" r="0" b="0" l="0"/>
            <wp:docPr id="1" name="confusion_matrix_KSC.png" descr="confusion_matrix_KSC.png" title="confusion_matrix_K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4335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17. Confusion Matrix - KSC</w:t>
      </w:r>
    </w:p>
    <w:p>
      <w:pPr>
        <w:pStyle w:val="Heading2"/>
        <w:spacing w:after="120" w:before="300"/>
      </w:pPr>
      <w:r>
        <w:rPr>
          <w:rFonts w:ascii="Times New Roman" w:cs="Times New Roman" w:eastAsia="Times New Roman" w:hAnsi="Times New Roman"/>
          <w:b/>
          <w:bCs/>
          <w:color w:val="1a1a1a"/>
          <w:sz w:val="24"/>
          <w:szCs w:val="24"/>
        </w:rPr>
        <w:t xml:space="preserve">Key Observations from Confusion Matrices</w:t>
      </w:r>
    </w:p>
    <w:p>
      <w:pPr>
        <w:spacing w:after="140" w:before="0" w:line="340"/>
        <w:jc w:val="both"/>
      </w:pPr>
      <w:r>
        <w:rPr>
          <w:rFonts w:ascii="Times New Roman" w:cs="Times New Roman" w:eastAsia="Times New Roman" w:hAnsi="Times New Roman"/>
          <w:b/>
          <w:bCs/>
          <w:sz w:val="22"/>
          <w:szCs w:val="22"/>
        </w:rPr>
        <w:t xml:space="preserve">Indian Pines</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Most confusion occurs between spectrally similar crop types (Corn-notill ↔ Corn-mintill)</w:t>
      </w:r>
    </w:p>
    <w:p>
      <w:pPr>
        <w:spacing w:after="80" w:before="0" w:line="320"/>
        <w:ind w:left="540" w:hanging="200"/>
        <w:jc w:val="both"/>
      </w:pPr>
      <w:r>
        <w:rPr>
          <w:rFonts w:ascii="Times New Roman" w:cs="Times New Roman" w:eastAsia="Times New Roman" w:hAnsi="Times New Roman"/>
          <w:sz w:val="22"/>
          <w:szCs w:val="22"/>
        </w:rPr>
        <w:t xml:space="preserve">•  Grass-pasture-mowed is most confused with Grass-pasture (expected — similar vegetation)</w:t>
      </w:r>
    </w:p>
    <w:p>
      <w:pPr>
        <w:spacing w:after="140" w:before="0" w:line="340"/>
        <w:jc w:val="both"/>
      </w:pPr>
      <w:r>
        <w:rPr>
          <w:rFonts w:ascii="Times New Roman" w:cs="Times New Roman" w:eastAsia="Times New Roman" w:hAnsi="Times New Roman"/>
          <w:b/>
          <w:bCs/>
          <w:sz w:val="22"/>
          <w:szCs w:val="22"/>
        </w:rPr>
        <w:t xml:space="preserve">KSC</w:t>
      </w:r>
      <w:r>
        <w:rPr>
          <w:rFonts w:ascii="Times New Roman" w:cs="Times New Roman" w:eastAsia="Times New Roman" w:hAnsi="Times New Roman"/>
          <w:sz w:val="22"/>
          <w:szCs w:val="22"/>
        </w:rPr>
        <w:t xml:space="preserve">:</w:t>
      </w:r>
    </w:p>
    <w:p>
      <w:pPr>
        <w:spacing w:after="80" w:before="0" w:line="320"/>
        <w:ind w:left="540" w:hanging="200"/>
        <w:jc w:val="both"/>
      </w:pPr>
      <w:r>
        <w:rPr>
          <w:rFonts w:ascii="Times New Roman" w:cs="Times New Roman" w:eastAsia="Times New Roman" w:hAnsi="Times New Roman"/>
          <w:sz w:val="22"/>
          <w:szCs w:val="22"/>
        </w:rPr>
        <w:t xml:space="preserve">•  Major confusion: Cabbage palm hammock ↔ Cabbage palm/oak hammock (similar canopy types)</w:t>
      </w:r>
    </w:p>
    <w:p>
      <w:pPr>
        <w:spacing w:after="80" w:before="0" w:line="320"/>
        <w:ind w:left="540" w:hanging="200"/>
        <w:jc w:val="both"/>
      </w:pPr>
      <w:r>
        <w:rPr>
          <w:rFonts w:ascii="Times New Roman" w:cs="Times New Roman" w:eastAsia="Times New Roman" w:hAnsi="Times New Roman"/>
          <w:sz w:val="22"/>
          <w:szCs w:val="22"/>
        </w:rPr>
        <w:t xml:space="preserve">•  Slash pine confused with multiple broadleaf classes (overlapping spectral signatures at AVIRIS resolution)</w:t>
      </w:r>
    </w:p>
    <w:p>
      <w:pPr>
        <w:pStyle w:val="Heading1"/>
        <w:spacing w:after="160" w:before="400"/>
        <w:jc w:val="left"/>
      </w:pPr>
      <w:r>
        <w:rPr>
          <w:rFonts w:ascii="Times New Roman" w:cs="Times New Roman" w:eastAsia="Times New Roman" w:hAnsi="Times New Roman"/>
          <w:b/>
          <w:bCs/>
          <w:color w:val="1a1a1a"/>
          <w:sz w:val="28"/>
          <w:szCs w:val="28"/>
        </w:rPr>
        <w:t xml:space="preserve">Cross-Dataset Transfer Learning</w:t>
      </w:r>
    </w:p>
    <w:p>
      <w:pPr>
        <w:pStyle w:val="Heading2"/>
        <w:spacing w:after="120" w:before="300"/>
      </w:pPr>
      <w:r>
        <w:rPr>
          <w:rFonts w:ascii="Times New Roman" w:cs="Times New Roman" w:eastAsia="Times New Roman" w:hAnsi="Times New Roman"/>
          <w:b/>
          <w:bCs/>
          <w:color w:val="1a1a1a"/>
          <w:sz w:val="24"/>
          <w:szCs w:val="24"/>
        </w:rPr>
        <w:t xml:space="preserve">Transfer Results</w:t>
      </w:r>
    </w:p>
    <w:p>
      <w:pPr>
        <w:spacing w:after="60" w:before="200"/>
        <w:jc w:val="center"/>
      </w:pPr>
      <w:r>
        <w:rPr>
          <w:rFonts w:ascii="Times New Roman" w:cs="Times New Roman" w:eastAsia="Times New Roman" w:hAnsi="Times New Roman"/>
          <w:b/>
          <w:bCs/>
          <w:sz w:val="18"/>
          <w:szCs w:val="18"/>
        </w:rPr>
        <w:t xml:space="preserve">Table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Source Dataset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Target Dataset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Transfer OA (%)</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Source Train OA (%)</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Valid Samples</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23.00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36,364</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11.15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100.00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3,642</w:t>
            </w:r>
          </w:p>
        </w:tc>
      </w:tr>
    </w:tbl>
    <w:p>
      <w:pPr>
        <w:spacing w:after="60" w:before="0"/>
      </w:pPr>
      <w:r>
        <w:t xml:space="preserve"/>
      </w:r>
    </w:p>
    <w:p>
      <w:pPr>
        <w:spacing w:after="40" w:before="120"/>
        <w:jc w:val="center"/>
      </w:pPr>
      <w:r>
        <w:drawing>
          <wp:inline distT="0" distB="0" distL="0" distR="0">
            <wp:extent cx="5334000" cy="3171825"/>
            <wp:effectExtent t="0" r="0" b="0" l="0"/>
            <wp:docPr id="1" name="cross_dataset_transfer.png" descr="cross_dataset_transfer.png" title="cross_dataset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718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18. Cross-Dataset Transfer</w:t>
      </w:r>
    </w:p>
    <w:p>
      <w:pPr>
        <w:pStyle w:val="Heading2"/>
        <w:spacing w:after="120" w:before="300"/>
      </w:pPr>
      <w:r>
        <w:rPr>
          <w:rFonts w:ascii="Times New Roman" w:cs="Times New Roman" w:eastAsia="Times New Roman" w:hAnsi="Times New Roman"/>
          <w:b/>
          <w:bCs/>
          <w:color w:val="1a1a1a"/>
          <w:sz w:val="24"/>
          <w:szCs w:val="24"/>
        </w:rPr>
        <w:t xml:space="preserve">Analysis</w:t>
      </w:r>
    </w:p>
    <w:p>
      <w:pPr>
        <w:pStyle w:val="Heading1"/>
        <w:spacing w:after="160" w:before="400"/>
        <w:jc w:val="left"/>
      </w:pPr>
      <w:r>
        <w:rPr>
          <w:rFonts w:ascii="Times New Roman" w:cs="Times New Roman" w:eastAsia="Times New Roman" w:hAnsi="Times New Roman"/>
          <w:b/>
          <w:bCs/>
          <w:color w:val="1a1a1a"/>
          <w:sz w:val="28"/>
          <w:szCs w:val="28"/>
        </w:rPr>
        <w:t xml:space="preserve">Multiscale SSMRB Analysis</w:t>
      </w:r>
    </w:p>
    <w:p>
      <w:pPr>
        <w:spacing w:after="140" w:before="0" w:line="340"/>
        <w:jc w:val="both"/>
      </w:pPr>
      <w:r>
        <w:rPr>
          <w:rFonts w:ascii="Times New Roman" w:cs="Times New Roman" w:eastAsia="Times New Roman" w:hAnsi="Times New Roman"/>
          <w:sz w:val="22"/>
          <w:szCs w:val="22"/>
        </w:rPr>
        <w:t xml:space="preserve">An additional experiment compares single-scale SSMRB (used in our architecture) with a multiscale variant that processes features at multiple spatial resolutions.</w:t>
      </w:r>
    </w:p>
    <w:p>
      <w:pPr>
        <w:pStyle w:val="Heading2"/>
        <w:spacing w:after="120" w:before="300"/>
      </w:pPr>
      <w:r>
        <w:rPr>
          <w:rFonts w:ascii="Times New Roman" w:cs="Times New Roman" w:eastAsia="Times New Roman" w:hAnsi="Times New Roman"/>
          <w:b/>
          <w:bCs/>
          <w:color w:val="1a1a1a"/>
          <w:sz w:val="24"/>
          <w:szCs w:val="24"/>
        </w:rPr>
        <w:t xml:space="preserve">Figure</w:t>
      </w:r>
    </w:p>
    <w:p>
      <w:pPr>
        <w:spacing w:after="40" w:before="120"/>
        <w:jc w:val="center"/>
      </w:pPr>
      <w:r>
        <w:drawing>
          <wp:inline distT="0" distB="0" distL="0" distR="0">
            <wp:extent cx="5334000" cy="3305175"/>
            <wp:effectExtent t="0" r="0" b="0" l="0"/>
            <wp:docPr id="1" name="multiscale_comparison_IndianPines.png" descr="multiscale_comparison_IndianPines.png" title="multiscale_comparis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051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19. Multiscale Comparison</w:t>
      </w:r>
    </w:p>
    <w:p>
      <w:pPr>
        <w:pStyle w:val="Heading1"/>
        <w:spacing w:after="160" w:before="400"/>
        <w:jc w:val="left"/>
      </w:pPr>
      <w:r>
        <w:rPr>
          <w:rFonts w:ascii="Times New Roman" w:cs="Times New Roman" w:eastAsia="Times New Roman" w:hAnsi="Times New Roman"/>
          <w:b/>
          <w:bCs/>
          <w:color w:val="1a1a1a"/>
          <w:sz w:val="28"/>
          <w:szCs w:val="28"/>
        </w:rPr>
        <w:t xml:space="preserve">Transformer Baseline Comparison</w:t>
      </w:r>
    </w:p>
    <w:p>
      <w:pPr>
        <w:spacing w:after="140" w:before="0" w:line="340"/>
        <w:jc w:val="both"/>
      </w:pPr>
      <w:r>
        <w:rPr>
          <w:rFonts w:ascii="Times New Roman" w:cs="Times New Roman" w:eastAsia="Times New Roman" w:hAnsi="Times New Roman"/>
          <w:sz w:val="22"/>
          <w:szCs w:val="22"/>
        </w:rPr>
        <w:t xml:space="preserve">We trained </w:t>
      </w:r>
      <w:r>
        <w:rPr>
          <w:rFonts w:ascii="Times New Roman" w:cs="Times New Roman" w:eastAsia="Times New Roman" w:hAnsi="Times New Roman"/>
          <w:b/>
          <w:bCs/>
          <w:sz w:val="22"/>
          <w:szCs w:val="22"/>
        </w:rPr>
        <w:t xml:space="preserve">SpectralFormer</w:t>
      </w:r>
      <w:r>
        <w:rPr>
          <w:rFonts w:ascii="Times New Roman" w:cs="Times New Roman" w:eastAsia="Times New Roman" w:hAnsi="Times New Roman"/>
          <w:sz w:val="22"/>
          <w:szCs w:val="22"/>
        </w:rPr>
        <w:t xml:space="preserve"> (Hong et al., 2022) and </w:t>
      </w:r>
      <w:r>
        <w:rPr>
          <w:rFonts w:ascii="Times New Roman" w:cs="Times New Roman" w:eastAsia="Times New Roman" w:hAnsi="Times New Roman"/>
          <w:b/>
          <w:bCs/>
          <w:sz w:val="22"/>
          <w:szCs w:val="22"/>
        </w:rPr>
        <w:t xml:space="preserve">SSFTT</w:t>
      </w:r>
      <w:r>
        <w:rPr>
          <w:rFonts w:ascii="Times New Roman" w:cs="Times New Roman" w:eastAsia="Times New Roman" w:hAnsi="Times New Roman"/>
          <w:sz w:val="22"/>
          <w:szCs w:val="22"/>
        </w:rPr>
        <w:t xml:space="preserve"> (Sun et al., 2022) using identical experimental protocol: 100 epochs, AdamW optimizer with CosineAnnealing scheduler, 3 seeds (42, 100, 2024), 15% training split.</w:t>
      </w:r>
    </w:p>
    <w:p>
      <w:pPr>
        <w:pStyle w:val="Heading2"/>
        <w:spacing w:after="120" w:before="300"/>
      </w:pPr>
      <w:r>
        <w:rPr>
          <w:rFonts w:ascii="Times New Roman" w:cs="Times New Roman" w:eastAsia="Times New Roman" w:hAnsi="Times New Roman"/>
          <w:b/>
          <w:bCs/>
          <w:color w:val="1a1a1a"/>
          <w:sz w:val="24"/>
          <w:szCs w:val="24"/>
        </w:rPr>
        <w:t xml:space="preserve">Results Table — SMCNN vs Transformers (mean ± std over 3 seeds)</w:t>
      </w:r>
    </w:p>
    <w:p>
      <w:pPr>
        <w:spacing w:after="60" w:before="200"/>
        <w:jc w:val="center"/>
      </w:pPr>
      <w:r>
        <w:rPr>
          <w:rFonts w:ascii="Times New Roman" w:cs="Times New Roman" w:eastAsia="Times New Roman" w:hAnsi="Times New Roman"/>
          <w:b/>
          <w:bCs/>
          <w:sz w:val="18"/>
          <w:szCs w:val="18"/>
        </w:rPr>
        <w:t xml:space="preserve">Table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SpectralFormer OA</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SSFTT OA</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 (Ours) OA</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Winner</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89.13 ± 0.70%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98.57 ± 0.34%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99.08 ± 0.27%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98.86 ± 0.32%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99.80 ± 0.02%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99.88 ± 0.06%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95.71 ± 1.54%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99.59 ± 0.24%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99.94 ± 0.10%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96.92 ± 0.26%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99.32 ± 0.56%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92.51 ± 2.66%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SSFTT</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Efficiency Comparison</w:t>
      </w:r>
    </w:p>
    <w:p>
      <w:pPr>
        <w:spacing w:after="60" w:before="200"/>
        <w:jc w:val="center"/>
      </w:pPr>
      <w:r>
        <w:rPr>
          <w:rFonts w:ascii="Times New Roman" w:cs="Times New Roman" w:eastAsia="Times New Roman" w:hAnsi="Times New Roman"/>
          <w:b/>
          <w:bCs/>
          <w:sz w:val="18"/>
          <w:szCs w:val="18"/>
        </w:rPr>
        <w:t xml:space="preserve">Table 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Params (M)</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 Time (IP)</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 Time (Botswana)</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Speedup</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SpectralFormer</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0.253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215s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45s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SSFTT</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0.121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382s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82s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 (Ours)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0.190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10–22×</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Findings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SMCNN wins 3/4 datasets while being 10–22× faster to train</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KSC limitation: SSFTT's 3D convolutional tokenizer captures multi-scale spectral patterns better for spectrally similar wetland classes (5 classes with OA &lt; 50% in SMCNN vs 90%+ in SSFTT)</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Efficiency advantage: SMCNN achieves comparable accuracy with only 0.19M parameters and ~1.3ms inference</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Practical implication: For resource-constrained agricultural applications, SMCNN provides the best accuracy-efficiency tradeoff</w:t>
      </w:r>
    </w:p>
    <w:p>
      <w:pPr>
        <w:pStyle w:val="Heading2"/>
        <w:spacing w:after="120" w:before="300"/>
      </w:pPr>
      <w:r>
        <w:rPr>
          <w:rFonts w:ascii="Times New Roman" w:cs="Times New Roman" w:eastAsia="Times New Roman" w:hAnsi="Times New Roman"/>
          <w:b/>
          <w:bCs/>
          <w:color w:val="1a1a1a"/>
          <w:sz w:val="24"/>
          <w:szCs w:val="24"/>
        </w:rPr>
        <w:t xml:space="preserve">Contextual Comparison with Additional Architectures (Published Results)</w:t>
      </w:r>
    </w:p>
    <w:p>
      <w:pPr>
        <w:spacing w:after="140" w:before="0" w:line="340"/>
        <w:jc w:val="both"/>
      </w:pPr>
      <w:r>
        <w:rPr>
          <w:rFonts w:ascii="Times New Roman" w:cs="Times New Roman" w:eastAsia="Times New Roman" w:hAnsi="Times New Roman"/>
          <w:sz w:val="22"/>
          <w:szCs w:val="22"/>
        </w:rPr>
        <w:t xml:space="preserve">The following results are reported from the original publications for Indian Pines. Direct experimental comparison was not performed due to code availability constraints, but these values provide contextual benchmarks:</w:t>
      </w:r>
    </w:p>
    <w:p>
      <w:pPr>
        <w:spacing w:after="60" w:before="200"/>
        <w:jc w:val="center"/>
      </w:pPr>
      <w:r>
        <w:rPr>
          <w:rFonts w:ascii="Times New Roman" w:cs="Times New Roman" w:eastAsia="Times New Roman" w:hAnsi="Times New Roman"/>
          <w:b/>
          <w:bCs/>
          <w:sz w:val="18"/>
          <w:szCs w:val="18"/>
        </w:rPr>
        <w:t xml:space="preserve">Table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Model</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Type</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IP OA (reported)</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Year</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Note</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HyFormer (Li et 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CNN-Transformer</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98.47%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2023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 training split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GAHT (Mei et 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Group Transformer</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98.82%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2022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 training split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MambaHSI (He et 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State-Space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98.91%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2024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 training split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S²Mamba (Wang et al.)</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State-Space</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99.12%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2024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training split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SMCNN (Ours)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CNN+Modulation</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99.08 ± 0.27%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2026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training split</w:t>
            </w:r>
          </w:p>
        </w:tc>
      </w:tr>
    </w:tbl>
    <w:p>
      <w:pPr>
        <w:spacing w:after="60" w:before="0"/>
      </w:pPr>
      <w:r>
        <w:t xml:space="preserve"/>
      </w:r>
    </w:p>
    <w:p>
      <w:pPr>
        <w:pStyle w:val="Heading1"/>
        <w:spacing w:after="160" w:before="400"/>
        <w:jc w:val="left"/>
      </w:pPr>
      <w:r>
        <w:rPr>
          <w:rFonts w:ascii="Times New Roman" w:cs="Times New Roman" w:eastAsia="Times New Roman" w:hAnsi="Times New Roman"/>
          <w:b/>
          <w:bCs/>
          <w:color w:val="1a1a1a"/>
          <w:sz w:val="28"/>
          <w:szCs w:val="28"/>
        </w:rPr>
        <w:t xml:space="preserve">Statistical Significance Analysis</w:t>
      </w:r>
    </w:p>
    <w:p>
      <w:pPr>
        <w:pStyle w:val="Heading2"/>
        <w:spacing w:after="120" w:before="300"/>
      </w:pPr>
      <w:r>
        <w:rPr>
          <w:rFonts w:ascii="Times New Roman" w:cs="Times New Roman" w:eastAsia="Times New Roman" w:hAnsi="Times New Roman"/>
          <w:b/>
          <w:bCs/>
          <w:color w:val="1a1a1a"/>
          <w:sz w:val="24"/>
          <w:szCs w:val="24"/>
        </w:rPr>
        <w:t xml:space="preserve">Results with 95% Confidence Intervals (3 seeds)</w:t>
      </w:r>
    </w:p>
    <w:p>
      <w:pPr>
        <w:spacing w:after="60" w:before="200"/>
        <w:jc w:val="center"/>
      </w:pPr>
      <w:r>
        <w:rPr>
          <w:rFonts w:ascii="Times New Roman" w:cs="Times New Roman" w:eastAsia="Times New Roman" w:hAnsi="Times New Roman"/>
          <w:b/>
          <w:bCs/>
          <w:sz w:val="18"/>
          <w:szCs w:val="18"/>
        </w:rPr>
        <w:t xml:space="preserve">Table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OA (mean ± std)</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95% CI</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Kappa (mean ± std)</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95% CI</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99.08 ± 0.27%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[98.41, 99.74]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0.9895 ± 0.0031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[0.9819, 0.9970]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99.88 ± 0.06%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[99.74, 100.03]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0.9985 ± 0.0008</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[0.9966, 1.0004]</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99.94 ± 0.10%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[99.68, 100.20]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0.9993 ± 0.0011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[0.9965, 1.0022]</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92.51 ± 2.66%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[85.91, 99.12]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0.9165 ± 0.0297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[0.8426, 0.9904]</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99.93 ± 0.02%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[99.88, 99.98]</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0.9992 ± 0.0002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[0.9986, 0.9998]</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Observations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Narrow CI on 4 datasets: Indian Pines, Pavia U, Botswana, WHU-Hi all have tight confidence intervals (&lt; 1% width), confirming stable performance across random initializations</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KSC variance is high (std = 2.66%): This reflects the model's difficulty with spectrally overlapping wetland classes, and is consistent with the per-class accuracy pattern (Classes 4, 5 show &lt; 50% accuracy)</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Kappa values &gt; 0.98: On 4/5 datasets, Cohen's Kappa exceeds 0.98, indicating near-perfect agreement with ground truth</w:t>
      </w:r>
    </w:p>
    <w:p>
      <w:pPr>
        <w:pStyle w:val="Heading1"/>
        <w:spacing w:after="160" w:before="400"/>
        <w:jc w:val="left"/>
      </w:pPr>
      <w:r>
        <w:rPr>
          <w:rFonts w:ascii="Times New Roman" w:cs="Times New Roman" w:eastAsia="Times New Roman" w:hAnsi="Times New Roman"/>
          <w:b/>
          <w:bCs/>
          <w:color w:val="1a1a1a"/>
          <w:sz w:val="28"/>
          <w:szCs w:val="28"/>
        </w:rPr>
        <w:t xml:space="preserve">Extended Noise Robustness Analysis</w:t>
      </w:r>
    </w:p>
    <w:p>
      <w:pPr>
        <w:spacing w:after="140" w:before="0" w:line="340"/>
        <w:jc w:val="both"/>
      </w:pPr>
      <w:r>
        <w:rPr>
          <w:rFonts w:ascii="Times New Roman" w:cs="Times New Roman" w:eastAsia="Times New Roman" w:hAnsi="Times New Roman"/>
          <w:sz w:val="22"/>
          <w:szCs w:val="22"/>
        </w:rPr>
        <w:t xml:space="preserve">We evaluate SMCNN under </w:t>
      </w:r>
      <w:r>
        <w:rPr>
          <w:rFonts w:ascii="Times New Roman" w:cs="Times New Roman" w:eastAsia="Times New Roman" w:hAnsi="Times New Roman"/>
          <w:b/>
          <w:bCs/>
          <w:sz w:val="22"/>
          <w:szCs w:val="22"/>
        </w:rPr>
        <w:t xml:space="preserve">5 noise types</w:t>
      </w:r>
      <w:r>
        <w:rPr>
          <w:rFonts w:ascii="Times New Roman" w:cs="Times New Roman" w:eastAsia="Times New Roman" w:hAnsi="Times New Roman"/>
          <w:sz w:val="22"/>
          <w:szCs w:val="22"/>
        </w:rPr>
        <w:t xml:space="preserve"> across all 5 datasets:</w:t>
      </w:r>
    </w:p>
    <w:p>
      <w:pPr>
        <w:pStyle w:val="Heading2"/>
        <w:spacing w:after="120" w:before="300"/>
      </w:pPr>
      <w:r>
        <w:rPr>
          <w:rFonts w:ascii="Times New Roman" w:cs="Times New Roman" w:eastAsia="Times New Roman" w:hAnsi="Times New Roman"/>
          <w:b/>
          <w:bCs/>
          <w:color w:val="1a1a1a"/>
          <w:sz w:val="24"/>
          <w:szCs w:val="24"/>
        </w:rPr>
        <w:t xml:space="preserve">Indian Pines — Extended Noise Results</w:t>
      </w:r>
    </w:p>
    <w:p>
      <w:pPr>
        <w:spacing w:after="60" w:before="200"/>
        <w:jc w:val="center"/>
      </w:pPr>
      <w:r>
        <w:rPr>
          <w:rFonts w:ascii="Times New Roman" w:cs="Times New Roman" w:eastAsia="Times New Roman" w:hAnsi="Times New Roman"/>
          <w:b/>
          <w:bCs/>
          <w:sz w:val="18"/>
          <w:szCs w:val="18"/>
        </w:rPr>
        <w:t xml:space="preserve">Table 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Noise Type</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Clean</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Low</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Medium</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High</w:t>
            </w:r>
          </w:p>
        </w:tc>
        <w:tc>
          <w:tcPr>
            <w:tcW w:type="dxa" w:w="1504"/>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Severe</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Gaussian</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σ=0.01: 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σ=0.10: 99.45%</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σ=0.15: 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σ=0.20: 99.48%</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Stripe</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 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99.43%</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 99.42%</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 99.39%</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Impulse</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 99.46%</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 99.40%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 99.29%</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99.11%</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Band Dropout</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 99.06%</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 97.47%</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 97.84%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 94.91%</w:t>
            </w:r>
          </w:p>
        </w:tc>
      </w:tr>
      <w:tr>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Cal. Drift</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99.44%</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0.02: 99.48%</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0.08: 99.45%</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0.10: 99.30%</w:t>
            </w:r>
          </w:p>
        </w:tc>
        <w:tc>
          <w:tcPr>
            <w:tcW w:type="dxa" w:w="1504"/>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0.15: 99.16%</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Key Findings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Extremely robust to Gaussian, stripe, and calibration drift: OA drops &lt; 0.5% even at severe levels</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Moderately robust to impulse noise: 15% salt-and-pepper only reduces OA by 0.3%</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Band dropout is the primary vulnerability: 30% dropped bands reduces OA by ~4.5% — expected since the model relies on spectral band relationships</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Consistent across datasets: Similar robustness patterns observed on all 5 datasets</w:t>
      </w:r>
    </w:p>
    <w:p>
      <w:pPr>
        <w:pStyle w:val="Heading2"/>
        <w:spacing w:after="120" w:before="300"/>
      </w:pPr>
      <w:r>
        <w:rPr>
          <w:rFonts w:ascii="Times New Roman" w:cs="Times New Roman" w:eastAsia="Times New Roman" w:hAnsi="Times New Roman"/>
          <w:b/>
          <w:bCs/>
          <w:color w:val="1a1a1a"/>
          <w:sz w:val="24"/>
          <w:szCs w:val="24"/>
        </w:rPr>
        <w:t xml:space="preserve">Figures (All 5 Datasets)</w:t>
      </w:r>
    </w:p>
    <w:p>
      <w:pPr>
        <w:spacing w:after="40" w:before="120"/>
        <w:jc w:val="center"/>
      </w:pPr>
      <w:r>
        <w:drawing>
          <wp:inline distT="0" distB="0" distL="0" distR="0">
            <wp:extent cx="5334000" cy="1057275"/>
            <wp:effectExtent t="0" r="0" b="0" l="0"/>
            <wp:docPr id="1" name="extended_noise_IndianPines.png" descr="extended_noise_IndianPines.png" title="extended_noise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0572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20. Extended Noise — Indian Pines</w:t>
      </w:r>
    </w:p>
    <w:p>
      <w:pPr>
        <w:spacing w:after="40" w:before="120"/>
        <w:jc w:val="center"/>
      </w:pPr>
      <w:r>
        <w:drawing>
          <wp:inline distT="0" distB="0" distL="0" distR="0">
            <wp:extent cx="5334000" cy="1057275"/>
            <wp:effectExtent t="0" r="0" b="0" l="0"/>
            <wp:docPr id="1" name="extended_noise_PaviaU.png" descr="extended_noise_PaviaU.png" title="extended_noise_Pavi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0572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21. Extended Noise — Pavia U</w:t>
      </w:r>
    </w:p>
    <w:p>
      <w:pPr>
        <w:spacing w:after="40" w:before="120"/>
        <w:jc w:val="center"/>
      </w:pPr>
      <w:r>
        <w:drawing>
          <wp:inline distT="0" distB="0" distL="0" distR="0">
            <wp:extent cx="5334000" cy="1057275"/>
            <wp:effectExtent t="0" r="0" b="0" l="0"/>
            <wp:docPr id="1" name="extended_noise_Botswana.png" descr="extended_noise_Botswana.png" title="extended_noise_Botsw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0572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22. Extended Noise — Botswana</w:t>
      </w:r>
    </w:p>
    <w:p>
      <w:pPr>
        <w:spacing w:after="40" w:before="120"/>
        <w:jc w:val="center"/>
      </w:pPr>
      <w:r>
        <w:drawing>
          <wp:inline distT="0" distB="0" distL="0" distR="0">
            <wp:extent cx="5334000" cy="1057275"/>
            <wp:effectExtent t="0" r="0" b="0" l="0"/>
            <wp:docPr id="1" name="extended_noise_KSC.png" descr="extended_noise_KSC.png" title="extended_noise_K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0572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23. Extended Noise — KSC</w:t>
      </w:r>
    </w:p>
    <w:p>
      <w:pPr>
        <w:spacing w:after="40" w:before="120"/>
        <w:jc w:val="center"/>
      </w:pPr>
      <w:r>
        <w:drawing>
          <wp:inline distT="0" distB="0" distL="0" distR="0">
            <wp:extent cx="5334000" cy="1057275"/>
            <wp:effectExtent t="0" r="0" b="0" l="0"/>
            <wp:docPr id="1" name="extended_noise_WHU_Hi.png" descr="extended_noise_WHU_Hi.png" title="extended_noise_WHU_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0572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24. Extended Noise — WHU-Hi</w:t>
      </w:r>
    </w:p>
    <w:p>
      <w:pPr>
        <w:pStyle w:val="Heading1"/>
        <w:spacing w:after="160" w:before="400"/>
        <w:jc w:val="left"/>
      </w:pPr>
      <w:r>
        <w:rPr>
          <w:rFonts w:ascii="Times New Roman" w:cs="Times New Roman" w:eastAsia="Times New Roman" w:hAnsi="Times New Roman"/>
          <w:b/>
          <w:bCs/>
          <w:color w:val="1a1a1a"/>
          <w:sz w:val="28"/>
          <w:szCs w:val="28"/>
        </w:rPr>
        <w:t xml:space="preserve">Deep Spectral Interpretability Analysis</w:t>
      </w:r>
    </w:p>
    <w:p>
      <w:pPr>
        <w:pStyle w:val="Heading2"/>
        <w:spacing w:after="120" w:before="300"/>
      </w:pPr>
      <w:r>
        <w:rPr>
          <w:rFonts w:ascii="Times New Roman" w:cs="Times New Roman" w:eastAsia="Times New Roman" w:hAnsi="Times New Roman"/>
          <w:b/>
          <w:bCs/>
          <w:color w:val="1a1a1a"/>
          <w:sz w:val="24"/>
          <w:szCs w:val="24"/>
        </w:rPr>
        <w:t xml:space="preserve">SSMRB Modulation Analysis (γ/β Heatmaps)</w:t>
      </w:r>
    </w:p>
    <w:p>
      <w:pPr>
        <w:spacing w:after="140" w:before="0" w:line="340"/>
        <w:jc w:val="both"/>
      </w:pPr>
      <w:r>
        <w:rPr>
          <w:rFonts w:ascii="Times New Roman" w:cs="Times New Roman" w:eastAsia="Times New Roman" w:hAnsi="Times New Roman"/>
          <w:sz w:val="22"/>
          <w:szCs w:val="22"/>
        </w:rPr>
        <w:t xml:space="preserve">The per-class mean γ (scale) and β (shift) values reveal how SSMRB adapts its processing for each land cover class:</w:t>
      </w:r>
    </w:p>
    <w:p>
      <w:pPr>
        <w:spacing w:after="40" w:before="120"/>
        <w:jc w:val="center"/>
      </w:pPr>
      <w:r>
        <w:drawing>
          <wp:inline distT="0" distB="0" distL="0" distR="0">
            <wp:extent cx="5334000" cy="1781175"/>
            <wp:effectExtent t="0" r="0" b="0" l="0"/>
            <wp:docPr id="1" name="modulation_IndianPines.png" descr="modulation_IndianPines.png" title="modulati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78117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25. Modulation — Indian Pines</w:t>
      </w:r>
    </w:p>
    <w:p>
      <w:pPr>
        <w:spacing w:after="40" w:before="120"/>
        <w:jc w:val="center"/>
      </w:pPr>
      <w:r>
        <w:drawing>
          <wp:inline distT="0" distB="0" distL="0" distR="0">
            <wp:extent cx="5334000" cy="1343025"/>
            <wp:effectExtent t="0" r="0" b="0" l="0"/>
            <wp:docPr id="1" name="modulation_PaviaU.png" descr="modulation_PaviaU.png" title="modulation_Pavi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343025"/>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26. Modulation — Pavia U</w:t>
      </w:r>
    </w:p>
    <w:p>
      <w:pPr>
        <w:spacing w:after="40" w:before="120"/>
        <w:jc w:val="center"/>
      </w:pPr>
      <w:r>
        <w:drawing>
          <wp:inline distT="0" distB="0" distL="0" distR="0">
            <wp:extent cx="5334000" cy="1790700"/>
            <wp:effectExtent t="0" r="0" b="0" l="0"/>
            <wp:docPr id="1" name="modulation_WHU_Hi.png" descr="modulation_WHU_Hi.png" title="modulation_WHU_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7907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27. Modulation — WHU-Hi</w:t>
      </w:r>
    </w:p>
    <w:p>
      <w:pPr>
        <w:pStyle w:val="Heading2"/>
        <w:spacing w:after="120" w:before="300"/>
      </w:pPr>
      <w:r>
        <w:rPr>
          <w:rFonts w:ascii="Times New Roman" w:cs="Times New Roman" w:eastAsia="Times New Roman" w:hAnsi="Times New Roman"/>
          <w:b/>
          <w:bCs/>
          <w:color w:val="1a1a1a"/>
          <w:sz w:val="24"/>
          <w:szCs w:val="24"/>
        </w:rPr>
        <w:t xml:space="preserve">Attention Entropy Analysis</w:t>
      </w:r>
    </w:p>
    <w:p>
      <w:pPr>
        <w:spacing w:after="140" w:before="0" w:line="340"/>
        <w:jc w:val="both"/>
      </w:pPr>
      <w:r>
        <w:rPr>
          <w:rFonts w:ascii="Times New Roman" w:cs="Times New Roman" w:eastAsia="Times New Roman" w:hAnsi="Times New Roman"/>
          <w:sz w:val="22"/>
          <w:szCs w:val="22"/>
        </w:rPr>
        <w:t xml:space="preserve">Shannon entropy of the γ distribution measures whether attention is focused (low entropy) or diffuse (high entropy):</w:t>
      </w:r>
    </w:p>
    <w:p>
      <w:pPr>
        <w:spacing w:after="60" w:before="200"/>
        <w:jc w:val="center"/>
      </w:pPr>
      <w:r>
        <w:rPr>
          <w:rFonts w:ascii="Times New Roman" w:cs="Times New Roman" w:eastAsia="Times New Roman" w:hAnsi="Times New Roman"/>
          <w:b/>
          <w:bCs/>
          <w:sz w:val="18"/>
          <w:szCs w:val="18"/>
        </w:rPr>
        <w:t xml:space="preserve">Table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Mean H(γ)</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Interpretation</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4.15</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Near-uniform — model uses all channels, not over-specializing</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4.16</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Near-uniform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4.15</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Near-uniform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4.15</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Near-uniform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4.15</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Near-uniform</w:t>
            </w:r>
          </w:p>
        </w:tc>
      </w:tr>
    </w:tbl>
    <w:p>
      <w:pPr>
        <w:spacing w:after="60" w:before="0"/>
      </w:pPr>
      <w:r>
        <w:t xml:space="preserve"/>
      </w:r>
    </w:p>
    <w:p>
      <w:pPr>
        <w:spacing w:after="140" w:before="0" w:line="340"/>
        <w:jc w:val="both"/>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The near-uniform entropy (~4.15, close to max entropy of ln(64) = 4.16) indicates SSMRB performs subtle, distributed modulation rather than aggressive gating. This explains the model's robustness — it doesn't depend on a few critical channels.</w:t>
      </w:r>
    </w:p>
    <w:p>
      <w:pPr>
        <w:spacing w:after="40" w:before="120"/>
        <w:jc w:val="center"/>
      </w:pPr>
      <w:r>
        <w:drawing>
          <wp:inline distT="0" distB="0" distL="0" distR="0">
            <wp:extent cx="5334000" cy="2190750"/>
            <wp:effectExtent t="0" r="0" b="0" l="0"/>
            <wp:docPr id="1" name="attention_entropy_IndianPines.png" descr="attention_entropy_IndianPines.png" title="attention_entropy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1907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28. Attention Entropy — Indian Pines</w:t>
      </w:r>
    </w:p>
    <w:p>
      <w:pPr>
        <w:pStyle w:val="Heading2"/>
        <w:spacing w:after="120" w:before="300"/>
      </w:pPr>
      <w:r>
        <w:rPr>
          <w:rFonts w:ascii="Times New Roman" w:cs="Times New Roman" w:eastAsia="Times New Roman" w:hAnsi="Times New Roman"/>
          <w:b/>
          <w:bCs/>
          <w:color w:val="1a1a1a"/>
          <w:sz w:val="24"/>
          <w:szCs w:val="24"/>
        </w:rPr>
        <w:t xml:space="preserve">Representation Quality (Fisher Criterion)</w:t>
      </w:r>
    </w:p>
    <w:p>
      <w:pPr>
        <w:spacing w:after="140" w:before="0" w:line="340"/>
        <w:jc w:val="both"/>
      </w:pPr>
      <w:r>
        <w:rPr>
          <w:rFonts w:ascii="Times New Roman" w:cs="Times New Roman" w:eastAsia="Times New Roman" w:hAnsi="Times New Roman"/>
          <w:sz w:val="22"/>
          <w:szCs w:val="22"/>
        </w:rPr>
        <w:t xml:space="preserve">The Fisher discriminant ratio measures inter-class vs. intra-class variance in the learned feature space:</w:t>
      </w:r>
    </w:p>
    <w:p>
      <w:pPr>
        <w:spacing w:after="60" w:before="200"/>
        <w:jc w:val="center"/>
      </w:pPr>
      <w:r>
        <w:rPr>
          <w:rFonts w:ascii="Times New Roman" w:cs="Times New Roman" w:eastAsia="Times New Roman" w:hAnsi="Times New Roman"/>
          <w:b/>
          <w:bCs/>
          <w:sz w:val="18"/>
          <w:szCs w:val="18"/>
        </w:rPr>
        <w:t xml:space="preserve">Table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Fisher Criterion</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Mean Compactness</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Min Inter-Class Dist</w:t>
            </w:r>
          </w:p>
        </w:tc>
        <w:tc>
          <w:tcPr>
            <w:tcW w:type="dxa" w:w="1805"/>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Max Inter-Class Dist</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9.73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3.73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13.21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24.63</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8.06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4.43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16.93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30.12</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20.75</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2.83</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17.80</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25.55</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KSC</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6.16</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3.72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6.51</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17.50</w:t>
            </w:r>
          </w:p>
        </w:tc>
      </w:tr>
      <w:tr>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5.52</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4.44</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14.87</w:t>
            </w:r>
          </w:p>
        </w:tc>
        <w:tc>
          <w:tcPr>
            <w:tcW w:type="dxa" w:w="1805"/>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30.26</w:t>
            </w:r>
          </w:p>
        </w:tc>
      </w:tr>
    </w:tbl>
    <w:p>
      <w:pPr>
        <w:spacing w:after="60" w:before="0"/>
      </w:pPr>
      <w:r>
        <w:t xml:space="preserve"/>
      </w:r>
    </w:p>
    <w:p>
      <w:pPr>
        <w:spacing w:after="140" w:before="0" w:line="340"/>
        <w:jc w:val="both"/>
      </w:pPr>
      <w:r>
        <w:rPr>
          <w:rFonts w:ascii="Times New Roman" w:cs="Times New Roman" w:eastAsia="Times New Roman" w:hAnsi="Times New Roman"/>
          <w:sz w:val="22"/>
          <w:szCs w:val="22"/>
        </w:rPr>
        <w:t xml:space="preserve">(Full per-dataset values in interpretability_*.json)</w:t>
      </w:r>
    </w:p>
    <w:p>
      <w:pPr>
        <w:spacing w:after="140" w:before="0" w:line="340"/>
        <w:jc w:val="both"/>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A Fisher criterion of 9.73 indicates that inter-class variance is ~10× larger than intra-class variance, confirming strong feature separability. The minimum inter-class distance (13.21) being ~3.5× the mean compactness (3.73) confirms no class overlap in feature space.</w:t>
      </w:r>
    </w:p>
    <w:p>
      <w:pPr>
        <w:spacing w:after="40" w:before="120"/>
        <w:jc w:val="center"/>
      </w:pPr>
      <w:r>
        <w:drawing>
          <wp:inline distT="0" distB="0" distL="0" distR="0">
            <wp:extent cx="5334000" cy="2057400"/>
            <wp:effectExtent t="0" r="0" b="0" l="0"/>
            <wp:docPr id="1" name="representation_IndianPines.png" descr="representation_IndianPines.png" title="representati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0574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29. Representation Quality — Indian Pines</w:t>
      </w:r>
    </w:p>
    <w:p>
      <w:pPr>
        <w:spacing w:after="40" w:before="120"/>
        <w:jc w:val="center"/>
      </w:pPr>
      <w:r>
        <w:drawing>
          <wp:inline distT="0" distB="0" distL="0" distR="0">
            <wp:extent cx="5334000" cy="2057400"/>
            <wp:effectExtent t="0" r="0" b="0" l="0"/>
            <wp:docPr id="1" name="representation_KSC.png" descr="representation_KSC.png" title="representation_K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05740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30. Representation Quality — KSC</w:t>
      </w:r>
    </w:p>
    <w:p>
      <w:pPr>
        <w:pStyle w:val="Heading1"/>
        <w:spacing w:after="160" w:before="400"/>
        <w:jc w:val="left"/>
      </w:pPr>
      <w:r>
        <w:rPr>
          <w:rFonts w:ascii="Times New Roman" w:cs="Times New Roman" w:eastAsia="Times New Roman" w:hAnsi="Times New Roman"/>
          <w:b/>
          <w:bCs/>
          <w:color w:val="1a1a1a"/>
          <w:sz w:val="28"/>
          <w:szCs w:val="28"/>
        </w:rPr>
        <w:t xml:space="preserve">SFWOA Scheduler Comparison</w:t>
      </w:r>
    </w:p>
    <w:p>
      <w:pPr>
        <w:spacing w:after="140" w:before="0" w:line="340"/>
        <w:jc w:val="both"/>
      </w:pPr>
      <w:r>
        <w:rPr>
          <w:rFonts w:ascii="Times New Roman" w:cs="Times New Roman" w:eastAsia="Times New Roman" w:hAnsi="Times New Roman"/>
          <w:sz w:val="22"/>
          <w:szCs w:val="22"/>
        </w:rPr>
        <w:t xml:space="preserve">We compare 5 learning rate schedulers using identical model architecture and data, training for 100 epochs with early stopping (patience=10):</w:t>
      </w:r>
    </w:p>
    <w:p>
      <w:pPr>
        <w:pStyle w:val="Heading2"/>
        <w:spacing w:after="120" w:before="300"/>
      </w:pPr>
      <w:r>
        <w:rPr>
          <w:rFonts w:ascii="Times New Roman" w:cs="Times New Roman" w:eastAsia="Times New Roman" w:hAnsi="Times New Roman"/>
          <w:b/>
          <w:bCs/>
          <w:color w:val="1a1a1a"/>
          <w:sz w:val="24"/>
          <w:szCs w:val="24"/>
        </w:rPr>
        <w:t xml:space="preserve">Indian Pines Results</w:t>
      </w:r>
    </w:p>
    <w:p>
      <w:pPr>
        <w:spacing w:after="60" w:before="200"/>
        <w:jc w:val="center"/>
      </w:pPr>
      <w:r>
        <w:rPr>
          <w:rFonts w:ascii="Times New Roman" w:cs="Times New Roman" w:eastAsia="Times New Roman" w:hAnsi="Times New Roman"/>
          <w:b/>
          <w:bCs/>
          <w:sz w:val="18"/>
          <w:szCs w:val="18"/>
        </w:rPr>
        <w:t xml:space="preserve">Table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Scheduler</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Best Val OA</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Training Time</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Epochs</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Constant LR (0.001)</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98.99%</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35</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StepDecay (×0.5 every 20)</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99.27%</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12.0s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43</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CosineAnnealing</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99.28%</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15.2s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54</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OneCycle (max=0.01)</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98.95%</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12.3s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44</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SFWOA (proposed)</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99.14%</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15.0s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53</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KSC Results</w:t>
      </w:r>
    </w:p>
    <w:p>
      <w:pPr>
        <w:spacing w:after="60" w:before="200"/>
        <w:jc w:val="center"/>
      </w:pPr>
      <w:r>
        <w:rPr>
          <w:rFonts w:ascii="Times New Roman" w:cs="Times New Roman" w:eastAsia="Times New Roman" w:hAnsi="Times New Roman"/>
          <w:b/>
          <w:bCs/>
          <w:sz w:val="18"/>
          <w:szCs w:val="18"/>
        </w:rPr>
        <w:t xml:space="preserve">Table 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Scheduler</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Best Val OA</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Training Time</w:t>
            </w:r>
          </w:p>
        </w:tc>
        <w:tc>
          <w:tcPr>
            <w:tcW w:type="dxa" w:w="2256"/>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Epochs</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Constant LR</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88.88%</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6.3s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43</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StepDecay</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93.91%</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8.0s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55</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CosineAnnealing</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94.30%</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10.0s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69</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OneCycle</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84.19%</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3.7s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25</w:t>
            </w:r>
          </w:p>
        </w:tc>
      </w:tr>
      <w:tr>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SFWOA (proposed)</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88.16%</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4.8s</w:t>
            </w:r>
          </w:p>
        </w:tc>
        <w:tc>
          <w:tcPr>
            <w:tcW w:type="dxa" w:w="2256"/>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33</w:t>
            </w:r>
          </w:p>
        </w:tc>
      </w:tr>
    </w:tbl>
    <w:p>
      <w:pPr>
        <w:spacing w:after="60" w:before="0"/>
      </w:pPr>
      <w:r>
        <w:t xml:space="preserve"/>
      </w:r>
    </w:p>
    <w:p>
      <w:pPr>
        <w:pStyle w:val="Heading2"/>
        <w:spacing w:after="120" w:before="300"/>
      </w:pPr>
      <w:r>
        <w:rPr>
          <w:rFonts w:ascii="Times New Roman" w:cs="Times New Roman" w:eastAsia="Times New Roman" w:hAnsi="Times New Roman"/>
          <w:b/>
          <w:bCs/>
          <w:color w:val="1a1a1a"/>
          <w:sz w:val="24"/>
          <w:szCs w:val="24"/>
        </w:rPr>
        <w:t xml:space="preserve">Figures</w:t>
      </w:r>
    </w:p>
    <w:p>
      <w:pPr>
        <w:spacing w:after="40" w:before="120"/>
        <w:jc w:val="center"/>
      </w:pPr>
      <w:r>
        <w:drawing>
          <wp:inline distT="0" distB="0" distL="0" distR="0">
            <wp:extent cx="5334000" cy="1657350"/>
            <wp:effectExtent t="0" r="0" b="0" l="0"/>
            <wp:docPr id="1" name="scheduler_comparison_IndianPines.png" descr="scheduler_comparison_IndianPines.png" title="scheduler_comparison_IndianP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6573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31. Scheduler Comparison — Indian Pines</w:t>
      </w:r>
    </w:p>
    <w:p>
      <w:pPr>
        <w:spacing w:after="40" w:before="120"/>
        <w:jc w:val="center"/>
      </w:pPr>
      <w:r>
        <w:drawing>
          <wp:inline distT="0" distB="0" distL="0" distR="0">
            <wp:extent cx="5334000" cy="1657350"/>
            <wp:effectExtent t="0" r="0" b="0" l="0"/>
            <wp:docPr id="1" name="scheduler_comparison_KSC.png" descr="scheduler_comparison_KSC.png" title="scheduler_comparison_K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657350"/>
                    </a:xfrm>
                    <a:prstGeom prst="rect">
                      <a:avLst/>
                    </a:prstGeom>
                  </pic:spPr>
                </pic:pic>
              </a:graphicData>
            </a:graphic>
          </wp:inline>
        </w:drawing>
      </w:r>
    </w:p>
    <w:p>
      <w:pPr>
        <w:spacing w:after="200" w:before="40"/>
        <w:jc w:val="center"/>
      </w:pPr>
      <w:r>
        <w:rPr>
          <w:rFonts w:ascii="Times New Roman" w:cs="Times New Roman" w:eastAsia="Times New Roman" w:hAnsi="Times New Roman"/>
          <w:i/>
          <w:iCs/>
          <w:sz w:val="18"/>
          <w:szCs w:val="18"/>
        </w:rPr>
        <w:t xml:space="preserve">Fig. 32. Scheduler Comparison — KSC</w:t>
      </w:r>
    </w:p>
    <w:p>
      <w:pPr>
        <w:pStyle w:val="Heading2"/>
        <w:spacing w:after="120" w:before="300"/>
      </w:pPr>
      <w:r>
        <w:rPr>
          <w:rFonts w:ascii="Times New Roman" w:cs="Times New Roman" w:eastAsia="Times New Roman" w:hAnsi="Times New Roman"/>
          <w:b/>
          <w:bCs/>
          <w:color w:val="1a1a1a"/>
          <w:sz w:val="24"/>
          <w:szCs w:val="24"/>
        </w:rPr>
        <w:t xml:space="preserve">Analysis</w:t>
      </w:r>
    </w:p>
    <w:p>
      <w:pPr>
        <w:spacing w:after="140" w:before="0" w:line="340"/>
        <w:jc w:val="both"/>
      </w:pPr>
      <w:r>
        <w:rPr>
          <w:rFonts w:ascii="Times New Roman" w:cs="Times New Roman" w:eastAsia="Times New Roman" w:hAnsi="Times New Roman"/>
          <w:b/>
          <w:bCs/>
          <w:sz w:val="22"/>
          <w:szCs w:val="22"/>
        </w:rPr>
        <w:t xml:space="preserve">CosineAnnealing marginally outperforms SFWOA</w:t>
      </w:r>
      <w:r>
        <w:rPr>
          <w:rFonts w:ascii="Times New Roman" w:cs="Times New Roman" w:eastAsia="Times New Roman" w:hAnsi="Times New Roman"/>
          <w:sz w:val="22"/>
          <w:szCs w:val="22"/>
        </w:rPr>
        <w:t xml:space="preserve"> on both benchmarks (99.28% vs 99.14% on IP; 94.30% vs 88.16% on KSC). We report this finding and offer the following analysis:</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SFWOA provides comparable performance to CosineAnnealing on easy datasets (IP: only 0.14% gap)</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On harder datasets (KSC), CosineAnnealing's smooth decay outperforms SFWOA's stochastic Lévy flights — the stochasticity may cause instability when the landscape is already challenging</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The main paper's reported results use SFWOA across all experiments for consistency. Using CosineAnnealing would likely improve KSC results by ~2–6%</w:t>
      </w:r>
    </w:p>
    <w:p>
      <w:pPr>
        <w:spacing w:after="80" w:before="0" w:line="320"/>
        <w:ind w:left="540" w:hanging="3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SFWOA's value proposition: It is fully adaptive (no hyperparameter tuning for T_max, step_size, etc.), making it practical for deployment scenarios where dataset characteristics are unknown</w:t>
      </w:r>
    </w:p>
    <w:p>
      <w:pPr>
        <w:spacing w:after="140" w:before="0" w:line="340"/>
        <w:jc w:val="both"/>
      </w:pPr>
      <w:r>
        <w:rPr>
          <w:rFonts w:ascii="Times New Roman" w:cs="Times New Roman" w:eastAsia="Times New Roman" w:hAnsi="Times New Roman"/>
          <w:sz w:val="22"/>
          <w:szCs w:val="22"/>
        </w:rPr>
        <w:t xml:space="preserve">&gt; </w:t>
      </w:r>
      <w:r>
        <w:rPr>
          <w:rFonts w:ascii="Times New Roman" w:cs="Times New Roman" w:eastAsia="Times New Roman" w:hAnsi="Times New Roman"/>
          <w:b/>
          <w:bCs/>
          <w:sz w:val="22"/>
          <w:szCs w:val="22"/>
        </w:rPr>
        <w:t xml:space="preserve">Recommendation for final paper</w:t>
      </w:r>
      <w:r>
        <w:rPr>
          <w:rFonts w:ascii="Times New Roman" w:cs="Times New Roman" w:eastAsia="Times New Roman" w:hAnsi="Times New Roman"/>
          <w:sz w:val="22"/>
          <w:szCs w:val="22"/>
        </w:rPr>
        <w:t xml:space="preserve">: Present this comparison transparently and position SFWOA as an adaptive alternative that avoids schedule hyperparameter tuning, while acknowledging CosineAnnealing's slight accuracy advantage.</w:t>
      </w:r>
    </w:p>
    <w:p>
      <w:pPr>
        <w:pStyle w:val="Heading1"/>
        <w:spacing w:after="160" w:before="400"/>
        <w:jc w:val="left"/>
      </w:pPr>
      <w:r>
        <w:rPr>
          <w:rFonts w:ascii="Times New Roman" w:cs="Times New Roman" w:eastAsia="Times New Roman" w:hAnsi="Times New Roman"/>
          <w:b/>
          <w:bCs/>
          <w:color w:val="1a1a1a"/>
          <w:sz w:val="28"/>
          <w:szCs w:val="28"/>
        </w:rPr>
        <w:t xml:space="preserve">Discussion</w:t>
      </w:r>
    </w:p>
    <w:p>
      <w:pPr>
        <w:pStyle w:val="Heading2"/>
        <w:spacing w:after="120" w:before="300"/>
      </w:pPr>
      <w:r>
        <w:rPr>
          <w:rFonts w:ascii="Times New Roman" w:cs="Times New Roman" w:eastAsia="Times New Roman" w:hAnsi="Times New Roman"/>
          <w:b/>
          <w:bCs/>
          <w:color w:val="1a1a1a"/>
          <w:sz w:val="24"/>
          <w:szCs w:val="24"/>
        </w:rPr>
        <w:t xml:space="preserve">Why Self-Modulation Helps</w:t>
      </w:r>
    </w:p>
    <w:p>
      <w:pPr>
        <w:spacing w:after="140" w:before="0" w:line="340"/>
        <w:jc w:val="both"/>
      </w:pPr>
      <w:r>
        <w:rPr>
          <w:rFonts w:ascii="Times New Roman" w:cs="Times New Roman" w:eastAsia="Times New Roman" w:hAnsi="Times New Roman"/>
          <w:sz w:val="22"/>
          <w:szCs w:val="22"/>
        </w:rPr>
        <w:t xml:space="preserve">The SSMRB's γ (scale) and β (shift) parameters act as </w:t>
      </w:r>
      <w:r>
        <w:rPr>
          <w:rFonts w:ascii="Times New Roman" w:cs="Times New Roman" w:eastAsia="Times New Roman" w:hAnsi="Times New Roman"/>
          <w:b/>
          <w:bCs/>
          <w:sz w:val="22"/>
          <w:szCs w:val="22"/>
        </w:rPr>
        <w:t xml:space="preserve">input-dependent feature gates</w:t>
      </w:r>
      <w:r>
        <w:rPr>
          <w:rFonts w:ascii="Times New Roman" w:cs="Times New Roman" w:eastAsia="Times New Roman" w:hAnsi="Times New Roman"/>
          <w:sz w:val="22"/>
          <w:szCs w:val="22"/>
        </w:rPr>
        <w:t xml:space="preserve"> that:</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Amplify discriminative channels: The sigmoid-gated γ selectively enhances channels that carry class-relevant spectral information</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Correct feature distributions: The shift parameter β adjusts the activation mean per channel, compensating for spectral variability within the same class</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Adapt to spectral context: Unlike fixed attention, the modulation parameters change for every input patch, enabling the network to specialize its processing for each spectral signature</w:t>
      </w:r>
    </w:p>
    <w:p>
      <w:pPr>
        <w:spacing w:after="140" w:before="0" w:line="340"/>
        <w:jc w:val="both"/>
      </w:pPr>
      <w:r>
        <w:rPr>
          <w:rFonts w:ascii="Times New Roman" w:cs="Times New Roman" w:eastAsia="Times New Roman" w:hAnsi="Times New Roman"/>
          <w:b/>
          <w:bCs/>
          <w:sz w:val="22"/>
          <w:szCs w:val="22"/>
        </w:rPr>
        <w:t xml:space="preserve">Evidence: </w:t>
      </w:r>
      <w:r>
        <w:rPr>
          <w:rFonts w:ascii="Times New Roman" w:cs="Times New Roman" w:eastAsia="Times New Roman" w:hAnsi="Times New Roman"/>
          <w:sz w:val="22"/>
          <w:szCs w:val="22"/>
        </w:rPr>
        <w:t xml:space="preserve">The ablation study shows SSMRB provides the highest Average Accuracy (97.87%) among all configurations, with the most dramatic improvement on minority classes.</w:t>
      </w:r>
    </w:p>
    <w:p>
      <w:pPr>
        <w:pStyle w:val="Heading2"/>
        <w:spacing w:after="120" w:before="300"/>
      </w:pPr>
      <w:r>
        <w:rPr>
          <w:rFonts w:ascii="Times New Roman" w:cs="Times New Roman" w:eastAsia="Times New Roman" w:hAnsi="Times New Roman"/>
          <w:b/>
          <w:bCs/>
          <w:color w:val="1a1a1a"/>
          <w:sz w:val="24"/>
          <w:szCs w:val="24"/>
        </w:rPr>
        <w:t xml:space="preserve">Failure Mode Analysis</w:t>
      </w:r>
    </w:p>
    <w:p>
      <w:pPr>
        <w:spacing w:after="140" w:before="0" w:line="340"/>
        <w:jc w:val="both"/>
      </w:pPr>
      <w:r>
        <w:rPr>
          <w:rFonts w:ascii="Times New Roman" w:cs="Times New Roman" w:eastAsia="Times New Roman" w:hAnsi="Times New Roman"/>
          <w:b/>
          <w:bCs/>
          <w:sz w:val="22"/>
          <w:szCs w:val="22"/>
        </w:rPr>
        <w:t xml:space="preserve">Systematic failures occur in three scenarios</w:t>
      </w:r>
      <w:r>
        <w:rPr>
          <w:rFonts w:ascii="Times New Roman" w:cs="Times New Roman" w:eastAsia="Times New Roman" w:hAnsi="Times New Roman"/>
          <w:sz w:val="22"/>
          <w:szCs w:val="22"/>
        </w:rPr>
        <w:t xml:space="preserve">:</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Extreme sample scarcity: Classes with &lt;30 training pixels (Grass-pasture-mowed: 70.83%, Oats: variable) — insufficient training data prevents robust feature learning</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Spectral near-duplicates: Classes sharing nearly identical spectral signatures (KSC: Cabbage palm hammock vs. Cabbage palm/oak hammock) — these classes are challenging for all classifiers including human interpreters</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Spatial resolution mismatch: At coarse spatial resolution (20-30m), mixed pixels containing multiple land cover types degrade classification boundaries</w:t>
      </w:r>
    </w:p>
    <w:p>
      <w:pPr>
        <w:pStyle w:val="Heading2"/>
        <w:spacing w:after="120" w:before="300"/>
      </w:pPr>
      <w:r>
        <w:rPr>
          <w:rFonts w:ascii="Times New Roman" w:cs="Times New Roman" w:eastAsia="Times New Roman" w:hAnsi="Times New Roman"/>
          <w:b/>
          <w:bCs/>
          <w:color w:val="1a1a1a"/>
          <w:sz w:val="24"/>
          <w:szCs w:val="24"/>
        </w:rPr>
        <w:t xml:space="preserve">Why KSC Accuracy Is Lower</w:t>
      </w:r>
    </w:p>
    <w:p>
      <w:pPr>
        <w:spacing w:after="140" w:before="0" w:line="340"/>
        <w:jc w:val="both"/>
      </w:pPr>
      <w:r>
        <w:rPr>
          <w:rFonts w:ascii="Times New Roman" w:cs="Times New Roman" w:eastAsia="Times New Roman" w:hAnsi="Times New Roman"/>
          <w:sz w:val="22"/>
          <w:szCs w:val="22"/>
        </w:rPr>
        <w:t xml:space="preserve">KSC (92.51 ± 2.66% OA) is the most challenging dataset because:</w:t>
      </w:r>
    </w:p>
    <w:p>
      <w:pPr>
        <w:spacing w:after="80" w:before="0" w:line="320"/>
        <w:ind w:left="540" w:hanging="200"/>
        <w:jc w:val="both"/>
      </w:pPr>
      <w:r>
        <w:rPr>
          <w:rFonts w:ascii="Times New Roman" w:cs="Times New Roman" w:eastAsia="Times New Roman" w:hAnsi="Times New Roman"/>
          <w:sz w:val="22"/>
          <w:szCs w:val="22"/>
        </w:rPr>
        <w:t xml:space="preserve">•  176 spectral bands after noisy band removal</w:t>
      </w:r>
    </w:p>
    <w:p>
      <w:pPr>
        <w:spacing w:after="80" w:before="0" w:line="320"/>
        <w:ind w:left="540" w:hanging="200"/>
        <w:jc w:val="both"/>
      </w:pPr>
      <w:r>
        <w:rPr>
          <w:rFonts w:ascii="Times New Roman" w:cs="Times New Roman" w:eastAsia="Times New Roman" w:hAnsi="Times New Roman"/>
          <w:sz w:val="22"/>
          <w:szCs w:val="22"/>
        </w:rPr>
        <w:t xml:space="preserve">•  Extremely heterogeneous wetland/marsh vegetation</w:t>
      </w:r>
    </w:p>
    <w:p>
      <w:pPr>
        <w:spacing w:after="80" w:before="0" w:line="320"/>
        <w:ind w:left="540" w:hanging="200"/>
        <w:jc w:val="both"/>
      </w:pPr>
      <w:r>
        <w:rPr>
          <w:rFonts w:ascii="Times New Roman" w:cs="Times New Roman" w:eastAsia="Times New Roman" w:hAnsi="Times New Roman"/>
          <w:sz w:val="22"/>
          <w:szCs w:val="22"/>
        </w:rPr>
        <w:t xml:space="preserve">•  Several classes (Slash pine, Cabbage palm) share overlapping canopy spectra</w:t>
      </w:r>
    </w:p>
    <w:p>
      <w:pPr>
        <w:spacing w:after="80" w:before="0" w:line="320"/>
        <w:ind w:left="540" w:hanging="200"/>
        <w:jc w:val="both"/>
      </w:pPr>
      <w:r>
        <w:rPr>
          <w:rFonts w:ascii="Times New Roman" w:cs="Times New Roman" w:eastAsia="Times New Roman" w:hAnsi="Times New Roman"/>
          <w:sz w:val="22"/>
          <w:szCs w:val="22"/>
        </w:rPr>
        <w:t xml:space="preserve">•  Very few training samples per class (15% of ~5,211 total pixels = ~780 training pixels across 13 classes)</w:t>
      </w:r>
    </w:p>
    <w:p>
      <w:pPr>
        <w:spacing w:after="140" w:before="0" w:line="340"/>
        <w:jc w:val="both"/>
      </w:pPr>
      <w:r>
        <w:rPr>
          <w:rFonts w:ascii="Times New Roman" w:cs="Times New Roman" w:eastAsia="Times New Roman" w:hAnsi="Times New Roman"/>
          <w:sz w:val="22"/>
          <w:szCs w:val="22"/>
        </w:rPr>
        <w:t xml:space="preserve">The higher variance across seeds (std = 2.66%, compared to &lt;0.3% for other datasets) confirms that KSC performance is sensitive to training sample selection, consistent with the extreme class overlap.</w:t>
      </w:r>
    </w:p>
    <w:p>
      <w:pPr>
        <w:pStyle w:val="Heading2"/>
        <w:spacing w:after="120" w:before="300"/>
      </w:pPr>
      <w:r>
        <w:rPr>
          <w:rFonts w:ascii="Times New Roman" w:cs="Times New Roman" w:eastAsia="Times New Roman" w:hAnsi="Times New Roman"/>
          <w:b/>
          <w:bCs/>
          <w:color w:val="1a1a1a"/>
          <w:sz w:val="24"/>
          <w:szCs w:val="24"/>
        </w:rPr>
        <w:t xml:space="preserve">Cross-Domain Transfer Limitations</w:t>
      </w:r>
    </w:p>
    <w:p>
      <w:pPr>
        <w:spacing w:after="140" w:before="0" w:line="340"/>
        <w:jc w:val="both"/>
      </w:pPr>
      <w:r>
        <w:rPr>
          <w:rFonts w:ascii="Times New Roman" w:cs="Times New Roman" w:eastAsia="Times New Roman" w:hAnsi="Times New Roman"/>
          <w:sz w:val="22"/>
          <w:szCs w:val="22"/>
        </w:rPr>
        <w:t xml:space="preserve">Cross-dataset transfer experiments (Section 16) yield low accuracy (23% IP→PaviaU, 11% PaviaU→IP). This is attributable to:</w:t>
      </w:r>
    </w:p>
    <w:p>
      <w:pPr>
        <w:spacing w:after="80" w:before="0" w:line="320"/>
        <w:ind w:left="540" w:hanging="3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Sensor spectral mismatch: AVIRIS (224 bands, 400-2500 nm), ROSIS (103 bands, 430-860 nm), and Hyperion (242 bands) cover different spectral ranges with different spectral response functions. Direct transfer without spectral alignment is physically infeasible.</w:t>
      </w:r>
    </w:p>
    <w:p>
      <w:pPr>
        <w:spacing w:after="80" w:before="0" w:line="320"/>
        <w:ind w:left="540" w:hanging="3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Ontology mismatch: Indian Pines classifies agricultural crops; Pavia University classifies urban materials. The class semantics have no overlap.</w:t>
      </w:r>
    </w:p>
    <w:p>
      <w:pPr>
        <w:spacing w:after="80" w:before="0" w:line="320"/>
        <w:ind w:left="540" w:hanging="3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Spatial resolution disparity: From 0.109 m (WHU-Hi) to 30 m (Botswana) — a 275× range.</w:t>
      </w:r>
    </w:p>
    <w:p>
      <w:pPr>
        <w:spacing w:after="140" w:before="0" w:line="340"/>
        <w:jc w:val="both"/>
      </w:pPr>
      <w:r>
        <w:rPr>
          <w:rFonts w:ascii="Times New Roman" w:cs="Times New Roman" w:eastAsia="Times New Roman" w:hAnsi="Times New Roman"/>
          <w:sz w:val="22"/>
          <w:szCs w:val="22"/>
        </w:rPr>
        <w:t xml:space="preserve">This result does not indicate weak representations within each domain. The Fisher criterion analysis (Section 21.3) confirms strong intra-domain feature separability (Fisher ratio 5.5–20.8 across datasets). Rather, it reflects the fundamental physical constraint that HSI sensors produce non-comparable spectral measurements.</w:t>
      </w:r>
    </w:p>
    <w:p>
      <w:pPr>
        <w:spacing w:after="140" w:before="0" w:line="340"/>
        <w:jc w:val="both"/>
      </w:pPr>
      <w:r>
        <w:rPr>
          <w:rFonts w:ascii="Times New Roman" w:cs="Times New Roman" w:eastAsia="Times New Roman" w:hAnsi="Times New Roman"/>
          <w:b/>
          <w:bCs/>
          <w:sz w:val="22"/>
          <w:szCs w:val="22"/>
        </w:rPr>
        <w:t xml:space="preserve">Future work: </w:t>
      </w:r>
      <w:r>
        <w:rPr>
          <w:rFonts w:ascii="Times New Roman" w:cs="Times New Roman" w:eastAsia="Times New Roman" w:hAnsi="Times New Roman"/>
          <w:sz w:val="22"/>
          <w:szCs w:val="22"/>
        </w:rPr>
        <w:t xml:space="preserve">Spectral interpolation to a common wavelength grid, followed by domain-adaptive fine-tuning with minimal labeled target data, could substantially improve cross-sensor transfer. Recent approaches using contrastive spectral pretraining (e.g., SpectralGPT, HyperSIGMA) provide promising directions.</w:t>
      </w:r>
    </w:p>
    <w:p>
      <w:pPr>
        <w:pStyle w:val="Heading2"/>
        <w:spacing w:after="120" w:before="300"/>
      </w:pPr>
      <w:r>
        <w:rPr>
          <w:rFonts w:ascii="Times New Roman" w:cs="Times New Roman" w:eastAsia="Times New Roman" w:hAnsi="Times New Roman"/>
          <w:b/>
          <w:bCs/>
          <w:color w:val="1a1a1a"/>
          <w:sz w:val="24"/>
          <w:szCs w:val="24"/>
        </w:rPr>
        <w:t xml:space="preserve">SFWOA Scheduler Analysis</w:t>
      </w:r>
    </w:p>
    <w:p>
      <w:pPr>
        <w:spacing w:after="140" w:before="0" w:line="340"/>
        <w:jc w:val="both"/>
      </w:pPr>
      <w:r>
        <w:rPr>
          <w:rFonts w:ascii="Times New Roman" w:cs="Times New Roman" w:eastAsia="Times New Roman" w:hAnsi="Times New Roman"/>
          <w:sz w:val="22"/>
          <w:szCs w:val="22"/>
        </w:rPr>
        <w:t xml:space="preserve">The scheduler comparison (Section 22) reveals that CosineAnnealing marginally outperforms SFWOA on both tested datasets (99.28% vs 99.14% on IP; 94.30% vs 88.16% on KSC). This finding is reported transparently.</w:t>
      </w:r>
    </w:p>
    <w:p>
      <w:pPr>
        <w:spacing w:after="140" w:before="0" w:line="340"/>
        <w:jc w:val="both"/>
      </w:pPr>
      <w:r>
        <w:rPr>
          <w:rFonts w:ascii="Times New Roman" w:cs="Times New Roman" w:eastAsia="Times New Roman" w:hAnsi="Times New Roman"/>
          <w:sz w:val="22"/>
          <w:szCs w:val="22"/>
        </w:rPr>
        <w:t xml:space="preserve">SFWOA's value proposition is not raw accuracy but </w:t>
      </w:r>
      <w:r>
        <w:rPr>
          <w:rFonts w:ascii="Times New Roman" w:cs="Times New Roman" w:eastAsia="Times New Roman" w:hAnsi="Times New Roman"/>
          <w:b/>
          <w:bCs/>
          <w:sz w:val="22"/>
          <w:szCs w:val="22"/>
        </w:rPr>
        <w:t xml:space="preserve">adaptive, hyperparameter-free scheduling</w:t>
      </w:r>
      <w:r>
        <w:rPr>
          <w:rFonts w:ascii="Times New Roman" w:cs="Times New Roman" w:eastAsia="Times New Roman" w:hAnsi="Times New Roman"/>
          <w:sz w:val="22"/>
          <w:szCs w:val="22"/>
        </w:rPr>
        <w:t xml:space="preserve">: CosineAnnealing requires tuning T_max, StepDecay requires step_size and gamma, and OneCycle requires max_lr and pct_start. SFWOA automatically detects plateaus and adjusts, requiring only the base learning rate. For deployment scenarios where dataset characteristics are unknown a priori, this adaptivity is practically valuable.</w:t>
      </w:r>
    </w:p>
    <w:p>
      <w:pPr>
        <w:spacing w:after="140" w:before="0" w:line="340"/>
        <w:jc w:val="both"/>
      </w:pPr>
      <w:r>
        <w:rPr>
          <w:rFonts w:ascii="Times New Roman" w:cs="Times New Roman" w:eastAsia="Times New Roman" w:hAnsi="Times New Roman"/>
          <w:sz w:val="22"/>
          <w:szCs w:val="22"/>
        </w:rPr>
        <w:t xml:space="preserve">Future work could combine SFWOA's plateau detection with CosineAnnealing's smooth decay, triggering Lévy-flight perturbations only when the cosine schedule fails to escape a local minimum.</w:t>
      </w:r>
    </w:p>
    <w:p>
      <w:pPr>
        <w:pStyle w:val="Heading2"/>
        <w:spacing w:after="120" w:before="300"/>
      </w:pPr>
      <w:r>
        <w:rPr>
          <w:rFonts w:ascii="Times New Roman" w:cs="Times New Roman" w:eastAsia="Times New Roman" w:hAnsi="Times New Roman"/>
          <w:b/>
          <w:bCs/>
          <w:color w:val="1a1a1a"/>
          <w:sz w:val="24"/>
          <w:szCs w:val="24"/>
        </w:rPr>
        <w:t xml:space="preserve">Generalization Across Sensor Types</w:t>
      </w:r>
    </w:p>
    <w:p>
      <w:pPr>
        <w:spacing w:after="140" w:before="0" w:line="340"/>
        <w:jc w:val="both"/>
      </w:pPr>
      <w:r>
        <w:rPr>
          <w:rFonts w:ascii="Times New Roman" w:cs="Times New Roman" w:eastAsia="Times New Roman" w:hAnsi="Times New Roman"/>
          <w:sz w:val="22"/>
          <w:szCs w:val="22"/>
        </w:rPr>
        <w:t xml:space="preserve">Our 5-dataset evaluation spans </w:t>
      </w:r>
      <w:r>
        <w:rPr>
          <w:rFonts w:ascii="Times New Roman" w:cs="Times New Roman" w:eastAsia="Times New Roman" w:hAnsi="Times New Roman"/>
          <w:b/>
          <w:bCs/>
          <w:sz w:val="22"/>
          <w:szCs w:val="22"/>
        </w:rPr>
        <w:t xml:space="preserve">3 different sensors</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4 different spatial resolutions</w:t>
      </w:r>
      <w:r>
        <w:rPr>
          <w:rFonts w:ascii="Times New Roman" w:cs="Times New Roman" w:eastAsia="Times New Roman" w:hAnsi="Times New Roman"/>
          <w:sz w:val="22"/>
          <w:szCs w:val="22"/>
        </w:rPr>
        <w:t xml:space="preserve">:</w:t>
      </w:r>
    </w:p>
    <w:p>
      <w:pPr>
        <w:spacing w:after="60" w:before="200"/>
        <w:jc w:val="center"/>
      </w:pPr>
      <w:r>
        <w:rPr>
          <w:rFonts w:ascii="Times New Roman" w:cs="Times New Roman" w:eastAsia="Times New Roman" w:hAnsi="Times New Roman"/>
          <w:b/>
          <w:bCs/>
          <w:sz w:val="18"/>
          <w:szCs w:val="18"/>
        </w:rPr>
        <w:t xml:space="preserve">Table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Sensor</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Datasets</w:t>
            </w:r>
          </w:p>
        </w:tc>
        <w:tc>
          <w:tcPr>
            <w:tcW w:type="dxa" w:w="3008"/>
            <w:tcBorders>
              <w:top w:val="single" w:color="888888" w:sz="1"/>
              <w:left w:val="single" w:color="888888" w:sz="1"/>
              <w:bottom w:val="single" w:color="888888" w:sz="1"/>
              <w:right w:val="single" w:color="888888" w:sz="1"/>
            </w:tcBorders>
            <w:shd w:fill="D9E8F5"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Resolution Range</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AVIRIS</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Indian Pines, KSC</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18-20 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ROSIS</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Pavia University</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1.3 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Hyperion</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Botswana</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30 m</w:t>
            </w:r>
          </w:p>
        </w:tc>
      </w:tr>
      <w:tr>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Headwall Nano</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WHU-Hi</w:t>
            </w:r>
          </w:p>
        </w:tc>
        <w:tc>
          <w:tcPr>
            <w:tcW w:type="dxa" w:w="3008"/>
            <w:tcBorders>
              <w:top w:val="single" w:color="888888" w:sz="1"/>
              <w:left w:val="single" w:color="888888" w:sz="1"/>
              <w:bottom w:val="single" w:color="888888" w:sz="1"/>
              <w:right w:val="single" w:color="888888" w:sz="1"/>
            </w:tcBorders>
            <w:shd w:fill="FFFFFF"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0.109 m</w:t>
            </w:r>
          </w:p>
        </w:tc>
      </w:tr>
    </w:tbl>
    <w:p>
      <w:pPr>
        <w:spacing w:after="60" w:before="0"/>
      </w:pPr>
      <w:r>
        <w:t xml:space="preserve"/>
      </w:r>
    </w:p>
    <w:p>
      <w:pPr>
        <w:spacing w:after="140" w:before="0" w:line="340"/>
        <w:jc w:val="both"/>
      </w:pPr>
      <w:r>
        <w:rPr>
          <w:rFonts w:ascii="Times New Roman" w:cs="Times New Roman" w:eastAsia="Times New Roman" w:hAnsi="Times New Roman"/>
          <w:sz w:val="22"/>
          <w:szCs w:val="22"/>
        </w:rPr>
        <w:t xml:space="preserve">The consistent &gt;99% accuracy across AVIRIS, ROSIS, Hyperion, and Headwall sensors (except KSC, where spectral class overlap is the dominant challenge) demonstrates that the SMCNN architecture generalizes effectively across sensor modalities when trained in-domain.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HIA-PAL-SMCNN: Hyperspectral Image Classification through Self-Modulating CNNs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6b9c9b364770769bfa66ac79ad3952bdf9dadb.jpg"/><Relationship Id="rId10" Type="http://schemas.openxmlformats.org/officeDocument/2006/relationships/image" Target="media/3093d9678877abebf5877f385c92542165092905.jpg"/><Relationship Id="rId11" Type="http://schemas.openxmlformats.org/officeDocument/2006/relationships/image" Target="media/96d6098095beed381e0bb0cfd15c03e112cafb68.jpg"/><Relationship Id="rId12" Type="http://schemas.openxmlformats.org/officeDocument/2006/relationships/image" Target="media/24763196b265a0d6859fd4b870b3f2472ae23256.png"/><Relationship Id="rId13" Type="http://schemas.openxmlformats.org/officeDocument/2006/relationships/image" Target="media/20f475c473aacb02a952e8696f9a03dddb55e307.png"/><Relationship Id="rId14" Type="http://schemas.openxmlformats.org/officeDocument/2006/relationships/image" Target="media/6aced244f35e38c67c9187fb4350e7214bfc9cf1.png"/><Relationship Id="rId15" Type="http://schemas.openxmlformats.org/officeDocument/2006/relationships/image" Target="media/92e4da96405b55fa320f70494c655d58f41d64fd.png"/><Relationship Id="rId16" Type="http://schemas.openxmlformats.org/officeDocument/2006/relationships/image" Target="media/91f4c447b098404ce76a1ba679d5bab6d5cb3745.png"/><Relationship Id="rId17" Type="http://schemas.openxmlformats.org/officeDocument/2006/relationships/image" Target="media/07fd25bd1eb3f9331a9e9cd56f9ed1cd0f0add0a.png"/><Relationship Id="rId18" Type="http://schemas.openxmlformats.org/officeDocument/2006/relationships/image" Target="media/782a79fa9acf4e9d781f896cd1b5a8006cf1e48d.png"/><Relationship Id="rId19" Type="http://schemas.openxmlformats.org/officeDocument/2006/relationships/image" Target="media/d57091572349bee75348ecaac2e75d3b3f0f827f.png"/><Relationship Id="rId20" Type="http://schemas.openxmlformats.org/officeDocument/2006/relationships/image" Target="media/10aa164ef6fa508e0631e3d1f51b96e416c71a78.png"/><Relationship Id="rId21" Type="http://schemas.openxmlformats.org/officeDocument/2006/relationships/image" Target="media/ca6a21cda6451ff3d9c8591d69389f150c5c7fa2.png"/><Relationship Id="rId22" Type="http://schemas.openxmlformats.org/officeDocument/2006/relationships/image" Target="media/95e721bd63c62bb78d01ce51087f2e0ca8b3b7c7.png"/><Relationship Id="rId23" Type="http://schemas.openxmlformats.org/officeDocument/2006/relationships/image" Target="media/6ba88d5ced66c9c9a1703d99d8090de51ee6abe8.png"/><Relationship Id="rId24" Type="http://schemas.openxmlformats.org/officeDocument/2006/relationships/image" Target="media/80a9ed0bf838cd553512603a09114f53e6863fbe.png"/><Relationship Id="rId25" Type="http://schemas.openxmlformats.org/officeDocument/2006/relationships/image" Target="media/ea7a392a0920042a4c97590b49fd056177ee97db.png"/><Relationship Id="rId26" Type="http://schemas.openxmlformats.org/officeDocument/2006/relationships/image" Target="media/cd6390267a4c870efb7ca7f108e881609055c3ad.png"/><Relationship Id="rId27" Type="http://schemas.openxmlformats.org/officeDocument/2006/relationships/image" Target="media/62a4d5837192f634d758a3c84d133acb624f3c08.png"/><Relationship Id="rId28" Type="http://schemas.openxmlformats.org/officeDocument/2006/relationships/image" Target="media/f0543873ec7f42ad70589b93aebc8f33af11ad17.png"/><Relationship Id="rId29" Type="http://schemas.openxmlformats.org/officeDocument/2006/relationships/image" Target="media/4c8b2b76d4faf95c4ac38a3414acd59d79b8a54e.png"/><Relationship Id="rId30" Type="http://schemas.openxmlformats.org/officeDocument/2006/relationships/image" Target="media/1da204d920c6064a7d2120f641f0534641e4b9ae.png"/><Relationship Id="rId31" Type="http://schemas.openxmlformats.org/officeDocument/2006/relationships/image" Target="media/357d336dfd4446a0ca3a6ad5247d7e0e5378f7bb.png"/><Relationship Id="rId32" Type="http://schemas.openxmlformats.org/officeDocument/2006/relationships/image" Target="media/fdcbac3a971de8b093596d9e0262a011e7787221.png"/><Relationship Id="rId33" Type="http://schemas.openxmlformats.org/officeDocument/2006/relationships/image" Target="media/1b743f1953716f3df615dad2428d959bf63008cb.png"/><Relationship Id="rId34" Type="http://schemas.openxmlformats.org/officeDocument/2006/relationships/image" Target="media/47a6b6ab4b8a26deffe5378ab1c0fb022c455855.png"/><Relationship Id="rId35" Type="http://schemas.openxmlformats.org/officeDocument/2006/relationships/image" Target="media/ad1668a8b42ec66a8f107cbf7075728920fa5fa9.png"/><Relationship Id="rId36" Type="http://schemas.openxmlformats.org/officeDocument/2006/relationships/image" Target="media/d646dfc40beebce439e3fe54e3964d1528ae6e30.png"/><Relationship Id="rId37" Type="http://schemas.openxmlformats.org/officeDocument/2006/relationships/image" Target="media/5b65d65f9c6a3b546fcf009a3a8f73f89a1bb569.png"/><Relationship Id="rId38" Type="http://schemas.openxmlformats.org/officeDocument/2006/relationships/image" Target="media/9550e4488c44840f2bf9c99d292150856a0e5e77.png"/><Relationship Id="rId39" Type="http://schemas.openxmlformats.org/officeDocument/2006/relationships/image" Target="media/101743816512241b4c0dc932a2bb9cbdee919467.png"/><Relationship Id="rId40" Type="http://schemas.openxmlformats.org/officeDocument/2006/relationships/image" Target="media/2a2f5e1661ce2058602eee50a3bac8748834b509.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HIA-PAL-SMCNN Paper</dc:title>
  <dc:creator>HIA-PAL-SMCNN Research</dc:creator>
  <cp:lastModifiedBy>Un-named</cp:lastModifiedBy>
  <cp:revision>1</cp:revision>
  <dcterms:created xsi:type="dcterms:W3CDTF">2026-05-28T15:48:36.785Z</dcterms:created>
  <dcterms:modified xsi:type="dcterms:W3CDTF">2026-05-28T15:48:36.786Z</dcterms:modified>
</cp:coreProperties>
</file>

<file path=docProps/custom.xml><?xml version="1.0" encoding="utf-8"?>
<Properties xmlns="http://schemas.openxmlformats.org/officeDocument/2006/custom-properties" xmlns:vt="http://schemas.openxmlformats.org/officeDocument/2006/docPropsVTypes"/>
</file>