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28"/>
        </w:rPr>
        <w:t>WEEK 5 – DATA STRATEGY REPORT</w:t>
      </w:r>
    </w:p>
    <w:p>
      <w:pPr>
        <w:spacing w:after="100"/>
        <w:jc w:val="center"/>
      </w:pPr>
      <w:r>
        <w:rPr>
          <w:rFonts w:ascii="Times New Roman" w:hAnsi="Times New Roman"/>
          <w:b/>
          <w:sz w:val="24"/>
        </w:rPr>
        <w:t>Student Performance Data Analysis</w:t>
      </w:r>
    </w:p>
    <w:p>
      <w:pPr>
        <w:spacing w:after="100"/>
        <w:jc w:val="left"/>
      </w:pPr>
      <w:r>
        <w:rPr>
          <w:rFonts w:ascii="Times New Roman" w:hAnsi="Times New Roman"/>
          <w:b w:val="0"/>
          <w:sz w:val="24"/>
        </w:rPr>
        <w:t>Student Name: DEVI M</w:t>
      </w:r>
    </w:p>
    <w:p>
      <w:pPr>
        <w:spacing w:after="100"/>
        <w:jc w:val="left"/>
      </w:pPr>
      <w:r>
        <w:rPr>
          <w:rFonts w:ascii="Times New Roman" w:hAnsi="Times New Roman"/>
          <w:b w:val="0"/>
          <w:sz w:val="24"/>
        </w:rPr>
        <w:t>College: Sir Isaac Newton College of Engineering and Technology</w:t>
      </w:r>
    </w:p>
    <w:p>
      <w:pPr>
        <w:spacing w:after="100"/>
        <w:jc w:val="left"/>
      </w:pPr>
      <w:r>
        <w:rPr>
          <w:rFonts w:ascii="Times New Roman" w:hAnsi="Times New Roman"/>
          <w:b w:val="0"/>
          <w:sz w:val="24"/>
        </w:rPr>
        <w:t>Internship Role: Senior Data Analytics Engineer</w:t>
      </w:r>
    </w:p>
    <w:p>
      <w:pPr>
        <w:spacing w:after="100"/>
        <w:jc w:val="left"/>
      </w:pPr>
      <w:r>
        <w:rPr>
          <w:rFonts w:ascii="Times New Roman" w:hAnsi="Times New Roman"/>
          <w:b w:val="0"/>
          <w:sz w:val="24"/>
        </w:rPr>
        <w:t>Dataset: UCI Student Performance – Mathematics (student-mat.csv)</w:t>
      </w:r>
    </w:p>
    <w:p>
      <w:pPr>
        <w:spacing w:after="100"/>
        <w:jc w:val="left"/>
      </w:pPr>
      <w:r>
        <w:rPr>
          <w:rFonts w:ascii="Times New Roman" w:hAnsi="Times New Roman"/>
          <w:b/>
          <w:sz w:val="24"/>
        </w:rPr>
        <w:t>1. Introduction</w:t>
      </w:r>
    </w:p>
    <w:p>
      <w:pPr>
        <w:spacing w:after="100"/>
        <w:jc w:val="left"/>
      </w:pPr>
      <w:r>
        <w:rPr>
          <w:rFonts w:ascii="Times New Roman" w:hAnsi="Times New Roman"/>
          <w:b w:val="0"/>
          <w:sz w:val="24"/>
        </w:rPr>
        <w:t>Data strategy is a structured approach for collecting, managing, cleaning, analyzing, visualizing, and using data to support better organizational decisions. For this final-week task, a hypothetical educational organization named Student Success Analytics Organization (SSAO) is considered. The organization can use the Student Performance dataset and a similar data collection process to understand student performance, identify academic risks, and improve student support.</w:t>
      </w:r>
    </w:p>
    <w:p>
      <w:pPr>
        <w:spacing w:after="100"/>
        <w:jc w:val="left"/>
      </w:pPr>
      <w:r>
        <w:rPr>
          <w:rFonts w:ascii="Times New Roman" w:hAnsi="Times New Roman"/>
          <w:b/>
          <w:sz w:val="24"/>
        </w:rPr>
        <w:t>2. Objective</w:t>
      </w:r>
    </w:p>
    <w:p>
      <w:pPr>
        <w:spacing w:after="100"/>
        <w:jc w:val="left"/>
      </w:pPr>
      <w:r>
        <w:rPr>
          <w:rFonts w:ascii="Times New Roman" w:hAnsi="Times New Roman"/>
          <w:b w:val="0"/>
          <w:sz w:val="24"/>
        </w:rPr>
        <w:t>• Develop a practical data strategy for a hypothetical educational organization.</w:t>
      </w:r>
    </w:p>
    <w:p>
      <w:pPr>
        <w:spacing w:after="100"/>
        <w:jc w:val="left"/>
      </w:pPr>
      <w:r>
        <w:rPr>
          <w:rFonts w:ascii="Times New Roman" w:hAnsi="Times New Roman"/>
          <w:b w:val="0"/>
          <w:sz w:val="24"/>
        </w:rPr>
        <w:t>• Define how student data can be collected, stored, cleaned, analyzed, and visualized.</w:t>
      </w:r>
    </w:p>
    <w:p>
      <w:pPr>
        <w:spacing w:after="100"/>
        <w:jc w:val="left"/>
      </w:pPr>
      <w:r>
        <w:rPr>
          <w:rFonts w:ascii="Times New Roman" w:hAnsi="Times New Roman"/>
          <w:b w:val="0"/>
          <w:sz w:val="24"/>
        </w:rPr>
        <w:t>• Use data-driven methods to identify students who may need academic support.</w:t>
      </w:r>
    </w:p>
    <w:p>
      <w:pPr>
        <w:spacing w:after="100"/>
        <w:jc w:val="left"/>
      </w:pPr>
      <w:r>
        <w:rPr>
          <w:rFonts w:ascii="Times New Roman" w:hAnsi="Times New Roman"/>
          <w:b w:val="0"/>
          <w:sz w:val="24"/>
        </w:rPr>
        <w:t>• Recommend suitable analytical and visualization techniques for decision-making.</w:t>
      </w:r>
    </w:p>
    <w:p>
      <w:pPr>
        <w:spacing w:after="100"/>
        <w:jc w:val="left"/>
      </w:pPr>
      <w:r>
        <w:rPr>
          <w:rFonts w:ascii="Times New Roman" w:hAnsi="Times New Roman"/>
          <w:b w:val="0"/>
          <w:sz w:val="24"/>
        </w:rPr>
        <w:t>• Identify potential impacts, risks, and limitations of the proposed strategy.</w:t>
      </w:r>
    </w:p>
    <w:p>
      <w:pPr>
        <w:spacing w:after="100"/>
        <w:jc w:val="left"/>
      </w:pPr>
      <w:r>
        <w:rPr>
          <w:rFonts w:ascii="Times New Roman" w:hAnsi="Times New Roman"/>
          <w:b/>
          <w:sz w:val="24"/>
        </w:rPr>
        <w:t>3. Organization Background</w:t>
      </w:r>
    </w:p>
    <w:p>
      <w:pPr>
        <w:spacing w:after="100"/>
        <w:jc w:val="left"/>
      </w:pPr>
      <w:r>
        <w:rPr>
          <w:rFonts w:ascii="Times New Roman" w:hAnsi="Times New Roman"/>
          <w:b w:val="0"/>
          <w:sz w:val="24"/>
        </w:rPr>
        <w:t>The hypothetical Student Success Analytics Organization (SSAO) supports schools and colleges in improving student academic outcomes. It collects academic, attendance, study-related, demographic, and engagement information. The organization needs a structured data strategy so that administrators, teachers, and academic counsellors can use reliable information when planning interventions.</w:t>
      </w:r>
    </w:p>
    <w:p>
      <w:pPr>
        <w:spacing w:after="100"/>
        <w:jc w:val="left"/>
      </w:pPr>
      <w:r>
        <w:rPr>
          <w:rFonts w:ascii="Times New Roman" w:hAnsi="Times New Roman"/>
          <w:b/>
          <w:sz w:val="24"/>
        </w:rPr>
        <w:t>4. Dataset Overview</w:t>
      </w:r>
    </w:p>
    <w:p>
      <w:pPr>
        <w:spacing w:after="100"/>
        <w:jc w:val="left"/>
      </w:pPr>
      <w:r>
        <w:rPr>
          <w:rFonts w:ascii="Times New Roman" w:hAnsi="Times New Roman"/>
          <w:b w:val="0"/>
          <w:sz w:val="24"/>
        </w:rPr>
        <w:t>The UCI Student Performance – Mathematics dataset contains 395 student records and 33 attributes. It includes information related to school, gender, age, study time, previous failures, internet access, and academic grades. G1 and G2 represent earlier grades, while G3 represents the final grade and can be used as an important academic performance indicator.</w:t>
      </w:r>
    </w:p>
    <w:p>
      <w:pPr>
        <w:spacing w:after="100"/>
        <w:jc w:val="left"/>
      </w:pPr>
      <w:r>
        <w:rPr>
          <w:rFonts w:ascii="Times New Roman" w:hAnsi="Times New Roman"/>
          <w:b/>
          <w:sz w:val="24"/>
        </w:rPr>
        <w:t>5. Proposed Data Strategy</w:t>
      </w:r>
    </w:p>
    <w:p>
      <w:pPr>
        <w:spacing w:after="100"/>
        <w:jc w:val="left"/>
      </w:pPr>
      <w:r>
        <w:rPr>
          <w:rFonts w:ascii="Times New Roman" w:hAnsi="Times New Roman"/>
          <w:b w:val="0"/>
          <w:sz w:val="24"/>
        </w:rPr>
        <w:t>The proposed strategy follows a continuous data lifecycle: Data Collection → Data Storage → Data Cleaning → Data Integration → Data Analysis → Data Visualization → Decision Making → Monitoring and Improvement.</w:t>
      </w:r>
    </w:p>
    <w:p>
      <w:pPr>
        <w:spacing w:after="100"/>
        <w:jc w:val="left"/>
      </w:pPr>
      <w:r>
        <w:rPr>
          <w:rFonts w:ascii="Times New Roman" w:hAnsi="Times New Roman"/>
          <w:b/>
          <w:sz w:val="24"/>
        </w:rPr>
        <w:t>6. Data Collection Strategy</w:t>
      </w:r>
    </w:p>
    <w:p>
      <w:pPr>
        <w:spacing w:after="100"/>
        <w:jc w:val="left"/>
      </w:pPr>
      <w:r>
        <w:rPr>
          <w:rFonts w:ascii="Times New Roman" w:hAnsi="Times New Roman"/>
          <w:b w:val="0"/>
          <w:sz w:val="24"/>
        </w:rPr>
        <w:t>The organization should collect data from reliable and clearly defined sources.</w:t>
      </w:r>
    </w:p>
    <w:p>
      <w:pPr>
        <w:spacing w:after="100"/>
        <w:jc w:val="left"/>
      </w:pPr>
      <w:r>
        <w:rPr>
          <w:rFonts w:ascii="Times New Roman" w:hAnsi="Times New Roman"/>
          <w:b w:val="0"/>
          <w:sz w:val="24"/>
        </w:rPr>
        <w:t>• Student information systems for basic student and enrollment information.</w:t>
      </w:r>
    </w:p>
    <w:p>
      <w:pPr>
        <w:spacing w:after="100"/>
        <w:jc w:val="left"/>
      </w:pPr>
      <w:r>
        <w:rPr>
          <w:rFonts w:ascii="Times New Roman" w:hAnsi="Times New Roman"/>
          <w:b w:val="0"/>
          <w:sz w:val="24"/>
        </w:rPr>
        <w:t>• Academic management systems for examination and assessment scores.</w:t>
      </w:r>
    </w:p>
    <w:p>
      <w:pPr>
        <w:spacing w:after="100"/>
        <w:jc w:val="left"/>
      </w:pPr>
      <w:r>
        <w:rPr>
          <w:rFonts w:ascii="Times New Roman" w:hAnsi="Times New Roman"/>
          <w:b w:val="0"/>
          <w:sz w:val="24"/>
        </w:rPr>
        <w:t>• Attendance systems for attendance and punctuality records.</w:t>
      </w:r>
    </w:p>
    <w:p>
      <w:pPr>
        <w:spacing w:after="100"/>
        <w:jc w:val="left"/>
      </w:pPr>
      <w:r>
        <w:rPr>
          <w:rFonts w:ascii="Times New Roman" w:hAnsi="Times New Roman"/>
          <w:b w:val="0"/>
          <w:sz w:val="24"/>
        </w:rPr>
        <w:t>• Student surveys for study habits, learning environment, and support requirements.</w:t>
      </w:r>
    </w:p>
    <w:p>
      <w:pPr>
        <w:spacing w:after="100"/>
        <w:jc w:val="left"/>
      </w:pPr>
      <w:r>
        <w:rPr>
          <w:rFonts w:ascii="Times New Roman" w:hAnsi="Times New Roman"/>
          <w:b w:val="0"/>
          <w:sz w:val="24"/>
        </w:rPr>
        <w:t>• Learning management systems for online learning activity and engagement.</w:t>
      </w:r>
    </w:p>
    <w:p>
      <w:pPr>
        <w:spacing w:after="100"/>
        <w:jc w:val="left"/>
      </w:pPr>
      <w:r>
        <w:rPr>
          <w:rFonts w:ascii="Times New Roman" w:hAnsi="Times New Roman"/>
          <w:b w:val="0"/>
          <w:sz w:val="24"/>
        </w:rPr>
        <w:t>• Periodic feedback from teachers and academic counsellors.</w:t>
      </w:r>
    </w:p>
    <w:p>
      <w:pPr>
        <w:spacing w:after="100"/>
        <w:jc w:val="left"/>
      </w:pPr>
      <w:r>
        <w:rPr>
          <w:rFonts w:ascii="Times New Roman" w:hAnsi="Times New Roman"/>
          <w:b/>
          <w:sz w:val="24"/>
        </w:rPr>
        <w:t>7. Data Storage and Management</w:t>
      </w:r>
    </w:p>
    <w:p>
      <w:pPr>
        <w:spacing w:after="100"/>
        <w:jc w:val="left"/>
      </w:pPr>
      <w:r>
        <w:rPr>
          <w:rFonts w:ascii="Times New Roman" w:hAnsi="Times New Roman"/>
          <w:b w:val="0"/>
          <w:sz w:val="24"/>
        </w:rPr>
        <w:t>• Store structured student data in a centralized relational database or secure data warehouse.</w:t>
      </w:r>
    </w:p>
    <w:p>
      <w:pPr>
        <w:spacing w:after="100"/>
        <w:jc w:val="left"/>
      </w:pPr>
      <w:r>
        <w:rPr>
          <w:rFonts w:ascii="Times New Roman" w:hAnsi="Times New Roman"/>
          <w:b w:val="0"/>
          <w:sz w:val="24"/>
        </w:rPr>
        <w:t>• Use unique student identifiers instead of unnecessary personal information.</w:t>
      </w:r>
    </w:p>
    <w:p>
      <w:pPr>
        <w:spacing w:after="100"/>
        <w:jc w:val="left"/>
      </w:pPr>
      <w:r>
        <w:rPr>
          <w:rFonts w:ascii="Times New Roman" w:hAnsi="Times New Roman"/>
          <w:b w:val="0"/>
          <w:sz w:val="24"/>
        </w:rPr>
        <w:t>• Maintain regular backups and recovery procedures.</w:t>
      </w:r>
    </w:p>
    <w:p>
      <w:pPr>
        <w:spacing w:after="100"/>
        <w:jc w:val="left"/>
      </w:pPr>
      <w:r>
        <w:rPr>
          <w:rFonts w:ascii="Times New Roman" w:hAnsi="Times New Roman"/>
          <w:b w:val="0"/>
          <w:sz w:val="24"/>
        </w:rPr>
        <w:t>• Apply role-based access so users only access the information required for their work.</w:t>
      </w:r>
    </w:p>
    <w:p>
      <w:pPr>
        <w:spacing w:after="100"/>
        <w:jc w:val="left"/>
      </w:pPr>
      <w:r>
        <w:rPr>
          <w:rFonts w:ascii="Times New Roman" w:hAnsi="Times New Roman"/>
          <w:b w:val="0"/>
          <w:sz w:val="24"/>
        </w:rPr>
        <w:t>• Maintain data dictionaries describing variables, formats, and meanings.</w:t>
      </w:r>
    </w:p>
    <w:p>
      <w:pPr>
        <w:spacing w:after="100"/>
        <w:jc w:val="left"/>
      </w:pPr>
      <w:r>
        <w:rPr>
          <w:rFonts w:ascii="Times New Roman" w:hAnsi="Times New Roman"/>
          <w:b w:val="0"/>
          <w:sz w:val="24"/>
        </w:rPr>
        <w:t>• Keep historical records so performance trends can be studied over time.</w:t>
      </w:r>
    </w:p>
    <w:p>
      <w:pPr>
        <w:spacing w:after="100"/>
        <w:jc w:val="left"/>
      </w:pPr>
      <w:r>
        <w:rPr>
          <w:rFonts w:ascii="Times New Roman" w:hAnsi="Times New Roman"/>
          <w:b/>
          <w:sz w:val="24"/>
        </w:rPr>
        <w:t>8. Data Cleaning and Pre-processing</w:t>
      </w:r>
    </w:p>
    <w:p>
      <w:pPr>
        <w:spacing w:after="100"/>
        <w:jc w:val="left"/>
      </w:pPr>
      <w:r>
        <w:rPr>
          <w:rFonts w:ascii="Times New Roman" w:hAnsi="Times New Roman"/>
          <w:b w:val="0"/>
          <w:sz w:val="24"/>
        </w:rPr>
        <w:t>Before analysis, the organization should apply a consistent data-quality process.</w:t>
      </w:r>
    </w:p>
    <w:p>
      <w:pPr>
        <w:spacing w:after="100"/>
        <w:jc w:val="left"/>
      </w:pPr>
      <w:r>
        <w:rPr>
          <w:rFonts w:ascii="Times New Roman" w:hAnsi="Times New Roman"/>
          <w:b w:val="0"/>
          <w:sz w:val="24"/>
        </w:rPr>
        <w:t>• Check for missing values and decide whether to impute, remove, or investigate them.</w:t>
      </w:r>
    </w:p>
    <w:p>
      <w:pPr>
        <w:spacing w:after="100"/>
        <w:jc w:val="left"/>
      </w:pPr>
      <w:r>
        <w:rPr>
          <w:rFonts w:ascii="Times New Roman" w:hAnsi="Times New Roman"/>
          <w:b w:val="0"/>
          <w:sz w:val="24"/>
        </w:rPr>
        <w:t>• Identify and remove duplicate records.</w:t>
      </w:r>
    </w:p>
    <w:p>
      <w:pPr>
        <w:spacing w:after="100"/>
        <w:jc w:val="left"/>
      </w:pPr>
      <w:r>
        <w:rPr>
          <w:rFonts w:ascii="Times New Roman" w:hAnsi="Times New Roman"/>
          <w:b w:val="0"/>
          <w:sz w:val="24"/>
        </w:rPr>
        <w:t>• Standardize categorical values and naming conventions.</w:t>
      </w:r>
    </w:p>
    <w:p>
      <w:pPr>
        <w:spacing w:after="100"/>
        <w:jc w:val="left"/>
      </w:pPr>
      <w:r>
        <w:rPr>
          <w:rFonts w:ascii="Times New Roman" w:hAnsi="Times New Roman"/>
          <w:b w:val="0"/>
          <w:sz w:val="24"/>
        </w:rPr>
        <w:t>• Validate numeric ranges such as grades, attendance percentages, and age.</w:t>
      </w:r>
    </w:p>
    <w:p>
      <w:pPr>
        <w:spacing w:after="100"/>
        <w:jc w:val="left"/>
      </w:pPr>
      <w:r>
        <w:rPr>
          <w:rFonts w:ascii="Times New Roman" w:hAnsi="Times New Roman"/>
          <w:b w:val="0"/>
          <w:sz w:val="24"/>
        </w:rPr>
        <w:t>• Detect unusual values and investigate potential outliers.</w:t>
      </w:r>
    </w:p>
    <w:p>
      <w:pPr>
        <w:spacing w:after="100"/>
        <w:jc w:val="left"/>
      </w:pPr>
      <w:r>
        <w:rPr>
          <w:rFonts w:ascii="Times New Roman" w:hAnsi="Times New Roman"/>
          <w:b w:val="0"/>
          <w:sz w:val="24"/>
        </w:rPr>
        <w:t>• Convert data types into analysis-ready formats.</w:t>
      </w:r>
    </w:p>
    <w:p>
      <w:pPr>
        <w:spacing w:after="100"/>
        <w:jc w:val="left"/>
      </w:pPr>
      <w:r>
        <w:rPr>
          <w:rFonts w:ascii="Times New Roman" w:hAnsi="Times New Roman"/>
          <w:b w:val="0"/>
          <w:sz w:val="24"/>
        </w:rPr>
        <w:t>• Document all cleaning decisions so the process is reproducible.</w:t>
      </w:r>
    </w:p>
    <w:p>
      <w:pPr>
        <w:spacing w:after="100"/>
        <w:jc w:val="left"/>
      </w:pPr>
      <w:r>
        <w:rPr>
          <w:rFonts w:ascii="Times New Roman" w:hAnsi="Times New Roman"/>
          <w:b/>
          <w:sz w:val="24"/>
        </w:rPr>
        <w:t>9. Data Integration</w:t>
      </w:r>
    </w:p>
    <w:p>
      <w:pPr>
        <w:spacing w:after="100"/>
        <w:jc w:val="left"/>
      </w:pPr>
      <w:r>
        <w:rPr>
          <w:rFonts w:ascii="Times New Roman" w:hAnsi="Times New Roman"/>
          <w:b w:val="0"/>
          <w:sz w:val="24"/>
        </w:rPr>
        <w:t>Data from academic, attendance, survey, and learning systems should be combined using a consistent student identifier. Integration should be performed only when there is a legitimate educational purpose and appropriate access control. A standardized data model can reduce duplication and improve reporting consistency.</w:t>
      </w:r>
    </w:p>
    <w:p>
      <w:pPr>
        <w:spacing w:after="100"/>
        <w:jc w:val="left"/>
      </w:pPr>
      <w:r>
        <w:rPr>
          <w:rFonts w:ascii="Times New Roman" w:hAnsi="Times New Roman"/>
          <w:b/>
          <w:sz w:val="24"/>
        </w:rPr>
        <w:t>10. Data Analysis Strategy</w:t>
      </w:r>
    </w:p>
    <w:p>
      <w:pPr>
        <w:spacing w:after="100"/>
        <w:jc w:val="left"/>
      </w:pPr>
      <w:r>
        <w:rPr>
          <w:rFonts w:ascii="Times New Roman" w:hAnsi="Times New Roman"/>
          <w:b w:val="0"/>
          <w:sz w:val="24"/>
        </w:rPr>
        <w:t>The organization can use descriptive, diagnostic, predictive, and monitoring analytics.</w:t>
      </w:r>
    </w:p>
    <w:p>
      <w:pPr>
        <w:spacing w:after="100"/>
        <w:jc w:val="left"/>
      </w:pPr>
      <w:r>
        <w:rPr>
          <w:rFonts w:ascii="Times New Roman" w:hAnsi="Times New Roman"/>
          <w:b w:val="0"/>
          <w:sz w:val="24"/>
        </w:rPr>
        <w:t>• Descriptive analytics: summarize grades, attendance, study time, and other indicators.</w:t>
      </w:r>
    </w:p>
    <w:p>
      <w:pPr>
        <w:spacing w:after="100"/>
        <w:jc w:val="left"/>
      </w:pPr>
      <w:r>
        <w:rPr>
          <w:rFonts w:ascii="Times New Roman" w:hAnsi="Times New Roman"/>
          <w:b w:val="0"/>
          <w:sz w:val="24"/>
        </w:rPr>
        <w:t>• Diagnostic analytics: investigate factors associated with low academic performance.</w:t>
      </w:r>
    </w:p>
    <w:p>
      <w:pPr>
        <w:spacing w:after="100"/>
        <w:jc w:val="left"/>
      </w:pPr>
      <w:r>
        <w:rPr>
          <w:rFonts w:ascii="Times New Roman" w:hAnsi="Times New Roman"/>
          <w:b w:val="0"/>
          <w:sz w:val="24"/>
        </w:rPr>
        <w:t>• Predictive analytics: estimate the likelihood of low final performance using historical data.</w:t>
      </w:r>
    </w:p>
    <w:p>
      <w:pPr>
        <w:spacing w:after="100"/>
        <w:jc w:val="left"/>
      </w:pPr>
      <w:r>
        <w:rPr>
          <w:rFonts w:ascii="Times New Roman" w:hAnsi="Times New Roman"/>
          <w:b w:val="0"/>
          <w:sz w:val="24"/>
        </w:rPr>
        <w:t>• Trend analysis: compare student and group performance across assessment periods.</w:t>
      </w:r>
    </w:p>
    <w:p>
      <w:pPr>
        <w:spacing w:after="100"/>
        <w:jc w:val="left"/>
      </w:pPr>
      <w:r>
        <w:rPr>
          <w:rFonts w:ascii="Times New Roman" w:hAnsi="Times New Roman"/>
          <w:b w:val="0"/>
          <w:sz w:val="24"/>
        </w:rPr>
        <w:t>• Segmentation: group students according to academic and engagement characteristics.</w:t>
      </w:r>
    </w:p>
    <w:p>
      <w:pPr>
        <w:spacing w:after="100"/>
        <w:jc w:val="left"/>
      </w:pPr>
      <w:r>
        <w:rPr>
          <w:rFonts w:ascii="Times New Roman" w:hAnsi="Times New Roman"/>
          <w:b/>
          <w:sz w:val="24"/>
        </w:rPr>
        <w:t>11. Key Performance Indicators (KPIs)</w:t>
      </w:r>
    </w:p>
    <w:p>
      <w:pPr>
        <w:spacing w:after="100"/>
        <w:jc w:val="left"/>
      </w:pPr>
      <w:r>
        <w:rPr>
          <w:rFonts w:ascii="Times New Roman" w:hAnsi="Times New Roman"/>
          <w:b w:val="0"/>
          <w:sz w:val="24"/>
        </w:rPr>
        <w:t>• Average final grade.</w:t>
      </w:r>
    </w:p>
    <w:p>
      <w:pPr>
        <w:spacing w:after="100"/>
        <w:jc w:val="left"/>
      </w:pPr>
      <w:r>
        <w:rPr>
          <w:rFonts w:ascii="Times New Roman" w:hAnsi="Times New Roman"/>
          <w:b w:val="0"/>
          <w:sz w:val="24"/>
        </w:rPr>
        <w:t>• Percentage of students in different grade bands.</w:t>
      </w:r>
    </w:p>
    <w:p>
      <w:pPr>
        <w:spacing w:after="100"/>
        <w:jc w:val="left"/>
      </w:pPr>
      <w:r>
        <w:rPr>
          <w:rFonts w:ascii="Times New Roman" w:hAnsi="Times New Roman"/>
          <w:b w:val="0"/>
          <w:sz w:val="24"/>
        </w:rPr>
        <w:t>• Attendance rate.</w:t>
      </w:r>
    </w:p>
    <w:p>
      <w:pPr>
        <w:spacing w:after="100"/>
        <w:jc w:val="left"/>
      </w:pPr>
      <w:r>
        <w:rPr>
          <w:rFonts w:ascii="Times New Roman" w:hAnsi="Times New Roman"/>
          <w:b w:val="0"/>
          <w:sz w:val="24"/>
        </w:rPr>
        <w:t>• Previous-failure rate.</w:t>
      </w:r>
    </w:p>
    <w:p>
      <w:pPr>
        <w:spacing w:after="100"/>
        <w:jc w:val="left"/>
      </w:pPr>
      <w:r>
        <w:rPr>
          <w:rFonts w:ascii="Times New Roman" w:hAnsi="Times New Roman"/>
          <w:b w:val="0"/>
          <w:sz w:val="24"/>
        </w:rPr>
        <w:t>• Average study time.</w:t>
      </w:r>
    </w:p>
    <w:p>
      <w:pPr>
        <w:spacing w:after="100"/>
        <w:jc w:val="left"/>
      </w:pPr>
      <w:r>
        <w:rPr>
          <w:rFonts w:ascii="Times New Roman" w:hAnsi="Times New Roman"/>
          <w:b w:val="0"/>
          <w:sz w:val="24"/>
        </w:rPr>
        <w:t>• Percentage of students requiring academic intervention.</w:t>
      </w:r>
    </w:p>
    <w:p>
      <w:pPr>
        <w:spacing w:after="100"/>
        <w:jc w:val="left"/>
      </w:pPr>
      <w:r>
        <w:rPr>
          <w:rFonts w:ascii="Times New Roman" w:hAnsi="Times New Roman"/>
          <w:b w:val="0"/>
          <w:sz w:val="24"/>
        </w:rPr>
        <w:t>• Improvement between G1, G2, and G3.</w:t>
      </w:r>
    </w:p>
    <w:p>
      <w:pPr>
        <w:spacing w:after="100"/>
        <w:jc w:val="left"/>
      </w:pPr>
      <w:r>
        <w:rPr>
          <w:rFonts w:ascii="Times New Roman" w:hAnsi="Times New Roman"/>
          <w:b w:val="0"/>
          <w:sz w:val="24"/>
        </w:rPr>
        <w:t>• Intervention success rate.</w:t>
      </w:r>
    </w:p>
    <w:p>
      <w:pPr>
        <w:spacing w:after="100"/>
        <w:jc w:val="left"/>
      </w:pPr>
      <w:r>
        <w:rPr>
          <w:rFonts w:ascii="Times New Roman" w:hAnsi="Times New Roman"/>
          <w:b/>
          <w:sz w:val="24"/>
        </w:rPr>
        <w:t>12. Data Visualization Strategy</w:t>
      </w:r>
    </w:p>
    <w:p>
      <w:pPr>
        <w:spacing w:after="100"/>
        <w:jc w:val="left"/>
      </w:pPr>
      <w:r>
        <w:rPr>
          <w:rFonts w:ascii="Times New Roman" w:hAnsi="Times New Roman"/>
          <w:b w:val="0"/>
          <w:sz w:val="24"/>
        </w:rPr>
        <w:t>Dashboards should present information in a simple and decision-focused manner.</w:t>
      </w:r>
    </w:p>
    <w:p>
      <w:pPr>
        <w:spacing w:after="100"/>
        <w:jc w:val="left"/>
      </w:pPr>
      <w:r>
        <w:rPr>
          <w:rFonts w:ascii="Times New Roman" w:hAnsi="Times New Roman"/>
          <w:b w:val="0"/>
          <w:sz w:val="24"/>
        </w:rPr>
        <w:t>• Bar charts for grade-band and category comparisons.</w:t>
      </w:r>
    </w:p>
    <w:p>
      <w:pPr>
        <w:spacing w:after="100"/>
        <w:jc w:val="left"/>
      </w:pPr>
      <w:r>
        <w:rPr>
          <w:rFonts w:ascii="Times New Roman" w:hAnsi="Times New Roman"/>
          <w:b w:val="0"/>
          <w:sz w:val="24"/>
        </w:rPr>
        <w:t>• Line charts for academic performance trends across assessments.</w:t>
      </w:r>
    </w:p>
    <w:p>
      <w:pPr>
        <w:spacing w:after="100"/>
        <w:jc w:val="left"/>
      </w:pPr>
      <w:r>
        <w:rPr>
          <w:rFonts w:ascii="Times New Roman" w:hAnsi="Times New Roman"/>
          <w:b w:val="0"/>
          <w:sz w:val="24"/>
        </w:rPr>
        <w:t>• Histograms for distributions such as grades and attendance.</w:t>
      </w:r>
    </w:p>
    <w:p>
      <w:pPr>
        <w:spacing w:after="100"/>
        <w:jc w:val="left"/>
      </w:pPr>
      <w:r>
        <w:rPr>
          <w:rFonts w:ascii="Times New Roman" w:hAnsi="Times New Roman"/>
          <w:b w:val="0"/>
          <w:sz w:val="24"/>
        </w:rPr>
        <w:t>• Scatter plots for relationships between numerical variables.</w:t>
      </w:r>
    </w:p>
    <w:p>
      <w:pPr>
        <w:spacing w:after="100"/>
        <w:jc w:val="left"/>
      </w:pPr>
      <w:r>
        <w:rPr>
          <w:rFonts w:ascii="Times New Roman" w:hAnsi="Times New Roman"/>
          <w:b w:val="0"/>
          <w:sz w:val="24"/>
        </w:rPr>
        <w:t>• Heatmaps for correlation analysis.</w:t>
      </w:r>
    </w:p>
    <w:p>
      <w:pPr>
        <w:spacing w:after="100"/>
        <w:jc w:val="left"/>
      </w:pPr>
      <w:r>
        <w:rPr>
          <w:rFonts w:ascii="Times New Roman" w:hAnsi="Times New Roman"/>
          <w:b w:val="0"/>
          <w:sz w:val="24"/>
        </w:rPr>
        <w:t>• KPI cards for key performance indicators.</w:t>
      </w:r>
    </w:p>
    <w:p>
      <w:pPr>
        <w:spacing w:after="100"/>
        <w:jc w:val="left"/>
      </w:pPr>
      <w:r>
        <w:rPr>
          <w:rFonts w:ascii="Times New Roman" w:hAnsi="Times New Roman"/>
          <w:b w:val="0"/>
          <w:sz w:val="24"/>
        </w:rPr>
        <w:t>• Interactive dashboards for administrators and academic teams.</w:t>
      </w:r>
    </w:p>
    <w:p>
      <w:pPr>
        <w:spacing w:after="100"/>
        <w:jc w:val="left"/>
      </w:pPr>
      <w:r>
        <w:rPr>
          <w:rFonts w:ascii="Times New Roman" w:hAnsi="Times New Roman"/>
          <w:b/>
          <w:sz w:val="24"/>
        </w:rPr>
        <w:t>13. Recommended Dashboard</w:t>
      </w:r>
    </w:p>
    <w:p>
      <w:pPr>
        <w:spacing w:after="100"/>
        <w:jc w:val="left"/>
      </w:pPr>
      <w:r>
        <w:rPr>
          <w:rFonts w:ascii="Times New Roman" w:hAnsi="Times New Roman"/>
          <w:b w:val="0"/>
          <w:sz w:val="24"/>
        </w:rPr>
        <w:t>A Student Performance Dashboard can contain four main sections: overall performance, risk indicators, contributing factors, and trends. Administrators can view overall grade distributions and intervention counts, while teachers can examine class-level patterns and students who may require additional support.</w:t>
      </w:r>
    </w:p>
    <w:p>
      <w:pPr>
        <w:spacing w:after="100"/>
        <w:jc w:val="left"/>
      </w:pPr>
      <w:r>
        <w:rPr>
          <w:rFonts w:ascii="Times New Roman" w:hAnsi="Times New Roman"/>
          <w:b/>
          <w:sz w:val="24"/>
        </w:rPr>
        <w:t>14. Recommended Data-Driven Actions</w:t>
      </w:r>
    </w:p>
    <w:p>
      <w:pPr>
        <w:spacing w:after="100"/>
        <w:jc w:val="left"/>
      </w:pPr>
      <w:r>
        <w:rPr>
          <w:rFonts w:ascii="Times New Roman" w:hAnsi="Times New Roman"/>
          <w:b w:val="0"/>
          <w:sz w:val="24"/>
        </w:rPr>
        <w:t>• Identify students showing consistently low assessment performance.</w:t>
      </w:r>
    </w:p>
    <w:p>
      <w:pPr>
        <w:spacing w:after="100"/>
        <w:jc w:val="left"/>
      </w:pPr>
      <w:r>
        <w:rPr>
          <w:rFonts w:ascii="Times New Roman" w:hAnsi="Times New Roman"/>
          <w:b w:val="0"/>
          <w:sz w:val="24"/>
        </w:rPr>
        <w:t>• Provide targeted academic support and tutoring to identified students.</w:t>
      </w:r>
    </w:p>
    <w:p>
      <w:pPr>
        <w:spacing w:after="100"/>
        <w:jc w:val="left"/>
      </w:pPr>
      <w:r>
        <w:rPr>
          <w:rFonts w:ascii="Times New Roman" w:hAnsi="Times New Roman"/>
          <w:b w:val="0"/>
          <w:sz w:val="24"/>
        </w:rPr>
        <w:t>• Monitor students with repeated previous failures.</w:t>
      </w:r>
    </w:p>
    <w:p>
      <w:pPr>
        <w:spacing w:after="100"/>
        <w:jc w:val="left"/>
      </w:pPr>
      <w:r>
        <w:rPr>
          <w:rFonts w:ascii="Times New Roman" w:hAnsi="Times New Roman"/>
          <w:b w:val="0"/>
          <w:sz w:val="24"/>
        </w:rPr>
        <w:t>• Use study-time information to guide time-management support.</w:t>
      </w:r>
    </w:p>
    <w:p>
      <w:pPr>
        <w:spacing w:after="100"/>
        <w:jc w:val="left"/>
      </w:pPr>
      <w:r>
        <w:rPr>
          <w:rFonts w:ascii="Times New Roman" w:hAnsi="Times New Roman"/>
          <w:b w:val="0"/>
          <w:sz w:val="24"/>
        </w:rPr>
        <w:t>• Compare performance before and after interventions.</w:t>
      </w:r>
    </w:p>
    <w:p>
      <w:pPr>
        <w:spacing w:after="100"/>
        <w:jc w:val="left"/>
      </w:pPr>
      <w:r>
        <w:rPr>
          <w:rFonts w:ascii="Times New Roman" w:hAnsi="Times New Roman"/>
          <w:b w:val="0"/>
          <w:sz w:val="24"/>
        </w:rPr>
        <w:t>• Review dashboard results regularly with teachers and academic counsellors.</w:t>
      </w:r>
    </w:p>
    <w:p>
      <w:pPr>
        <w:spacing w:after="100"/>
        <w:jc w:val="left"/>
      </w:pPr>
      <w:r>
        <w:rPr>
          <w:rFonts w:ascii="Times New Roman" w:hAnsi="Times New Roman"/>
          <w:b w:val="0"/>
          <w:sz w:val="24"/>
        </w:rPr>
        <w:t>• Update the strategy when new data or changing educational needs become available.</w:t>
      </w:r>
    </w:p>
    <w:p>
      <w:pPr>
        <w:spacing w:after="100"/>
        <w:jc w:val="left"/>
      </w:pPr>
      <w:r>
        <w:rPr>
          <w:rFonts w:ascii="Times New Roman" w:hAnsi="Times New Roman"/>
          <w:b/>
          <w:sz w:val="24"/>
        </w:rPr>
        <w:t>15. Potential Impact</w:t>
      </w:r>
    </w:p>
    <w:p>
      <w:pPr>
        <w:spacing w:after="100"/>
        <w:jc w:val="left"/>
      </w:pPr>
      <w:r>
        <w:rPr>
          <w:rFonts w:ascii="Times New Roman" w:hAnsi="Times New Roman"/>
          <w:b w:val="0"/>
          <w:sz w:val="24"/>
        </w:rPr>
        <w:t>• Earlier identification of students who may need academic support.</w:t>
      </w:r>
    </w:p>
    <w:p>
      <w:pPr>
        <w:spacing w:after="100"/>
        <w:jc w:val="left"/>
      </w:pPr>
      <w:r>
        <w:rPr>
          <w:rFonts w:ascii="Times New Roman" w:hAnsi="Times New Roman"/>
          <w:b w:val="0"/>
          <w:sz w:val="24"/>
        </w:rPr>
        <w:t>• More evidence-based academic planning.</w:t>
      </w:r>
    </w:p>
    <w:p>
      <w:pPr>
        <w:spacing w:after="100"/>
        <w:jc w:val="left"/>
      </w:pPr>
      <w:r>
        <w:rPr>
          <w:rFonts w:ascii="Times New Roman" w:hAnsi="Times New Roman"/>
          <w:b w:val="0"/>
          <w:sz w:val="24"/>
        </w:rPr>
        <w:t>• Better monitoring of student performance over time.</w:t>
      </w:r>
    </w:p>
    <w:p>
      <w:pPr>
        <w:spacing w:after="100"/>
        <w:jc w:val="left"/>
      </w:pPr>
      <w:r>
        <w:rPr>
          <w:rFonts w:ascii="Times New Roman" w:hAnsi="Times New Roman"/>
          <w:b w:val="0"/>
          <w:sz w:val="24"/>
        </w:rPr>
        <w:t>• Improved allocation of counselling and learning-support resources.</w:t>
      </w:r>
    </w:p>
    <w:p>
      <w:pPr>
        <w:spacing w:after="100"/>
        <w:jc w:val="left"/>
      </w:pPr>
      <w:r>
        <w:rPr>
          <w:rFonts w:ascii="Times New Roman" w:hAnsi="Times New Roman"/>
          <w:b w:val="0"/>
          <w:sz w:val="24"/>
        </w:rPr>
        <w:t>• Clearer communication between teachers, administrators, and support teams.</w:t>
      </w:r>
    </w:p>
    <w:p>
      <w:pPr>
        <w:spacing w:after="100"/>
        <w:jc w:val="left"/>
      </w:pPr>
      <w:r>
        <w:rPr>
          <w:rFonts w:ascii="Times New Roman" w:hAnsi="Times New Roman"/>
          <w:b w:val="0"/>
          <w:sz w:val="24"/>
        </w:rPr>
        <w:t>• Improved ability to evaluate whether interventions are effective.</w:t>
      </w:r>
    </w:p>
    <w:p>
      <w:pPr>
        <w:spacing w:after="100"/>
        <w:jc w:val="left"/>
      </w:pPr>
      <w:r>
        <w:rPr>
          <w:rFonts w:ascii="Times New Roman" w:hAnsi="Times New Roman"/>
          <w:b/>
          <w:sz w:val="24"/>
        </w:rPr>
        <w:t>16. Data Privacy and Security</w:t>
      </w:r>
    </w:p>
    <w:p>
      <w:pPr>
        <w:spacing w:after="100"/>
        <w:jc w:val="left"/>
      </w:pPr>
      <w:r>
        <w:rPr>
          <w:rFonts w:ascii="Times New Roman" w:hAnsi="Times New Roman"/>
          <w:b w:val="0"/>
          <w:sz w:val="24"/>
        </w:rPr>
        <w:t>• Collect only data required for legitimate educational purposes.</w:t>
      </w:r>
    </w:p>
    <w:p>
      <w:pPr>
        <w:spacing w:after="100"/>
        <w:jc w:val="left"/>
      </w:pPr>
      <w:r>
        <w:rPr>
          <w:rFonts w:ascii="Times New Roman" w:hAnsi="Times New Roman"/>
          <w:b w:val="0"/>
          <w:sz w:val="24"/>
        </w:rPr>
        <w:t>• Protect personally identifiable information.</w:t>
      </w:r>
    </w:p>
    <w:p>
      <w:pPr>
        <w:spacing w:after="100"/>
        <w:jc w:val="left"/>
      </w:pPr>
      <w:r>
        <w:rPr>
          <w:rFonts w:ascii="Times New Roman" w:hAnsi="Times New Roman"/>
          <w:b w:val="0"/>
          <w:sz w:val="24"/>
        </w:rPr>
        <w:t>• Use secure authentication and role-based access.</w:t>
      </w:r>
    </w:p>
    <w:p>
      <w:pPr>
        <w:spacing w:after="100"/>
        <w:jc w:val="left"/>
      </w:pPr>
      <w:r>
        <w:rPr>
          <w:rFonts w:ascii="Times New Roman" w:hAnsi="Times New Roman"/>
          <w:b w:val="0"/>
          <w:sz w:val="24"/>
        </w:rPr>
        <w:t>• Encrypt sensitive data where appropriate.</w:t>
      </w:r>
    </w:p>
    <w:p>
      <w:pPr>
        <w:spacing w:after="100"/>
        <w:jc w:val="left"/>
      </w:pPr>
      <w:r>
        <w:rPr>
          <w:rFonts w:ascii="Times New Roman" w:hAnsi="Times New Roman"/>
          <w:b w:val="0"/>
          <w:sz w:val="24"/>
        </w:rPr>
        <w:t>• Maintain audit logs for important data access and changes.</w:t>
      </w:r>
    </w:p>
    <w:p>
      <w:pPr>
        <w:spacing w:after="100"/>
        <w:jc w:val="left"/>
      </w:pPr>
      <w:r>
        <w:rPr>
          <w:rFonts w:ascii="Times New Roman" w:hAnsi="Times New Roman"/>
          <w:b w:val="0"/>
          <w:sz w:val="24"/>
        </w:rPr>
        <w:t>• Follow applicable institutional policies and data-protection requirements.</w:t>
      </w:r>
    </w:p>
    <w:p>
      <w:pPr>
        <w:spacing w:after="100"/>
        <w:jc w:val="left"/>
      </w:pPr>
      <w:r>
        <w:rPr>
          <w:rFonts w:ascii="Times New Roman" w:hAnsi="Times New Roman"/>
          <w:b w:val="0"/>
          <w:sz w:val="24"/>
        </w:rPr>
        <w:t>• Avoid using predictive results as the sole basis for high-impact decisions.</w:t>
      </w:r>
    </w:p>
    <w:p>
      <w:pPr>
        <w:spacing w:after="100"/>
        <w:jc w:val="left"/>
      </w:pPr>
      <w:r>
        <w:rPr>
          <w:rFonts w:ascii="Times New Roman" w:hAnsi="Times New Roman"/>
          <w:b/>
          <w:sz w:val="24"/>
        </w:rPr>
        <w:t>17. Data Governance</w:t>
      </w:r>
    </w:p>
    <w:p>
      <w:pPr>
        <w:spacing w:after="100"/>
        <w:jc w:val="left"/>
      </w:pPr>
      <w:r>
        <w:rPr>
          <w:rFonts w:ascii="Times New Roman" w:hAnsi="Times New Roman"/>
          <w:b w:val="0"/>
          <w:sz w:val="24"/>
        </w:rPr>
        <w:t>• Define data owners and responsible users.</w:t>
      </w:r>
    </w:p>
    <w:p>
      <w:pPr>
        <w:spacing w:after="100"/>
        <w:jc w:val="left"/>
      </w:pPr>
      <w:r>
        <w:rPr>
          <w:rFonts w:ascii="Times New Roman" w:hAnsi="Times New Roman"/>
          <w:b w:val="0"/>
          <w:sz w:val="24"/>
        </w:rPr>
        <w:t>• Create common definitions for important variables and KPIs.</w:t>
      </w:r>
    </w:p>
    <w:p>
      <w:pPr>
        <w:spacing w:after="100"/>
        <w:jc w:val="left"/>
      </w:pPr>
      <w:r>
        <w:rPr>
          <w:rFonts w:ascii="Times New Roman" w:hAnsi="Times New Roman"/>
          <w:b w:val="0"/>
          <w:sz w:val="24"/>
        </w:rPr>
        <w:t>• Establish data-quality standards.</w:t>
      </w:r>
    </w:p>
    <w:p>
      <w:pPr>
        <w:spacing w:after="100"/>
        <w:jc w:val="left"/>
      </w:pPr>
      <w:r>
        <w:rPr>
          <w:rFonts w:ascii="Times New Roman" w:hAnsi="Times New Roman"/>
          <w:b w:val="0"/>
          <w:sz w:val="24"/>
        </w:rPr>
        <w:t>• Document data sources and transformation steps.</w:t>
      </w:r>
    </w:p>
    <w:p>
      <w:pPr>
        <w:spacing w:after="100"/>
        <w:jc w:val="left"/>
      </w:pPr>
      <w:r>
        <w:rPr>
          <w:rFonts w:ascii="Times New Roman" w:hAnsi="Times New Roman"/>
          <w:b w:val="0"/>
          <w:sz w:val="24"/>
        </w:rPr>
        <w:t>• Review access permissions periodically.</w:t>
      </w:r>
    </w:p>
    <w:p>
      <w:pPr>
        <w:spacing w:after="100"/>
        <w:jc w:val="left"/>
      </w:pPr>
      <w:r>
        <w:rPr>
          <w:rFonts w:ascii="Times New Roman" w:hAnsi="Times New Roman"/>
          <w:b w:val="0"/>
          <w:sz w:val="24"/>
        </w:rPr>
        <w:t>• Maintain a process for correcting inaccurate records.</w:t>
      </w:r>
    </w:p>
    <w:p>
      <w:pPr>
        <w:spacing w:after="100"/>
        <w:jc w:val="left"/>
      </w:pPr>
      <w:r>
        <w:rPr>
          <w:rFonts w:ascii="Times New Roman" w:hAnsi="Times New Roman"/>
          <w:b/>
          <w:sz w:val="24"/>
        </w:rPr>
        <w:t>18.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sz w:val="24"/>
              </w:rPr>
              <w:t>Phase</w:t>
            </w:r>
          </w:p>
        </w:tc>
        <w:tc>
          <w:tcPr>
            <w:tcW w:type="dxa" w:w="3312"/>
            <w:vAlign w:val="center"/>
          </w:tcPr>
          <w:p>
            <w:r>
              <w:rPr>
                <w:rFonts w:ascii="Times New Roman" w:hAnsi="Times New Roman"/>
                <w:sz w:val="24"/>
              </w:rPr>
              <w:t>Main Activities</w:t>
            </w:r>
          </w:p>
        </w:tc>
        <w:tc>
          <w:tcPr>
            <w:tcW w:type="dxa" w:w="3312"/>
            <w:vAlign w:val="center"/>
          </w:tcPr>
          <w:p>
            <w:r>
              <w:rPr>
                <w:rFonts w:ascii="Times New Roman" w:hAnsi="Times New Roman"/>
                <w:sz w:val="24"/>
              </w:rPr>
              <w:t>Expected Output</w:t>
            </w:r>
          </w:p>
        </w:tc>
      </w:tr>
      <w:tr>
        <w:tc>
          <w:tcPr>
            <w:tcW w:type="dxa" w:w="3312"/>
            <w:vAlign w:val="center"/>
          </w:tcPr>
          <w:p>
            <w:r>
              <w:rPr>
                <w:rFonts w:ascii="Times New Roman" w:hAnsi="Times New Roman"/>
                <w:sz w:val="24"/>
              </w:rPr>
              <w:t>Phase 1</w:t>
            </w:r>
          </w:p>
        </w:tc>
        <w:tc>
          <w:tcPr>
            <w:tcW w:type="dxa" w:w="3312"/>
            <w:vAlign w:val="center"/>
          </w:tcPr>
          <w:p>
            <w:r>
              <w:rPr>
                <w:rFonts w:ascii="Times New Roman" w:hAnsi="Times New Roman"/>
                <w:sz w:val="24"/>
              </w:rPr>
              <w:t>Identify business questions and required data</w:t>
            </w:r>
          </w:p>
        </w:tc>
        <w:tc>
          <w:tcPr>
            <w:tcW w:type="dxa" w:w="3312"/>
            <w:vAlign w:val="center"/>
          </w:tcPr>
          <w:p>
            <w:r>
              <w:rPr>
                <w:rFonts w:ascii="Times New Roman" w:hAnsi="Times New Roman"/>
                <w:sz w:val="24"/>
              </w:rPr>
              <w:t>Data requirements</w:t>
            </w:r>
          </w:p>
        </w:tc>
      </w:tr>
      <w:tr>
        <w:tc>
          <w:tcPr>
            <w:tcW w:type="dxa" w:w="3312"/>
            <w:vAlign w:val="center"/>
          </w:tcPr>
          <w:p>
            <w:r>
              <w:rPr>
                <w:rFonts w:ascii="Times New Roman" w:hAnsi="Times New Roman"/>
                <w:sz w:val="24"/>
              </w:rPr>
              <w:t>Phase 2</w:t>
            </w:r>
          </w:p>
        </w:tc>
        <w:tc>
          <w:tcPr>
            <w:tcW w:type="dxa" w:w="3312"/>
            <w:vAlign w:val="center"/>
          </w:tcPr>
          <w:p>
            <w:r>
              <w:rPr>
                <w:rFonts w:ascii="Times New Roman" w:hAnsi="Times New Roman"/>
                <w:sz w:val="24"/>
              </w:rPr>
              <w:t>Set up collection and storage processes</w:t>
            </w:r>
          </w:p>
        </w:tc>
        <w:tc>
          <w:tcPr>
            <w:tcW w:type="dxa" w:w="3312"/>
            <w:vAlign w:val="center"/>
          </w:tcPr>
          <w:p>
            <w:r>
              <w:rPr>
                <w:rFonts w:ascii="Times New Roman" w:hAnsi="Times New Roman"/>
                <w:sz w:val="24"/>
              </w:rPr>
              <w:t>Centralized data</w:t>
            </w:r>
          </w:p>
        </w:tc>
      </w:tr>
      <w:tr>
        <w:tc>
          <w:tcPr>
            <w:tcW w:type="dxa" w:w="3312"/>
            <w:vAlign w:val="center"/>
          </w:tcPr>
          <w:p>
            <w:r>
              <w:rPr>
                <w:rFonts w:ascii="Times New Roman" w:hAnsi="Times New Roman"/>
                <w:sz w:val="24"/>
              </w:rPr>
              <w:t>Phase 3</w:t>
            </w:r>
          </w:p>
        </w:tc>
        <w:tc>
          <w:tcPr>
            <w:tcW w:type="dxa" w:w="3312"/>
            <w:vAlign w:val="center"/>
          </w:tcPr>
          <w:p>
            <w:r>
              <w:rPr>
                <w:rFonts w:ascii="Times New Roman" w:hAnsi="Times New Roman"/>
                <w:sz w:val="24"/>
              </w:rPr>
              <w:t>Clean and integrate datasets</w:t>
            </w:r>
          </w:p>
        </w:tc>
        <w:tc>
          <w:tcPr>
            <w:tcW w:type="dxa" w:w="3312"/>
            <w:vAlign w:val="center"/>
          </w:tcPr>
          <w:p>
            <w:r>
              <w:rPr>
                <w:rFonts w:ascii="Times New Roman" w:hAnsi="Times New Roman"/>
                <w:sz w:val="24"/>
              </w:rPr>
              <w:t>Analysis-ready data</w:t>
            </w:r>
          </w:p>
        </w:tc>
      </w:tr>
      <w:tr>
        <w:tc>
          <w:tcPr>
            <w:tcW w:type="dxa" w:w="3312"/>
            <w:vAlign w:val="center"/>
          </w:tcPr>
          <w:p>
            <w:r>
              <w:rPr>
                <w:rFonts w:ascii="Times New Roman" w:hAnsi="Times New Roman"/>
                <w:sz w:val="24"/>
              </w:rPr>
              <w:t>Phase 4</w:t>
            </w:r>
          </w:p>
        </w:tc>
        <w:tc>
          <w:tcPr>
            <w:tcW w:type="dxa" w:w="3312"/>
            <w:vAlign w:val="center"/>
          </w:tcPr>
          <w:p>
            <w:r>
              <w:rPr>
                <w:rFonts w:ascii="Times New Roman" w:hAnsi="Times New Roman"/>
                <w:sz w:val="24"/>
              </w:rPr>
              <w:t>Perform EDA and predictive analysis</w:t>
            </w:r>
          </w:p>
        </w:tc>
        <w:tc>
          <w:tcPr>
            <w:tcW w:type="dxa" w:w="3312"/>
            <w:vAlign w:val="center"/>
          </w:tcPr>
          <w:p>
            <w:r>
              <w:rPr>
                <w:rFonts w:ascii="Times New Roman" w:hAnsi="Times New Roman"/>
                <w:sz w:val="24"/>
              </w:rPr>
              <w:t>Insights and risk indicators</w:t>
            </w:r>
          </w:p>
        </w:tc>
      </w:tr>
      <w:tr>
        <w:tc>
          <w:tcPr>
            <w:tcW w:type="dxa" w:w="3312"/>
            <w:vAlign w:val="center"/>
          </w:tcPr>
          <w:p>
            <w:r>
              <w:rPr>
                <w:rFonts w:ascii="Times New Roman" w:hAnsi="Times New Roman"/>
                <w:sz w:val="24"/>
              </w:rPr>
              <w:t>Phase 5</w:t>
            </w:r>
          </w:p>
        </w:tc>
        <w:tc>
          <w:tcPr>
            <w:tcW w:type="dxa" w:w="3312"/>
            <w:vAlign w:val="center"/>
          </w:tcPr>
          <w:p>
            <w:r>
              <w:rPr>
                <w:rFonts w:ascii="Times New Roman" w:hAnsi="Times New Roman"/>
                <w:sz w:val="24"/>
              </w:rPr>
              <w:t>Build dashboards and reports</w:t>
            </w:r>
          </w:p>
        </w:tc>
        <w:tc>
          <w:tcPr>
            <w:tcW w:type="dxa" w:w="3312"/>
            <w:vAlign w:val="center"/>
          </w:tcPr>
          <w:p>
            <w:r>
              <w:rPr>
                <w:rFonts w:ascii="Times New Roman" w:hAnsi="Times New Roman"/>
                <w:sz w:val="24"/>
              </w:rPr>
              <w:t>Decision-support dashboards</w:t>
            </w:r>
          </w:p>
        </w:tc>
      </w:tr>
      <w:tr>
        <w:tc>
          <w:tcPr>
            <w:tcW w:type="dxa" w:w="3312"/>
            <w:vAlign w:val="center"/>
          </w:tcPr>
          <w:p>
            <w:r>
              <w:rPr>
                <w:rFonts w:ascii="Times New Roman" w:hAnsi="Times New Roman"/>
                <w:sz w:val="24"/>
              </w:rPr>
              <w:t>Phase 6</w:t>
            </w:r>
          </w:p>
        </w:tc>
        <w:tc>
          <w:tcPr>
            <w:tcW w:type="dxa" w:w="3312"/>
            <w:vAlign w:val="center"/>
          </w:tcPr>
          <w:p>
            <w:r>
              <w:rPr>
                <w:rFonts w:ascii="Times New Roman" w:hAnsi="Times New Roman"/>
                <w:sz w:val="24"/>
              </w:rPr>
              <w:t>Monitor outcomes and improve strategy</w:t>
            </w:r>
          </w:p>
        </w:tc>
        <w:tc>
          <w:tcPr>
            <w:tcW w:type="dxa" w:w="3312"/>
            <w:vAlign w:val="center"/>
          </w:tcPr>
          <w:p>
            <w:r>
              <w:rPr>
                <w:rFonts w:ascii="Times New Roman" w:hAnsi="Times New Roman"/>
                <w:sz w:val="24"/>
              </w:rPr>
              <w:t>Continuous improvement</w:t>
            </w:r>
          </w:p>
        </w:tc>
      </w:tr>
    </w:tbl>
    <w:p>
      <w:pPr>
        <w:spacing w:after="100"/>
        <w:jc w:val="left"/>
      </w:pPr>
      <w:r>
        <w:rPr>
          <w:rFonts w:ascii="Times New Roman" w:hAnsi="Times New Roman"/>
          <w:b/>
          <w:sz w:val="24"/>
        </w:rPr>
        <w:t>19. Feasibility of the Strategy</w:t>
      </w:r>
    </w:p>
    <w:p>
      <w:pPr>
        <w:spacing w:after="100"/>
        <w:jc w:val="left"/>
      </w:pPr>
      <w:r>
        <w:rPr>
          <w:rFonts w:ascii="Times New Roman" w:hAnsi="Times New Roman"/>
          <w:b w:val="0"/>
          <w:sz w:val="24"/>
        </w:rPr>
        <w:t>The proposed strategy is feasible because it builds on commonly available educational data sources and standard data analytics tools. The process can begin with a small pilot project using existing academic data and can later be expanded to attendance, engagement, and intervention data. A phased implementation reduces cost and allows the organization to improve the strategy based on practical results.</w:t>
      </w:r>
    </w:p>
    <w:p>
      <w:pPr>
        <w:spacing w:after="100"/>
        <w:jc w:val="left"/>
      </w:pPr>
      <w:r>
        <w:rPr>
          <w:rFonts w:ascii="Times New Roman" w:hAnsi="Times New Roman"/>
          <w:b/>
          <w:sz w:val="24"/>
        </w:rPr>
        <w:t>20. Risks and Limitations</w:t>
      </w:r>
    </w:p>
    <w:p>
      <w:pPr>
        <w:spacing w:after="100"/>
        <w:jc w:val="left"/>
      </w:pPr>
      <w:r>
        <w:rPr>
          <w:rFonts w:ascii="Times New Roman" w:hAnsi="Times New Roman"/>
          <w:b w:val="0"/>
          <w:sz w:val="24"/>
        </w:rPr>
        <w:t>• Incomplete or inconsistent data can reduce the reliability of analysis.</w:t>
      </w:r>
    </w:p>
    <w:p>
      <w:pPr>
        <w:spacing w:after="100"/>
        <w:jc w:val="left"/>
      </w:pPr>
      <w:r>
        <w:rPr>
          <w:rFonts w:ascii="Times New Roman" w:hAnsi="Times New Roman"/>
          <w:b w:val="0"/>
          <w:sz w:val="24"/>
        </w:rPr>
        <w:t>• Historical data may contain bias and may not represent all students equally.</w:t>
      </w:r>
    </w:p>
    <w:p>
      <w:pPr>
        <w:spacing w:after="100"/>
        <w:jc w:val="left"/>
      </w:pPr>
      <w:r>
        <w:rPr>
          <w:rFonts w:ascii="Times New Roman" w:hAnsi="Times New Roman"/>
          <w:b w:val="0"/>
          <w:sz w:val="24"/>
        </w:rPr>
        <w:t>• Predictive models can produce incorrect predictions and should support, not replace, human judgement.</w:t>
      </w:r>
    </w:p>
    <w:p>
      <w:pPr>
        <w:spacing w:after="100"/>
        <w:jc w:val="left"/>
      </w:pPr>
      <w:r>
        <w:rPr>
          <w:rFonts w:ascii="Times New Roman" w:hAnsi="Times New Roman"/>
          <w:b w:val="0"/>
          <w:sz w:val="24"/>
        </w:rPr>
        <w:t>• Limited technical skills may make implementation difficult without training.</w:t>
      </w:r>
    </w:p>
    <w:p>
      <w:pPr>
        <w:spacing w:after="100"/>
        <w:jc w:val="left"/>
      </w:pPr>
      <w:r>
        <w:rPr>
          <w:rFonts w:ascii="Times New Roman" w:hAnsi="Times New Roman"/>
          <w:b w:val="0"/>
          <w:sz w:val="24"/>
        </w:rPr>
        <w:t>• Privacy concerns must be addressed before combining student-level datasets.</w:t>
      </w:r>
    </w:p>
    <w:p>
      <w:pPr>
        <w:spacing w:after="100"/>
        <w:jc w:val="left"/>
      </w:pPr>
      <w:r>
        <w:rPr>
          <w:rFonts w:ascii="Times New Roman" w:hAnsi="Times New Roman"/>
          <w:b/>
          <w:sz w:val="24"/>
        </w:rPr>
        <w:t>21. Connection with Week 1–4</w:t>
      </w:r>
    </w:p>
    <w:p>
      <w:pPr>
        <w:spacing w:after="100"/>
        <w:jc w:val="left"/>
      </w:pPr>
      <w:r>
        <w:rPr>
          <w:rFonts w:ascii="Times New Roman" w:hAnsi="Times New Roman"/>
          <w:b w:val="0"/>
          <w:sz w:val="24"/>
        </w:rPr>
        <w:t>Week 1 focused on data cleaning and preprocessing. Week 2 performed exploratory data analysis to understand patterns and relationships. Week 3 applied data modelling to predict final grades. Week 4 used visualization to communicate findings clearly. Week 5 combines these skills into a complete data strategy that explains how an organization can collect, manage, analyze, visualize, and use data for decisions.</w:t>
      </w:r>
    </w:p>
    <w:p>
      <w:pPr>
        <w:spacing w:after="100"/>
        <w:jc w:val="left"/>
      </w:pPr>
      <w:r>
        <w:rPr>
          <w:rFonts w:ascii="Times New Roman" w:hAnsi="Times New Roman"/>
          <w:b/>
          <w:sz w:val="24"/>
        </w:rPr>
        <w:t>22. Work Hours / Activity Breakdown</w:t>
      </w:r>
    </w:p>
    <w:tbl>
      <w:tblPr>
        <w:tblStyle w:val="TableGrid"/>
        <w:tblW w:type="auto" w:w="0"/>
        <w:jc w:val="center"/>
        <w:tblLook w:firstColumn="1" w:firstRow="1" w:lastColumn="0" w:lastRow="0" w:noHBand="0" w:noVBand="1" w:val="04A0"/>
      </w:tblPr>
      <w:tblGrid>
        <w:gridCol w:w="4968"/>
        <w:gridCol w:w="4968"/>
      </w:tblGrid>
      <w:tr>
        <w:tc>
          <w:tcPr>
            <w:tcW w:type="dxa" w:w="4968"/>
          </w:tcPr>
          <w:p>
            <w:r>
              <w:t>Activity</w:t>
            </w:r>
          </w:p>
        </w:tc>
        <w:tc>
          <w:tcPr>
            <w:tcW w:type="dxa" w:w="4968"/>
          </w:tcPr>
          <w:p>
            <w:r>
              <w:t>Hours</w:t>
            </w:r>
          </w:p>
        </w:tc>
      </w:tr>
      <w:tr>
        <w:tc>
          <w:tcPr>
            <w:tcW w:type="dxa" w:w="4968"/>
          </w:tcPr>
          <w:p>
            <w:r>
              <w:t>Understanding task and organization requirements</w:t>
            </w:r>
          </w:p>
        </w:tc>
        <w:tc>
          <w:tcPr>
            <w:tcW w:type="dxa" w:w="4968"/>
          </w:tcPr>
          <w:p>
            <w:r>
              <w:t>4</w:t>
            </w:r>
          </w:p>
        </w:tc>
      </w:tr>
      <w:tr>
        <w:tc>
          <w:tcPr>
            <w:tcW w:type="dxa" w:w="4968"/>
          </w:tcPr>
          <w:p>
            <w:r>
              <w:t>Designing data collection and storage strategy</w:t>
            </w:r>
          </w:p>
        </w:tc>
        <w:tc>
          <w:tcPr>
            <w:tcW w:type="dxa" w:w="4968"/>
          </w:tcPr>
          <w:p>
            <w:r>
              <w:t>6</w:t>
            </w:r>
          </w:p>
        </w:tc>
      </w:tr>
      <w:tr>
        <w:tc>
          <w:tcPr>
            <w:tcW w:type="dxa" w:w="4968"/>
          </w:tcPr>
          <w:p>
            <w:r>
              <w:t>Data cleaning, governance and security planning</w:t>
            </w:r>
          </w:p>
        </w:tc>
        <w:tc>
          <w:tcPr>
            <w:tcW w:type="dxa" w:w="4968"/>
          </w:tcPr>
          <w:p>
            <w:r>
              <w:t>5</w:t>
            </w:r>
          </w:p>
        </w:tc>
      </w:tr>
      <w:tr>
        <w:tc>
          <w:tcPr>
            <w:tcW w:type="dxa" w:w="4968"/>
          </w:tcPr>
          <w:p>
            <w:r>
              <w:t>Analysis and KPI strategy</w:t>
            </w:r>
          </w:p>
        </w:tc>
        <w:tc>
          <w:tcPr>
            <w:tcW w:type="dxa" w:w="4968"/>
          </w:tcPr>
          <w:p>
            <w:r>
              <w:t>5</w:t>
            </w:r>
          </w:p>
        </w:tc>
      </w:tr>
      <w:tr>
        <w:tc>
          <w:tcPr>
            <w:tcW w:type="dxa" w:w="4968"/>
          </w:tcPr>
          <w:p>
            <w:r>
              <w:t>Visualization and dashboard planning</w:t>
            </w:r>
          </w:p>
        </w:tc>
        <w:tc>
          <w:tcPr>
            <w:tcW w:type="dxa" w:w="4968"/>
          </w:tcPr>
          <w:p>
            <w:r>
              <w:t>5</w:t>
            </w:r>
          </w:p>
        </w:tc>
      </w:tr>
      <w:tr>
        <w:tc>
          <w:tcPr>
            <w:tcW w:type="dxa" w:w="4968"/>
          </w:tcPr>
          <w:p>
            <w:r>
              <w:t>Recommendations, impact and risk analysis</w:t>
            </w:r>
          </w:p>
        </w:tc>
        <w:tc>
          <w:tcPr>
            <w:tcW w:type="dxa" w:w="4968"/>
          </w:tcPr>
          <w:p>
            <w:r>
              <w:t>5</w:t>
            </w:r>
          </w:p>
        </w:tc>
      </w:tr>
      <w:tr>
        <w:tc>
          <w:tcPr>
            <w:tcW w:type="dxa" w:w="4968"/>
          </w:tcPr>
          <w:p>
            <w:r>
              <w:t>Report writing, review and finalization</w:t>
            </w:r>
          </w:p>
        </w:tc>
        <w:tc>
          <w:tcPr>
            <w:tcW w:type="dxa" w:w="4968"/>
          </w:tcPr>
          <w:p>
            <w:r>
              <w:t>3</w:t>
            </w:r>
          </w:p>
        </w:tc>
      </w:tr>
    </w:tbl>
    <w:p>
      <w:pPr>
        <w:spacing w:after="100"/>
        <w:jc w:val="left"/>
      </w:pPr>
      <w:r>
        <w:rPr>
          <w:rFonts w:ascii="Times New Roman" w:hAnsi="Times New Roman"/>
          <w:b w:val="0"/>
          <w:sz w:val="24"/>
        </w:rPr>
        <w:t>Total Estimated Time: 33 hours</w:t>
      </w:r>
    </w:p>
    <w:p>
      <w:pPr>
        <w:spacing w:after="100"/>
        <w:jc w:val="left"/>
      </w:pPr>
      <w:r>
        <w:rPr>
          <w:rFonts w:ascii="Times New Roman" w:hAnsi="Times New Roman"/>
          <w:b/>
          <w:sz w:val="24"/>
        </w:rPr>
        <w:t>23. Conclusion</w:t>
      </w:r>
    </w:p>
    <w:p>
      <w:pPr>
        <w:spacing w:after="100"/>
        <w:jc w:val="left"/>
      </w:pPr>
      <w:r>
        <w:rPr>
          <w:rFonts w:ascii="Times New Roman" w:hAnsi="Times New Roman"/>
          <w:b w:val="0"/>
          <w:sz w:val="24"/>
        </w:rPr>
        <w:t>The proposed data strategy provides a practical framework for a hypothetical educational organization to use student data for better decision-making. By collecting reliable data, applying proper cleaning and governance, performing appropriate analysis, and communicating results through dashboards, the organization can identify academic risks and improve student support. The strategy is scalable, feasible, and designed to combine data analytics with responsible human decision-making.</w:t>
      </w:r>
    </w:p>
    <w:p>
      <w:pPr>
        <w:spacing w:after="100"/>
        <w:jc w:val="left"/>
      </w:pPr>
      <w:r>
        <w:rPr>
          <w:rFonts w:ascii="Times New Roman" w:hAnsi="Times New Roman"/>
          <w:b/>
          <w:sz w:val="24"/>
        </w:rPr>
        <w:t>24. References</w:t>
      </w:r>
    </w:p>
    <w:p>
      <w:pPr>
        <w:spacing w:after="100"/>
        <w:jc w:val="left"/>
      </w:pPr>
      <w:r>
        <w:rPr>
          <w:rFonts w:ascii="Times New Roman" w:hAnsi="Times New Roman"/>
          <w:b w:val="0"/>
          <w:sz w:val="24"/>
        </w:rPr>
        <w:t>• UCI Machine Learning Repository – Student Performance Dataset.</w:t>
      </w:r>
    </w:p>
    <w:p>
      <w:pPr>
        <w:spacing w:after="100"/>
        <w:jc w:val="left"/>
      </w:pPr>
      <w:r>
        <w:rPr>
          <w:rFonts w:ascii="Times New Roman" w:hAnsi="Times New Roman"/>
          <w:b w:val="0"/>
          <w:sz w:val="24"/>
        </w:rPr>
        <w:t>• Python Documentation.</w:t>
      </w:r>
    </w:p>
    <w:p>
      <w:pPr>
        <w:spacing w:after="100"/>
        <w:jc w:val="left"/>
      </w:pPr>
      <w:r>
        <w:rPr>
          <w:rFonts w:ascii="Times New Roman" w:hAnsi="Times New Roman"/>
          <w:b w:val="0"/>
          <w:sz w:val="24"/>
        </w:rPr>
        <w:t>• Pandas Documentation.</w:t>
      </w:r>
    </w:p>
    <w:p>
      <w:pPr>
        <w:spacing w:after="100"/>
        <w:jc w:val="left"/>
      </w:pPr>
      <w:r>
        <w:rPr>
          <w:rFonts w:ascii="Times New Roman" w:hAnsi="Times New Roman"/>
          <w:b w:val="0"/>
          <w:sz w:val="24"/>
        </w:rPr>
        <w:t>• Matplotlib Documentation.</w:t>
      </w:r>
    </w:p>
    <w:p>
      <w:pPr>
        <w:spacing w:after="100"/>
        <w:jc w:val="left"/>
      </w:pPr>
      <w:r>
        <w:rPr>
          <w:rFonts w:ascii="Times New Roman" w:hAnsi="Times New Roman"/>
          <w:b w:val="0"/>
          <w:sz w:val="24"/>
        </w:rPr>
        <w:t>• Scikit-learn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